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52"/>
        </w:rPr>
        <w:t>Freight Intelligence</w:t>
      </w:r>
    </w:p>
    <w:p>
      <w:pPr>
        <w:spacing w:after="200"/>
      </w:pPr>
      <w:r>
        <w:rPr>
          <w:rFonts w:ascii="Calibri" w:hAnsi="Calibri" w:eastAsia="Microsoft YaHei"/>
          <w:b/>
          <w:color w:val="1F4D78"/>
          <w:sz w:val="30"/>
        </w:rPr>
        <w:t>Microsoft Entra SSO 与服务器发布配置指南</w:t>
      </w:r>
    </w:p>
    <w:p>
      <w:r>
        <w:rPr>
          <w:rFonts w:ascii="Calibri" w:hAnsi="Calibri" w:eastAsia="Microsoft YaHei"/>
          <w:color w:val="64748B"/>
          <w:sz w:val="20"/>
        </w:rPr>
        <w:t>适用系统：CourieDelivery / Freight Intelligence 运费预估、费率管理与账单复核平台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要完成 Microsoft 一键登录或 silent login，建议先把系统发布到稳定服务器，并使用固定公网域名或固定外部访问地址。Microsoft Entra 的 Redirect URI 必须与浏览器实际访问地址完全一致，包括协议、域名和端口。生产环境建议使用 HTTPS 443；5173 和 8010 只作为开发端口，不建议对外开放。</w:t>
            </w:r>
          </w:p>
        </w:tc>
      </w:tr>
    </w:tbl>
    <w:p>
      <w:pPr>
        <w:pStyle w:val="Heading1"/>
      </w:pPr>
      <w:r>
        <w:t>1. 为什么需要先发布到服务器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Entra Redirect URI 需要配置成用户浏览器实际访问系统的地址，例如 https://freight.company.com/。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如果使用非标准端口，Redirect URI 也必须带端口，例如 https://freight.company.com:8443/。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Silent login 依赖 Microsoft Entra 浏览器会话 cookie 和 MSAL 本地缓存；稳定域名有利于缓存和 SSO 行为保持一致。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生产环境应使用 HTTPS；localhost 可用于开发，但不能代表正式 SSO 配置。</w:t>
      </w:r>
    </w:p>
    <w:p>
      <w:pPr>
        <w:pStyle w:val="Heading1"/>
      </w:pPr>
      <w:r>
        <w:t>2. 推荐部署拓扑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推荐做法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公网入口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HTTPS 443 + DNS 域名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推荐使用 https://freight.company.com/；80 仅用于跳转到 443。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反向代理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Nginx / IIS / Caddy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统一代理前端静态文件和 /api 后端请求，隐藏内部端口。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 build 后静态文件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生产环境不运行 5173；只发布 frontend/dist。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Django API 内网监听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可监听 127.0.0.1:8010 或内网端口，由反向代理转发。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PostgreSQL 独立实例优先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订单、SKU、报价、审计和账单数据会持续增长，建议与应用层分离。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推荐 URL 形态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对外只暴露一个入口：https://freight.company.com/。前端访问根路径，API 通过 https://freight.company.com/api/ 转发。这样 Entra Redirect URI、CORS、Cookie/SSO 行为都会更稳定。</w:t>
            </w:r>
          </w:p>
        </w:tc>
      </w:tr>
    </w:tbl>
    <w:p>
      <w:pPr>
        <w:pStyle w:val="Heading1"/>
      </w:pPr>
      <w:r>
        <w:t>3. 端口与网络开放建议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端口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是否对外开放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443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HTTPS Web 入口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生产唯一推荐对外端口。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 跳转 HTTPS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可选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只做 301/308 跳转到 443，不承载登录。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5173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 开发前端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仅本地开发使用，不用于生产。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8010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Django API 开发端口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生产只允许反向代理或内网访问。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5432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PostgreSQL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绝不公网开放，只允许应用服务器或 VPN 内网访问。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1433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SQL Server 数据源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只允许同步任务服务器访问 192.168.72.8。</w:t>
            </w:r>
          </w:p>
        </w:tc>
      </w:tr>
    </w:tbl>
    <w:p/>
    <w:p>
      <w:pPr>
        <w:pStyle w:val="Heading1"/>
      </w:pPr>
      <w:r>
        <w:t>4. Microsoft Entra SSO 配置步骤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在 Microsoft Entra admin center 创建 App Registration，账号类型选择当前组织目录。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Authentication 中添加 Single-page application 平台，并配置生产 Redirect URI，例如 https://freight.company.com/。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Expose an API 中设置 Application ID URI，建议 api://&lt;Application Client ID&gt;。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新增 scope：access_as_user，最终 scope 形如 api://&lt;Application Client ID&gt;/access_as_user。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在前端 .env 中设置 VITE_MSAL_CLIENT_ID、VITE_MSAL_TENANT_ID、VITE_MSAL_SCOPE。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在后端 .env 中设置 MSAL_TENANT_ID、MSAL_AUDIENCE，并在正式环境关闭 AUTH_ALLOW_DEV_USER。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在系统 Admin -&gt; Users &amp; Roles 中把用户的 Entra Object ID / UPN / Tenant ID 与本地权限角色关联。</w:t>
      </w:r>
    </w:p>
    <w:p>
      <w:pPr>
        <w:pStyle w:val="Heading1"/>
      </w:pPr>
      <w:r>
        <w:t>5. 当前系统需要的环境变量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位置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frontend/.env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VITE_API_BASE_URL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https://freight.company.com/api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生产前端调用后端 API 的地址。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frontend/.env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VITE_MSAL_CLIENT_ID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&lt;Application client ID&gt;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Entra App Registration 的客户端 ID。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frontend/.env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VITE_MSAL_TENANT_ID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&lt;Directory tenant ID&gt;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组织租户 ID。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frontend/.env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VITE_MSAL_SCOPE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api://&lt;client-id&gt;/access_as_user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前端请求本系统 API token 的 scope。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backend/.env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MSAL_TENANT_ID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&lt;Directory tenant ID&gt;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后端校验 token issuer。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backend/.env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MSAL_AUDIENCE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api://&lt;client-id&gt;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后端校验 token aud，必须匹配 API audience。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backend/.env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AUTH_ALLOW_DEV_USER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False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正式环境必须关闭开发管理员 fallback。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backend/.env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DJANGO_ALLOWED_HOSTS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freight.company.com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只允许正式域名访问。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backend/.env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CORS_ALLOWED_ORIGINS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https://freight.company.com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如果前后端同域，可保持最小化配置。</w:t>
            </w:r>
          </w:p>
        </w:tc>
      </w:tr>
    </w:tbl>
    <w:p/>
    <w:p>
      <w:pPr>
        <w:pStyle w:val="Heading1"/>
      </w:pPr>
      <w:r>
        <w:t>6. Silent login 的实际前提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用户已经在当前浏览器中登录过 Microsoft 365 / Entra，或此前使用本系统完成过 Microsoft 登录。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浏览器没有阻止 silent iframe 所需的第三方 cookie；Safari 或严格隐私设置可能需要交互登录。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同一浏览器会话中不要同时存在多个 Microsoft 账号，否则 Entra 可能要求用户选择账号。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加入 Entra 的 Windows 电脑会提高无感体验的概率，但 Web 应用仍主要依赖浏览器中的 Entra session cookie 和 MSAL cache。</w:t>
      </w:r>
    </w:p>
    <w:p>
      <w:pPr>
        <w:pStyle w:val="Heading1"/>
      </w:pPr>
      <w:r>
        <w:t>7. 服务器规格建议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方案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适用场景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应用服务器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数据库服务器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 / UAT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功能验证、小规模订单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 vCPU / 16 GB RAM / 100 GB SSD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 vCPU / 16-32 GB RAM / 300 GB SSD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可与现有 PostgreSQL 共用，但不建议作为长期生产。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生产推荐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百万行订单 + 日常同步 + 审计查询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4-8 vCPU / 16-32 GB RAM / 150 GB SSD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 vCPU / 32-64 GB RAM / 1 TB NVMe SSD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推荐应用与数据库分离，数据库使用高 IOPS 存储。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单机生产起步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预算有限但需上线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vCPU / 64 GB RAM / 1 TB NVMe SSD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同机 PostgreSQL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可先上线，后续数据增长后拆分数据库。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高增长 / 多年历史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千万级明细、账单、报价轨迹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 vCPU / 32 GB RAM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 vCPU / 64-128 GB RAM / 2 TB+ NVMe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建议读写分离、分区表、备份库和监控告警。</w:t>
            </w:r>
          </w:p>
        </w:tc>
      </w:tr>
    </w:tbl>
    <w:p/>
    <w:p>
      <w:pPr>
        <w:pStyle w:val="Heading1"/>
      </w:pPr>
      <w:r>
        <w:t>8. 百万行级别订单数据的数据库建议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百万行订单本身不是 PostgreSQL 的上限，真正需要关注的是订单明细、tracking、quote_result、quote_trace_log、invoice_detail 等关联表会快速放大数据量。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对历史订单、账单、报价审计结果建议按月份或财务期间分区，尤其是 quote trace 和 invoice detail。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常用查询字段必须建立组合索引：order_no、platform_order_no、tracking_no、carrier_id、warehouse_id、postcode、created_at、invoice_date。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使用增量同步而不是全量覆盖；同步任务记录 watermark，例如 external_updated_at 或 source_updated_at。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报价和对账类批处理建议异步执行，避免在用户请求线程中直接处理数千或数万单。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开启定期 VACUUM / ANALYZE，监控慢查询，并为大型导入设置批量写入和事务批次。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备份容量至少按数据库有效数据的 2 倍预留；建议每日全量或增量备份，并定期做恢复演练。</w:t>
      </w:r>
    </w:p>
    <w:p>
      <w:pPr>
        <w:pStyle w:val="Heading1"/>
      </w:pPr>
      <w:r>
        <w:t>9. PostgreSQL 参数起步建议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32 GB RAM 数据库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64 GB RAM 数据库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shared_buffers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通常取内存约 25%。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effective_cache_size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48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帮助优化器估算 OS cache。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work_mem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16-32 MB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32-64 MB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按并发调整，不能盲目过大。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maintenance_work_mem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用于索引创建、VACUUM 等维护任务。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max_connections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 或更低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 或更低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建议配合 PgBouncer 做连接池。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wal_compression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降低 WAL 体积，适合大量导入更新。</w:t>
            </w:r>
          </w:p>
        </w:tc>
      </w:tr>
    </w:tbl>
    <w:p/>
    <w:p>
      <w:pPr>
        <w:pStyle w:val="Heading1"/>
      </w:pPr>
      <w:r>
        <w:t>10. 上线实施清单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准备服务器、公网域名、HTTPS 证书和防火墙规则。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确认生产访问地址，例如 https://freight.company.com/，并写入 Entra Redirect URI。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构建前端：npm run build，将 frontend/dist 发布到 Web 根目录。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部署后端：安装依赖、设置 .env、运行 python manage.py migrate。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配置反向代理：/ 指向前端静态资源，/api 指向 Django API。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关闭 AUTH_ALLOW_DEV_USER，设置强 DJANGO_SECRET_KEY，并限制 ALLOWED_HOSTS 和 CORS。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在 Users &amp; Roles 中建立管理员和关键用户的 Entra 关联。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用公司账号测试 Microsoft 一键登录；再关闭浏览器重开测试 silent login。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导入一批订单和账单数据，验证查询、报价、audit matrix 和 reconciliation 性能。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配置数据库备份、日志轮转、磁盘空间、CPU/RAM/慢查询监控。</w:t>
      </w:r>
    </w:p>
    <w:p>
      <w:pPr>
        <w:pStyle w:val="Heading1"/>
      </w:pPr>
      <w:r>
        <w:t>11. 安全与运维注意事项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不要把 PostgreSQL 5432 或 SQL Server 1433 暴露到公网。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生产环境所有登录和 API 流量必须走 HTTPS。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不要在前端或文档中保存数据库密码；生产密码应使用服务器密钥管理或受控环境变量。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后端必须校验 Entra token 的 issuer、signature 和 audience；当前系统通过 MSAL_TENANT_ID 与 MSAL_AUDIENCE 执行校验。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保留本地管理员账号作为应急入口，但必须使用强密码并限制权限人员。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对 invoice、order、quote audit 等导出功能保留审计日志。</w:t>
      </w:r>
    </w:p>
    <w:p>
      <w:pPr>
        <w:pStyle w:val="Heading1"/>
      </w:pPr>
      <w:r>
        <w:t>12. 参考资料</w:t>
      </w:r>
    </w:p>
    <w:p>
      <w:pPr>
        <w:pStyle w:val="ListBullet"/>
      </w:pPr>
      <w:hyperlink r:id="rId9">
        <w:r>
          <w:rPr>
            <w:color w:val="0563C1"/>
            <w:u w:val="single"/>
          </w:rPr>
          <w:t>Microsoft SPA app configuration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https://learn.microsoft.com/en-us/entra/identity-platform/scenario-spa-app-configuration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MSAL.js single sign-on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https://learn.microsoft.com/en-us/entra/identity-platform/msal-js-sso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Microsoft identity platform access token validation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https://learn.microsoft.com/en-us/entra/identity-platform/access-tokens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entra/identity-platform/scenario-spa-app-configuration" TargetMode="External"/><Relationship Id="rId10" Type="http://schemas.openxmlformats.org/officeDocument/2006/relationships/hyperlink" Target="https://learn.microsoft.com/en-us/entra/identity-platform/msal-js-sso" TargetMode="External"/><Relationship Id="rId11" Type="http://schemas.openxmlformats.org/officeDocument/2006/relationships/hyperlink" Target="https://learn.microsoft.com/en-us/entra/identity-platform/access-tok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Intelligence SSO 与服务器发布配置指南</dc:title>
  <dc:subject>Microsoft Entra SSO, silent login, server deployment, PostgreSQL sizing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