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液体硬件开放提案 v8 → v9 变更记录</w:t>
      </w:r>
    </w:p>
    <w:p>
      <w:r>
        <w:rPr>
          <w:rFonts w:eastAsia="思源黑体" w:ascii="Times New Roman" w:hAnsi="Times New Roman" w:cs="Times New Roman"/>
        </w:rPr>
        <w:t>适用版本：v8（终版 · 开放署名版，2026-09-18）→ v9（量级估算增补版，2026-09-24）</w:t>
      </w:r>
    </w:p>
    <w:p>
      <w:r>
        <w:rPr>
          <w:rFonts w:eastAsia="思源黑体" w:ascii="Times New Roman" w:hAnsi="Times New Roman" w:cs="Times New Roman"/>
        </w:rPr>
        <w:t>提出者：破烬　　DOI：10.5281/zenodo.22828026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一、修复的硬错误（3 项）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3400"/>
        <w:gridCol w:w="33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位置</w:t>
            </w:r>
          </w:p>
        </w:tc>
        <w:tc>
          <w:tcPr>
            <w:tcW w:type="dxa" w:w="3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v8 的问题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v9 的处理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第二十章 20.3 引用规范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引用格式写的是「开放提案 v6」，与文档实际版本 v8 不符，会导致引用指向错误的版本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改为 v9，并补入 DOI 编号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摘要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摘要仍停留在「v4 版新增四部分」，未反映 v5–v8 的历次增补，读者从摘要无法得知当前版本状态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重写摘要，改为说明 v9 相对 v8 的核心增补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第十五章子节</w:t>
            </w:r>
          </w:p>
        </w:tc>
        <w:tc>
          <w:tcPr>
            <w:tcW w:type="dxa" w:w="3400"/>
          </w:tcPr>
          <w:p>
            <w:r>
              <w:rPr>
                <w:rFonts w:eastAsia="思源黑体" w:ascii="Times New Roman" w:hAnsi="Times New Roman" w:cs="Times New Roman"/>
              </w:rPr>
              <w:t>子节编号误写为「14.1 / 14.2」，与第十四章编号撞号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修正为「15.1 / 15.2」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二、新增内容（4 项）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2.1 级联深度：从悬念变为可测参数（补入 5.1）</w:t>
      </w:r>
    </w:p>
    <w:p>
      <w:r>
        <w:rPr>
          <w:rFonts w:eastAsia="思源黑体" w:ascii="Times New Roman" w:hAnsi="Times New Roman" w:cs="Times New Roman"/>
        </w:rPr>
        <w:t>v8 只提出「信号传过 3 级」作为验收标准，未说明这个数字怎么来的、能传几级由什么决定。v9 补入稀释衰减模型：N ≈ log₁₀(SNR₀ / SNR_min) / log₁₀(1 / α)，其中 α 为单级保真度。在动态范围 10³ 的保守假设下：α = 0.9 约 65 级，α = 0.7 约 19 级，α = 0.5 约 10 级，α = 0.3 约 6 级，α = 0.1 约 3 级。价值在于把「能不能传」替换成一个只需测 α 的实验问题。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2.2 统计投票冗余度：从定性变为精确（补入 5.3）</w:t>
      </w:r>
    </w:p>
    <w:p>
      <w:r>
        <w:rPr>
          <w:rFonts w:eastAsia="思源黑体" w:ascii="Times New Roman" w:hAnsi="Times New Roman" w:cs="Times New Roman"/>
        </w:rPr>
        <w:t>v8 只说「置信度随管数超线性增长」，未给数量。v9 用二项分布尾概率精确计算，给出把误判压到百万分之一以下所需的管数：单管错误率 10% 需 23 管，20% 需 51 管，30% 需 131 管，40% 需 553 管。结论有两层：冗余代价是多项式级增长（好消息），但当单管错误率趋近 50% 时所需管数爆炸，即「单管必须显著优于随机」是硬边界（坏消息）。并明确标注该计算依赖「各管独立」这一待验证假设。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2.3 一亩地产量：把「种多少有多少」换成数字（新增 13.3）</w:t>
      </w:r>
    </w:p>
    <w:p>
      <w:r>
        <w:rPr>
          <w:rFonts w:eastAsia="思源黑体" w:ascii="Times New Roman" w:hAnsi="Times New Roman" w:cs="Times New Roman"/>
        </w:rPr>
        <w:t>v8 反复使用「取材便利」「规模弹性极大」等定性表述，从未算产量账。v9 以已报道的 TMV 提纯产量（21.42 mg / 100 g 鲜叶）为起点逐级推算：一亩地一年可产出约 10¹⁸～10¹⁹ 个病毒粒子量级，即便按 30% 收率折算，仍远超 v8 第九章估算的「追平一块 GPU 吞吐需约 10¹⁰ 根管」，余量数百倍。最重要的推论是：本构想的瓶颈不在「能否种出足够载体」，而在「能否读出足够多的管子」——这直接把研发优先级从「论证种植量产」转向「攻读取层」。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2.4 与存算一体的对位（新增 12.3）</w:t>
      </w:r>
    </w:p>
    <w:p>
      <w:r>
        <w:rPr>
          <w:rFonts w:eastAsia="思源黑体" w:ascii="Times New Roman" w:hAnsi="Times New Roman" w:cs="Times New Roman"/>
        </w:rPr>
        <w:t>v8 遗漏了与体系结构领域既有共识的对位。v9 指出：本构想「生物侧粗筛、只回传压缩结果」的结构，与存算一体「减少数据搬运」的动机同构，只是压缩手段不同（存算一体把计算嵌入存储，本构想把粗筛外包给生物侧）。意义是让专业读者立刻定位本构想，并提示最现实的验收口径是「减少回传数据量」这一可量化指标，而非「算得更快」。所引数据搬运占比与能耗数字已标注「未能核实原始出处，待查证」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三、明确未改动的部分</w:t>
      </w:r>
    </w:p>
    <w:p>
      <w:r>
        <w:rPr>
          <w:rFonts w:eastAsia="思源黑体" w:ascii="Times New Roman" w:hAnsi="Times New Roman" w:cs="Times New Roman"/>
        </w:rPr>
        <w:t>以下为 v8 已确立且经复核认为无需改动的内容，v9 原样保留：</w:t>
      </w:r>
    </w:p>
    <w:p>
      <w:r>
        <w:rPr>
          <w:rFonts w:eastAsia="思源黑体" w:ascii="Times New Roman" w:hAnsi="Times New Roman" w:cs="Times New Roman"/>
        </w:rPr>
        <w:t>· 核心定位：服务于传统电路、作为外置辅助设备、不外立新计算形式（第一、十七章）</w:t>
      </w:r>
    </w:p>
    <w:p>
      <w:r>
        <w:rPr>
          <w:rFonts w:eastAsia="思源黑体" w:ascii="Times New Roman" w:hAnsi="Times New Roman" w:cs="Times New Roman"/>
        </w:rPr>
        <w:t>· 角色划分：浆液是硬件本体，病毒是信号载体（第二章）</w:t>
      </w:r>
    </w:p>
    <w:p>
      <w:r>
        <w:rPr>
          <w:rFonts w:eastAsia="思源黑体" w:ascii="Times New Roman" w:hAnsi="Times New Roman" w:cs="Times New Roman"/>
        </w:rPr>
        <w:t>· 两条技术路线及其对照、串联方案（第四章）</w:t>
      </w:r>
    </w:p>
    <w:p>
      <w:r>
        <w:rPr>
          <w:rFonts w:eastAsia="思源黑体" w:ascii="Times New Roman" w:hAnsi="Times New Roman" w:cs="Times New Roman"/>
        </w:rPr>
        <w:t>· 读取层与「翻译官」架构（第六章）</w:t>
      </w:r>
    </w:p>
    <w:p>
      <w:r>
        <w:rPr>
          <w:rFonts w:eastAsia="思源黑体" w:ascii="Times New Roman" w:hAnsi="Times New Roman" w:cs="Times New Roman"/>
        </w:rPr>
        <w:t>· 与电路的联动分工（第七章）</w:t>
      </w:r>
    </w:p>
    <w:p>
      <w:r>
        <w:rPr>
          <w:rFonts w:eastAsia="思源黑体" w:ascii="Times New Roman" w:hAnsi="Times New Roman" w:cs="Times New Roman"/>
        </w:rPr>
        <w:t>· 成本分析与分场景结论（第八章）</w:t>
      </w:r>
    </w:p>
    <w:p>
      <w:r>
        <w:rPr>
          <w:rFonts w:eastAsia="思源黑体" w:ascii="Times New Roman" w:hAnsi="Times New Roman" w:cs="Times New Roman"/>
        </w:rPr>
        <w:t>· 与现有工作的关系（第十章）</w:t>
      </w:r>
    </w:p>
    <w:p>
      <w:r>
        <w:rPr>
          <w:rFonts w:eastAsia="思源黑体" w:ascii="Times New Roman" w:hAnsi="Times New Roman" w:cs="Times New Roman"/>
        </w:rPr>
        <w:t>· 待激活清单与技术触发器对照表（第十四章）</w:t>
      </w:r>
    </w:p>
    <w:p>
      <w:r>
        <w:rPr>
          <w:rFonts w:eastAsia="思源黑体" w:ascii="Times New Roman" w:hAnsi="Times New Roman" w:cs="Times New Roman"/>
        </w:rPr>
        <w:t>· 开放研究框架、最低可行实验配置、五阶段落地路线（第十五、十六章）</w:t>
      </w:r>
    </w:p>
    <w:p>
      <w:r>
        <w:rPr>
          <w:rFonts w:eastAsia="思源黑体" w:ascii="Times New Roman" w:hAnsi="Times New Roman" w:cs="Times New Roman"/>
        </w:rPr>
        <w:t>· 署名、开放声明与引用规范（第二十章，仅修版本号）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四、v9 未做的事（以及为什么）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曾考虑但未做的改动</w:t>
            </w:r>
          </w:p>
        </w:tc>
        <w:tc>
          <w:tcPr>
            <w:tcW w:type="dxa" w:w="5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不做的理由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继续扩充章节、增加篇幅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v8 已达 18 页，再长会进一步降低被完整阅读的概率。v9 定位为「补强」而非「加厚」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修改核心定位表述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「服务于电路、不外立新形式」是全文最稳的立足点，动了会动摇整篇的论证基础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为显得专业而追加术语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提出者的比较优势恰恰在于未被专业训练规训，堆术语反而稀释这一优势</w:t>
            </w:r>
          </w:p>
        </w:tc>
      </w:tr>
      <w:tr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新增更多技术路线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两条路线已覆盖「最快」与「最便宜」两个极端取向，再加只会分散焦点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五、提出与发布相关的待办</w:t>
      </w:r>
    </w:p>
    <w:p>
      <w:r>
        <w:rPr>
          <w:rFonts w:eastAsia="思源黑体" w:ascii="Times New Roman" w:hAnsi="Times New Roman" w:cs="Times New Roman"/>
        </w:rPr>
        <w:t>· 当前 GitHub 仓库内存放的是 v7.docx，与已发表的 v8 PDF 不一致，建议上传 v9 并清理旧版本文件</w:t>
      </w:r>
    </w:p>
    <w:p>
      <w:r>
        <w:rPr>
          <w:rFonts w:eastAsia="思源黑体" w:ascii="Times New Roman" w:hAnsi="Times New Roman" w:cs="Times New Roman"/>
        </w:rPr>
        <w:t>· v9 定稿后，建议在 Zenodo 上以「New version」方式发布，将获得新 DOI；原 DOI 10.5281/zenodo.22828026 永久指向 v8，不会被覆盖</w:t>
      </w:r>
    </w:p>
    <w:p>
      <w:r>
        <w:rPr>
          <w:rFonts w:eastAsia="思源黑体" w:ascii="Times New Roman" w:hAnsi="Times New Roman" w:cs="Times New Roman"/>
        </w:rPr>
        <w:t>· 若希望引用者始终拿到最新版，可使用 Cite-all-versions DOI：10.5281/zenodo.22828025</w:t>
      </w:r>
    </w:p>
    <w:p>
      <w:r>
        <w:rPr>
          <w:rFonts w:eastAsia="思源黑体" w:ascii="Times New Roman" w:hAnsi="Times New Roman" w:cs="Times New Roman"/>
        </w:rPr>
        <w:t>· 建议同步更新 GitHub README 中的版本号与 DOI 信息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{"Label":"1","ContentProducer":"001191440300708461136T1WFUO","ProduceID":"f84d03187e111b545fc263cd650b805f-ei4a","ReservedCode1":"{\"Type\":\" TC260PG\",\"Version\":1,\"Bindings\":[{\"Type\":\"soft\",\"AlgID\":\"sm3\",\"Value\":\"2507f41e62f0c23487d85c57627fcc2a8cfe4a0186706924b9f18c2a16caf540\"},{\"Type\":\"hash\",\"AlgID\":\"sm3\",\"Value\":\"66a5240bee71bb78483f4374ec5d9f5576d087df23cccb10163bda361c936c2f\"}],\"PubSD\":[{\"Type\":\"DS\",\"AlgID\":\"sm2\",\"TBSData\":{\"Type\":\"Binding\",\"BType\":\"hash\"},\"Signature\":\"3046022100a9b224f8476ea545c58484052f7b9dc24518e763b24a114ed8f46ae35075d121022100d60520736c7ab220b52bcbaa9a66769254156890934359dd67c4c61b46705ad4\"},{\"Type\":\"PubKey\",\"AlgID\":\"sm2\",\"KeyValue\":\"0407f79b28a17a752b3aae4305c98b48978213832729a2571850b1310b2bc9fe8fee039ccf25ebfeac27502414d9fcef792d777183c98893d226171c2f7a3289a2\"}],\"Extension\":{\"Timestamp\":1790232619,\"KeyVersion\":\"v1-TxLeOmf7bqU223\"}}","ContentPropagator":"001191440300708461136T1WFUO","PropagateID":"f84d03187e111b545fc263cd650b805f-ei4a","ReservedCode2":"{\"Type\":\" TC260PG\",\"Version\":1,\"Bindings\":[{\"Type\":\"soft\",\"AlgID\":\"sm3\",\"Value\":\"2507f41e62f0c23487d85c57627fcc2a8cfe4a0186706924b9f18c2a16caf540\"},{\"Type\":\"hash\",\"AlgID\":\"sm3\",\"Value\":\"66a5240bee71bb78483f4374ec5d9f5576d087df23cccb10163bda361c936c2f\"}],\"PubSD\":[{\"Type\":\"DS\",\"AlgID\":\"sm2\",\"TBSData\":{\"Type\":\"Binding\",\"BType\":\"hash\"},\"Signature\":\"3045022062713809038aa5ef7b7742788754dee5ecc8043bdc7635b46194ce7c58099a06022100dcbfde4c8dc1e4ced86988f32f120636d42867b7eb0e8d692f24489ca5e0e3e7\"},{\"Type\":\"PubKey\",\"AlgID\":\"sm2\",\"KeyValue\":\"0407f79b28a17a752b3aae4305c98b48978213832729a2571850b1310b2bc9fe8fee039ccf25ebfeac27502414d9fcef792d777183c98893d226171c2f7a3289a2\"}],\"Extension\":{\"Timestamp\":1790232619,\"KeyVersion\":\"v1-TxLeOmf7bqU223\"}}"}</vt:lpwstr>
  </property>
</Properties>
</file>