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Evidence In flow</w:t>
      </w:r>
    </w:p>
    <w:p>
      <w:pPr>
        <w:pStyle w:val="TextBody"/>
        <w:bidi w:val="0"/>
        <w:jc w:val="left"/>
        <w:rPr/>
      </w:pPr>
      <w:r>
        <w:rPr/>
        <w:t>Please note that this is an extensive, but best effort analysis. The following is to be read in conjunction with table AE below, and graph set A</w:t>
      </w:r>
      <w:r>
        <w:rPr/>
        <w:t>TG</w:t>
      </w:r>
      <w:r>
        <w:rPr/>
        <w:t>1 attached.</w:t>
      </w:r>
    </w:p>
    <w:p>
      <w:pPr>
        <w:pStyle w:val="TextBody"/>
        <w:bidi w:val="0"/>
        <w:jc w:val="left"/>
        <w:rPr/>
      </w:pPr>
      <w:r>
        <w:rPr/>
        <w:t>Soon after release, Tate sends around 200K+ from a wallet linked to the War Room / Hustlers University. One hop later, that 200K joins a transaction pool totalling approximately $8 million. Within the same day, that $8 million is sent forward 11 more times in similar transactions. At each stage, a new 'burner wallet' is used to forward the funds to the next wallet. Each wallet is drained of all funds within a single transaction.</w:t>
      </w:r>
    </w:p>
    <w:p>
      <w:pPr>
        <w:pStyle w:val="TextBody"/>
        <w:bidi w:val="0"/>
        <w:spacing w:lineRule="auto" w:line="276" w:before="0" w:after="140"/>
        <w:jc w:val="left"/>
        <w:rPr/>
      </w:pPr>
      <w:r>
        <w:rPr/>
        <w:t>Questions: Is it possible that 10 separate entities in a chain of transactions all used a burner wallet and spent the money within the same day? It is possible, but unlikely.</w:t>
      </w:r>
    </w:p>
    <w:p>
      <w:pPr>
        <w:pStyle w:val="TextBody"/>
        <w:bidi w:val="0"/>
        <w:spacing w:lineRule="auto" w:line="276" w:before="0" w:after="140"/>
        <w:jc w:val="left"/>
        <w:rPr/>
      </w:pPr>
      <w:r>
        <w:rPr/>
        <w:t>At each stage, the primary method used to obfuscate the transaction is to include many smaller destination wallets or ‘outputs’ within the same transactions, with the bulk of the money following a main branch. The smaller branches may yet prove to be consequential in the overall scheme. On the 12th hop, highlighted in red, obfuscation reaches levels that have yet to be completely understood. Be that as it may, it can be stated with high confidence that the eventual cash-out points are various crypto exchanges operating in The Seychelles.</w:t>
      </w:r>
    </w:p>
    <w:p>
      <w:pPr>
        <w:pStyle w:val="TextBody"/>
        <w:bidi w:val="0"/>
        <w:spacing w:lineRule="auto" w:line="276" w:before="0" w:after="140"/>
        <w:jc w:val="left"/>
        <w:rPr/>
      </w:pPr>
      <w:r>
        <w:rPr/>
        <w:t>Please note that on the 11</w:t>
      </w:r>
      <w:r>
        <w:rPr>
          <w:vertAlign w:val="superscript"/>
        </w:rPr>
        <w:t>th</w:t>
      </w:r>
      <w:r>
        <w:rPr/>
        <w:t xml:space="preserve"> hop,a new major branch is formed. To be clear, a larger chunk of the money takes a new route. This second branch will be addressed in a separate document.</w:t>
      </w:r>
    </w:p>
    <w:p>
      <w:pPr>
        <w:pStyle w:val="TextBody"/>
        <w:bidi w:val="0"/>
        <w:spacing w:lineRule="auto" w:line="276" w:before="0" w:after="140"/>
        <w:jc w:val="left"/>
        <w:rPr/>
      </w:pPr>
      <w:r>
        <w:rPr/>
        <w:t>For reasons of clarity, the hops beyond the 11th will be discussed and analysed in a separate document.</w:t>
      </w:r>
    </w:p>
    <w:p>
      <w:pPr>
        <w:pStyle w:val="TextBody"/>
        <w:bidi w:val="0"/>
        <w:jc w:val="left"/>
        <w:rPr/>
      </w:pPr>
      <w:r>
        <w:rPr/>
      </w:r>
    </w:p>
    <w:p>
      <w:pPr>
        <w:pStyle w:val="Normal"/>
        <w:bidi w:val="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numPr>
          <w:ilvl w:val="1"/>
          <w:numId w:val="2"/>
        </w:numPr>
        <w:bidi w:val="0"/>
        <w:jc w:val="left"/>
        <w:rPr/>
      </w:pPr>
      <w:r>
        <w:rPr/>
        <w:t>Table AE</w:t>
      </w:r>
    </w:p>
    <w:p>
      <w:pPr>
        <w:pStyle w:val="Normal"/>
        <w:bidi w:val="0"/>
        <w:jc w:val="left"/>
        <w:rPr/>
      </w:pPr>
      <w:r>
        <w:rPr/>
      </w:r>
    </w:p>
    <w:p>
      <w:pPr>
        <w:pStyle w:val="Normal"/>
        <w:bidi w:val="0"/>
        <w:jc w:val="left"/>
        <w:rPr/>
      </w:pPr>
      <w:r>
        <w:rPr/>
        <w:object w:dxaOrig="17920" w:dyaOrig="4096">
          <v:shape id="ole_rId2" style="width:767.8pt;height:172.9pt" o:ole="">
            <v:imagedata r:id="rId3" o:title=""/>
          </v:shape>
          <o:OLEObject Type="Embed" ProgID="Excel.Sheet.12" ShapeID="ole_rId2" DrawAspect="Content" ObjectID="_621215726" r:id="rId2"/>
        </w:objec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footerReference w:type="default" r:id="rId4"/>
      <w:type w:val="nextPage"/>
      <w:pgSz w:orient="landscape" w:w="16838" w:h="11906"/>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7285" w:leader="none"/>
        <w:tab w:val="right" w:pos="1457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2</Pages>
  <Words>282</Words>
  <Characters>1344</Characters>
  <CharactersWithSpaces>1619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2023-04-12T23:23:12Z</dcterms:created>
  <dc:creator/>
  <dc:description/>
  <dc:language>en-GB</dc:language>
  <cp:lastModifiedBy/>
  <dcterms:modified xsi:type="dcterms:W3CDTF">2023-04-13T21:19:26Z</dcterms:modified>
  <cp:revision>5</cp:revision>
  <dc:subject/>
  <dc:title/>
</cp:coreProperties>
</file>