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80"/>
        <w:jc w:val="center"/>
      </w:pPr>
      <w:r>
        <w:rPr>
          <w:rFonts w:ascii="Calibri" w:hAnsi="Calibri" w:eastAsia="宋体"/>
          <w:b/>
          <w:color w:val="2E74B5"/>
          <w:sz w:val="22"/>
        </w:rPr>
        <w:t>研究方法整理</w:t>
      </w:r>
    </w:p>
    <w:p>
      <w:pPr>
        <w:spacing w:after="240"/>
        <w:jc w:val="center"/>
      </w:pPr>
      <w:r>
        <w:rPr>
          <w:rFonts w:ascii="Calibri" w:hAnsi="Calibri" w:eastAsia="宋体"/>
          <w:b/>
          <w:color w:val="203748"/>
          <w:sz w:val="50"/>
        </w:rPr>
        <w:t>联合算力—能源不确定性下的</w:t>
        <w:br/>
        <w:t>数据驱动鲁棒优化框架</w:t>
      </w:r>
    </w:p>
    <w:p>
      <w:pPr>
        <w:spacing w:after="640"/>
        <w:jc w:val="center"/>
      </w:pPr>
      <w:r>
        <w:rPr>
          <w:rFonts w:ascii="Calibri" w:hAnsi="Calibri" w:eastAsia="宋体"/>
          <w:color w:val="666666"/>
          <w:sz w:val="26"/>
        </w:rPr>
        <w:t>有限支持 TV-DRO、静态 Γ-RO 与两阶段有限追索</w:t>
      </w:r>
    </w:p>
    <w:tbl>
      <w:tblPr>
        <w:tblW w:type="dxa" w:w="9360"/>
        <w:jc w:val="left"/>
        <w:tblLayout w:type="fixed"/>
        <w:tblLook w:firstColumn="1" w:firstRow="1" w:lastColumn="0" w:lastRow="0" w:noHBand="0" w:noVBand="1" w:val="04A0"/>
        <w:tblInd w:w="120" w:type="dxa"/>
        <w:tblBorders>
          <w:top w:val="single" w:sz="8" w:color="AFC4D6"/>
          <w:left w:val="single" w:sz="8" w:color="AFC4D6"/>
          <w:bottom w:val="single" w:sz="8" w:color="AFC4D6"/>
          <w:right w:val="single" w:sz="8" w:color="AFC4D6"/>
          <w:insideH w:val="single" w:sz="8" w:color="AFC4D6"/>
          <w:insideV w:val="single" w:sz="8" w:color="AFC4D6"/>
        </w:tblBorders>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eastAsia="宋体"/>
                <w:b/>
                <w:color w:val="1F4D78"/>
                <w:sz w:val="20"/>
              </w:rPr>
              <w:t xml:space="preserve">定位 </w:t>
            </w:r>
            <w:r>
              <w:rPr>
                <w:rFonts w:ascii="Calibri" w:hAnsi="Calibri" w:eastAsia="宋体"/>
                <w:color w:val="000000"/>
                <w:sz w:val="20"/>
              </w:rPr>
              <w:t>本文档依据仓库中的正式模型、实现代码与冻结实验配置整理。核心方法是有限联合场景支持上的总变差分布鲁棒机会约束（TV-DRO），参考图中的一般两阶段随机鲁棒结构仅用于组织表达，不作为本研究的模型来源。</w:t>
            </w:r>
          </w:p>
        </w:tc>
      </w:tr>
    </w:tbl>
    <w:p>
      <w:pPr>
        <w:spacing w:before="800"/>
        <w:jc w:val="center"/>
      </w:pPr>
      <w:r>
        <w:rPr>
          <w:rFonts w:ascii="Calibri" w:hAnsi="Calibri" w:eastAsia="宋体"/>
          <w:color w:val="666666"/>
          <w:sz w:val="21"/>
        </w:rPr>
        <w:t>模型版本：研究设计 v3</w:t>
        <w:br/>
        <w:t>整理日期：2026年9月</w:t>
      </w:r>
    </w:p>
    <w:p>
      <w:r>
        <w:br w:type="page"/>
      </w:r>
    </w:p>
    <w:p>
      <w:pPr>
        <w:pStyle w:val="Heading1"/>
      </w:pPr>
      <w:r>
        <w:t>1 研究问题与框架定位</w:t>
      </w:r>
    </w:p>
    <w:p>
      <w:pPr/>
      <w:r>
        <w:rPr>
          <w:rFonts w:ascii="Calibri" w:hAnsi="Calibri" w:eastAsia="宋体"/>
          <w:color w:val="000000"/>
          <w:sz w:val="22"/>
        </w:rPr>
        <w:t>本研究面向 Alibaba cluster-trace-v2018 驱动的聚合数据中心场景，研究在柔性算力可调度域、光伏可用出力和风电可用出力同时存在不确定性时，如何联合安排批处理负载、储能充放电和电网购电。研究目标是在既定风光储配置下最小化调度相关运行成本，并控制算力包络、并网容量和电网爬坡三类运行风险。</w:t>
      </w:r>
    </w:p>
    <w:p>
      <w:pPr/>
      <w:r>
        <w:rPr>
          <w:rFonts w:ascii="Calibri" w:hAnsi="Calibri" w:eastAsia="宋体"/>
          <w:color w:val="000000"/>
          <w:sz w:val="22"/>
        </w:rPr>
        <w:t>模型不是容量规划模型，也不是成本—碳排放加权多目标模型。风光与储能装机容量在各方法间固定；碳强度只在求解后用于购电排放核算，不进入目标函数、可行性约束或鲁棒风险门槛。</w:t>
      </w:r>
    </w:p>
    <w:tbl>
      <w:tblPr>
        <w:tblW w:type="dxa" w:w="9360"/>
        <w:jc w:val="left"/>
        <w:tblLayout w:type="fixed"/>
        <w:tblLook w:firstColumn="1" w:firstRow="1" w:lastColumn="0" w:lastRow="0" w:noHBand="0" w:noVBand="1" w:val="04A0"/>
        <w:tblInd w:w="120" w:type="dxa"/>
        <w:tblBorders>
          <w:top w:val="single" w:sz="8" w:color="AFC4D6"/>
          <w:left w:val="single" w:sz="8" w:color="AFC4D6"/>
          <w:bottom w:val="single" w:sz="8" w:color="AFC4D6"/>
          <w:right w:val="single" w:sz="8" w:color="AFC4D6"/>
          <w:insideH w:val="single" w:sz="8" w:color="AFC4D6"/>
          <w:insideV w:val="single" w:sz="8" w:color="AFC4D6"/>
        </w:tblBorders>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eastAsia="宋体"/>
                <w:b/>
                <w:color w:val="1F4D78"/>
                <w:sz w:val="20"/>
              </w:rPr>
              <w:t xml:space="preserve">核心判断 </w:t>
            </w:r>
            <w:r>
              <w:rPr>
                <w:rFonts w:ascii="Calibri" w:hAnsi="Calibri" w:eastAsia="宋体"/>
                <w:color w:val="000000"/>
                <w:sz w:val="20"/>
              </w:rPr>
              <w:t>本研究所称“DRO”专指有限支持 TV-DRO：它在完整联合场景上改变概率权重，而不是独立扰动每个参数，也不是 Wasserstein-DRO。静态 Γ-RO 是不保留能源联合相关性的对照方法，两者不得混称。</w:t>
            </w:r>
          </w:p>
        </w:tc>
      </w:tr>
    </w:tbl>
    <w:p>
      <w:pPr>
        <w:pStyle w:val="Heading1"/>
      </w:pPr>
      <w:r>
        <w:t>2 两阶段决策结构</w:t>
      </w:r>
    </w:p>
    <w:p>
      <w:pPr/>
      <w:r>
        <w:rPr>
          <w:rFonts w:ascii="Calibri" w:hAnsi="Calibri" w:eastAsia="宋体"/>
          <w:color w:val="000000"/>
          <w:sz w:val="22"/>
        </w:rPr>
        <w:t>在一天前先确定跨场景共享的名义计划；不确定性揭示后，只允许批处理负载进行有限追索，并由电网购电与弃电被动完成平衡。BESS 动作在所有场景中固定，因此第二阶段不是储能的实时再优化。</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800"/>
        <w:gridCol w:w="3000"/>
        <w:gridCol w:w="4560"/>
      </w:tblGrid>
      <w:tr>
        <w:trPr>
          <w:cantSplit/>
          <w:tblHeader w:val="true"/>
        </w:trPr>
        <w:tc>
          <w:tcPr>
            <w:tcW w:type="dxa" w:w="18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阶段</w:t>
            </w:r>
          </w:p>
        </w:tc>
        <w:tc>
          <w:tcPr>
            <w:tcW w:type="dxa" w:w="30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主要变量</w:t>
            </w:r>
          </w:p>
        </w:tc>
        <w:tc>
          <w:tcPr>
            <w:tcW w:type="dxa" w:w="456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信息可用性与作用</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第一阶段（日前）</w:t>
            </w:r>
          </w:p>
        </w:tc>
        <w:tc>
          <w:tcPr>
            <w:tcW w:type="dxa" w:w="30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ūₜ，xᶜʰₜ，xᵈⁱˢₜ，eₜ，ḡₜ，q̄ₜ</w:t>
            </w:r>
          </w:p>
        </w:tc>
        <w:tc>
          <w:tcPr>
            <w:tcW w:type="dxa" w:w="4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只使用名义工作量、日前价格和预测风光；形成跨场景共享计划。</w:t>
            </w:r>
          </w:p>
        </w:tc>
      </w:tr>
      <w:tr>
        <w:trPr>
          <w:cantSplit/>
        </w:trPr>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第二阶段（场景 s）</w:t>
            </w:r>
          </w:p>
        </w:tc>
        <w:tc>
          <w:tcPr>
            <w:tcW w:type="dxa" w:w="30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uₛ,ₜ，gₛ,ₜ，qₛ,ₜ，Yˡₛ，Yᵍₛ，Yʳₛ</w:t>
            </w:r>
          </w:p>
        </w:tc>
        <w:tc>
          <w:tcPr>
            <w:tcW w:type="dxa" w:w="4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观察联合场景后调整批处理；识别算力包络、并网和爬坡事件。</w:t>
            </w:r>
          </w:p>
        </w:tc>
      </w:tr>
    </w:tbl>
    <w:p>
      <w:pPr>
        <w:pStyle w:val="Heading1"/>
      </w:pPr>
      <w:r>
        <w:t>3 确定性基座模型</w:t>
      </w:r>
    </w:p>
    <w:p>
      <w:pPr>
        <w:pStyle w:val="Heading2"/>
      </w:pPr>
      <w:r>
        <w:t>3.1 集合、变量与单位</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500"/>
        <w:gridCol w:w="5100"/>
        <w:gridCol w:w="2760"/>
      </w:tblGrid>
      <w:tr>
        <w:trPr>
          <w:cantSplit/>
          <w:tblHeader w:val="true"/>
        </w:trPr>
        <w:tc>
          <w:tcPr>
            <w:tcW w:type="dxa" w:w="15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符号</w:t>
            </w:r>
          </w:p>
        </w:tc>
        <w:tc>
          <w:tcPr>
            <w:tcW w:type="dxa" w:w="51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含义</w:t>
            </w:r>
          </w:p>
        </w:tc>
        <w:tc>
          <w:tcPr>
            <w:tcW w:type="dxa" w:w="276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单位/备注</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t ∈ 𝒯</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小时调度时段，主窗口 T=720</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 h</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bₜ，uₜ=γbₜ</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批处理占用核数及其设施功率</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core；MW</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gₜ</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电网购电功率</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MW</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xᶜʰₜ，xᵈⁱˢₜ，eₜ</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BESS 充电、放电功率与能量</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MW；MWh</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zᴾⱽₜ，zᵂₜ</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光伏与风电弃电功率</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MW</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Aₜ，Dₜ</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累计可执行上界与累计必须完成下界</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由同一释放轨迹派生</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Gᵐᵃˣ，Rᵐᵃˣ</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并网功率与相邻时段爬坡上限</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MW</w:t>
            </w:r>
          </w:p>
        </w:tc>
      </w:tr>
      <w:tr>
        <w:trPr>
          <w:cantSplit/>
        </w:trPr>
        <w:tc>
          <w:tcPr>
            <w:tcW w:type="dxa" w:w="1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κ，Cᵉᶠᶠ</w:t>
            </w:r>
          </w:p>
        </w:tc>
        <w:tc>
          <w:tcPr>
            <w:tcW w:type="dxa" w:w="5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有效容量比例与有效回放核数</w:t>
            </w:r>
          </w:p>
        </w:tc>
        <w:tc>
          <w:tcPr>
            <w:tcW w:type="dxa" w:w="27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Cᵉᶠᶠ=κCᵖʰʸˢⁱᶜᵃˡ</w:t>
            </w:r>
          </w:p>
        </w:tc>
      </w:tr>
    </w:tbl>
    <w:p>
      <w:pPr>
        <w:pStyle w:val="Heading2"/>
      </w:pPr>
      <w:r>
        <w:t>3.2 风光映射与功率平衡</w:t>
      </w:r>
    </w:p>
    <w:p>
      <w:pPr/>
      <w:r>
        <w:rPr>
          <w:rFonts w:ascii="Calibri" w:hAnsi="Calibri" w:eastAsia="宋体"/>
          <w:color w:val="000000"/>
          <w:sz w:val="22"/>
        </w:rPr>
        <w:t>ERCOT 系统级日前预测仅提供本地反事实风光资源的时间形状，按固定参考值映射到既定的本地光伏、风电容量。设施负载由基座功率、固定在线负载和可调批处理功率组成。</w:t>
      </w:r>
    </w:p>
    <w:p>
      <w:pPr>
        <w:keepLines/>
        <w:spacing w:before="80" w:after="140"/>
        <w:jc w:val="center"/>
      </w:pPr>
      <w:r>
        <w:rPr>
          <w:rFonts w:ascii="Cambria Math" w:hAnsi="Cambria Math" w:eastAsia="宋体"/>
          <w:color w:val="000000"/>
          <w:sz w:val="21"/>
        </w:rPr>
        <w:t>P̂ᴾⱽₜ = Kᴾⱽ Ŝₜ/Sʳᵉᶠ，    P̂ᵂₜ = Kᵂ Ŵₜ/Wʳᵉᶠ</w:t>
      </w:r>
      <w:r>
        <w:rPr>
          <w:rFonts w:ascii="Cambria Math" w:hAnsi="Cambria Math" w:eastAsia="宋体"/>
          <w:color w:val="000000"/>
          <w:sz w:val="21"/>
        </w:rPr>
        <w:t xml:space="preserve">    (1)</w:t>
      </w:r>
    </w:p>
    <w:p>
      <w:pPr>
        <w:keepLines/>
        <w:spacing w:before="80" w:after="140"/>
        <w:jc w:val="center"/>
      </w:pPr>
      <w:r>
        <w:rPr>
          <w:rFonts w:ascii="Cambria Math" w:hAnsi="Cambria Math" w:eastAsia="宋体"/>
          <w:color w:val="000000"/>
          <w:sz w:val="21"/>
        </w:rPr>
        <w:t>gₜ +(P̂ᴾⱽₜ−zᴾⱽₜ)+(P̂ᵂₜ−zᵂₜ)+xᵈⁱˢₜ = Pᵇᵃˢᵉ+lᵒⁿ+uₜ+xᶜʰₜ</w:t>
      </w:r>
      <w:r>
        <w:rPr>
          <w:rFonts w:ascii="Cambria Math" w:hAnsi="Cambria Math" w:eastAsia="宋体"/>
          <w:color w:val="000000"/>
          <w:sz w:val="21"/>
        </w:rPr>
        <w:t xml:space="preserve">    (2)</w:t>
      </w:r>
    </w:p>
    <w:p>
      <w:pPr/>
      <w:r>
        <w:rPr>
          <w:rFonts w:ascii="Calibri" w:hAnsi="Calibri" w:eastAsia="宋体"/>
          <w:color w:val="000000"/>
          <w:sz w:val="22"/>
        </w:rPr>
        <w:t>弃电变量满足 0≤zᴾⱽₜ≤P̂ᴾⱽₜ、0≤zᵂₜ≤P̂ᵂₜ，且 gₜ≥0。风光直接减少购电；碳强度不参与功率平衡。</w:t>
      </w:r>
    </w:p>
    <w:p>
      <w:pPr>
        <w:pStyle w:val="Heading2"/>
      </w:pPr>
      <w:r>
        <w:t>3.3 柔性算力包络与容量闭合</w:t>
      </w:r>
    </w:p>
    <w:p>
      <w:pPr>
        <w:keepLines/>
        <w:spacing w:before="80" w:after="140"/>
        <w:jc w:val="center"/>
      </w:pPr>
      <w:r>
        <w:rPr>
          <w:rFonts w:ascii="Cambria Math" w:hAnsi="Cambria Math" w:eastAsia="宋体"/>
          <w:color w:val="000000"/>
          <w:sz w:val="21"/>
        </w:rPr>
        <w:t>Dₜ ≤ Σ(τ≤t)bτΔt ≤ Aₜ，    0 ≤ bₜΔt ≤ Uʷⁱⁿₜ</w:t>
      </w:r>
      <w:r>
        <w:rPr>
          <w:rFonts w:ascii="Cambria Math" w:hAnsi="Cambria Math" w:eastAsia="宋体"/>
          <w:color w:val="000000"/>
          <w:sz w:val="21"/>
        </w:rPr>
        <w:t xml:space="preserve">    (3)</w:t>
      </w:r>
    </w:p>
    <w:p>
      <w:pPr>
        <w:keepLines/>
        <w:spacing w:before="80" w:after="140"/>
        <w:jc w:val="center"/>
      </w:pPr>
      <w:r>
        <w:rPr>
          <w:rFonts w:ascii="Cambria Math" w:hAnsi="Cambria Math" w:eastAsia="宋体"/>
          <w:color w:val="000000"/>
          <w:sz w:val="21"/>
        </w:rPr>
        <w:t>Cᵉᶠᶠ=κCᵖʰʸˢⁱᶜᵃˡ，    o+bₜ≤Cᵉᶠᶠ，    uₜ=γbₜ</w:t>
      </w:r>
      <w:r>
        <w:rPr>
          <w:rFonts w:ascii="Cambria Math" w:hAnsi="Cambria Math" w:eastAsia="宋体"/>
          <w:color w:val="000000"/>
          <w:sz w:val="21"/>
        </w:rPr>
        <w:t xml:space="preserve">    (4)</w:t>
      </w:r>
    </w:p>
    <w:p>
      <w:pPr/>
      <w:r>
        <w:rPr>
          <w:rFonts w:ascii="Calibri" w:hAnsi="Calibri" w:eastAsia="宋体"/>
          <w:color w:val="000000"/>
          <w:sz w:val="22"/>
        </w:rPr>
        <w:t>在线预留 o 是固定参数。实现中把共享容量约束消去为 uₜ≤γ(Cᵉᶠᶠ−o)，但这不意味着在线业务不占容量。核心要求是：在线负载、批处理量与累计包络在进入调度器前使用同一容量闭合尺度，不能在同一约束中混用 core/core-hour 与 MW/MWh。</w:t>
      </w:r>
    </w:p>
    <w:p>
      <w:pPr>
        <w:pStyle w:val="Heading2"/>
      </w:pPr>
      <w:r>
        <w:t>3.4 储能、并网与爬坡</w:t>
      </w:r>
    </w:p>
    <w:p>
      <w:pPr>
        <w:keepLines/>
        <w:spacing w:before="80" w:after="140"/>
        <w:jc w:val="center"/>
      </w:pPr>
      <w:r>
        <w:rPr>
          <w:rFonts w:ascii="Cambria Math" w:hAnsi="Cambria Math" w:eastAsia="宋体"/>
          <w:color w:val="000000"/>
          <w:sz w:val="21"/>
        </w:rPr>
        <w:t>eₜ₊₁=eₜ+ηᶜʰxᶜʰₜ−xᵈⁱˢₜ/ηᵈⁱˢ，    SOCᵐⁱⁿEᴮ≤eₜ≤SOCᵐᵃˣEᴮ</w:t>
      </w:r>
      <w:r>
        <w:rPr>
          <w:rFonts w:ascii="Cambria Math" w:hAnsi="Cambria Math" w:eastAsia="宋体"/>
          <w:color w:val="000000"/>
          <w:sz w:val="21"/>
        </w:rPr>
        <w:t xml:space="preserve">    (5)</w:t>
      </w:r>
    </w:p>
    <w:p>
      <w:pPr>
        <w:keepLines/>
        <w:spacing w:before="80" w:after="140"/>
        <w:jc w:val="center"/>
      </w:pPr>
      <w:r>
        <w:rPr>
          <w:rFonts w:ascii="Cambria Math" w:hAnsi="Cambria Math" w:eastAsia="宋体"/>
          <w:color w:val="000000"/>
          <w:sz w:val="21"/>
        </w:rPr>
        <w:t>0≤xᶜʰₜ,xᵈⁱˢₜ≤Pᴮ，    e_T=e₀，    0≤gₜ≤Gᵐᵃˣ，    |gₜ−gₜ₋₁|≤Rᵐᵃˣ</w:t>
      </w:r>
      <w:r>
        <w:rPr>
          <w:rFonts w:ascii="Cambria Math" w:hAnsi="Cambria Math" w:eastAsia="宋体"/>
          <w:color w:val="000000"/>
          <w:sz w:val="21"/>
        </w:rPr>
        <w:t xml:space="preserve">    (6)</w:t>
      </w:r>
    </w:p>
    <w:p>
      <w:pPr/>
      <w:r>
        <w:rPr>
          <w:rFonts w:ascii="Calibri" w:hAnsi="Calibri" w:eastAsia="宋体"/>
          <w:color w:val="000000"/>
          <w:sz w:val="22"/>
        </w:rPr>
        <w:t>确定性基线用二元变量严格禁止同一小时同时充放。为控制 720 小时联合模型规模，SAA、Γ-RO 与 TV-DRO 使用 xᶜʰₜ+xᵈⁱˢₜ≤Pᴮ 的凸包形式，并在返回结果前审计 min(xᶜʰₜ,xᵈⁱˢₜ)≤10⁻⁶；不通过审计的候选不得进入结果。</w:t>
      </w:r>
    </w:p>
    <w:p>
      <w:pPr>
        <w:pStyle w:val="Heading2"/>
      </w:pPr>
      <w:r>
        <w:t>3.5 目标函数</w:t>
      </w:r>
    </w:p>
    <w:p>
      <w:pPr>
        <w:keepLines/>
        <w:spacing w:before="80" w:after="140"/>
        <w:jc w:val="center"/>
      </w:pPr>
      <w:r>
        <w:rPr>
          <w:rFonts w:ascii="Cambria Math" w:hAnsi="Cambria Math" w:eastAsia="宋体"/>
          <w:color w:val="000000"/>
          <w:sz w:val="21"/>
        </w:rPr>
        <w:t>min Cₒₚ = Σₜ pₜgₜΔt + c_deg Σₜ(xᶜʰₜ+xᵈⁱˢₜ)Δt</w:t>
      </w:r>
      <w:r>
        <w:rPr>
          <w:rFonts w:ascii="Cambria Math" w:hAnsi="Cambria Math" w:eastAsia="宋体"/>
          <w:color w:val="000000"/>
          <w:sz w:val="21"/>
        </w:rPr>
        <w:t xml:space="preserve">    (7)</w:t>
      </w:r>
    </w:p>
    <w:p>
      <w:pPr/>
      <w:r>
        <w:rPr>
          <w:rFonts w:ascii="Calibri" w:hAnsi="Calibri" w:eastAsia="宋体"/>
          <w:color w:val="000000"/>
          <w:sz w:val="22"/>
        </w:rPr>
        <w:t>Cₒₚ 只包含日前电价估值的购电成本和 BESS 总吞吐衰减成本。充、放电吞吐直接相加，不除以 2。固定运维和年化投资成本因资产配置在方法间相同而不进入目标及成本降低率。求解后再计算预测/实际消费侧碳排放，因此环境绩效与优化目标保持分离。</w:t>
      </w:r>
    </w:p>
    <w:p>
      <w:pPr>
        <w:pStyle w:val="Heading1"/>
      </w:pPr>
      <w:r>
        <w:t>4 联合不确定性的构造</w:t>
      </w:r>
    </w:p>
    <w:p>
      <w:pPr>
        <w:pStyle w:val="Heading2"/>
      </w:pPr>
      <w:r>
        <w:t>4.1 算力侧：可调度域不确定性</w:t>
      </w:r>
    </w:p>
    <w:p>
      <w:pPr/>
      <w:r>
        <w:rPr>
          <w:rFonts w:ascii="Calibri" w:hAnsi="Calibri" w:eastAsia="宋体"/>
          <w:color w:val="000000"/>
          <w:sz w:val="22"/>
        </w:rPr>
        <w:t>算力侧不确定性不是总任务量波动，而是批处理释放时序变化导致可调度域改变。对重采样释放轨迹 qʳᵃʷₛ,ₜ，先归一化为份额轨迹，再缩放到所有方法共享的固定总工作量 W*。</w:t>
      </w:r>
    </w:p>
    <w:p>
      <w:pPr>
        <w:keepLines/>
        <w:spacing w:before="80" w:after="140"/>
        <w:jc w:val="center"/>
      </w:pPr>
      <w:r>
        <w:rPr>
          <w:rFonts w:ascii="Cambria Math" w:hAnsi="Cambria Math" w:eastAsia="宋体"/>
          <w:color w:val="000000"/>
          <w:sz w:val="21"/>
        </w:rPr>
        <w:t>φᴸₛ,ₜ=qʳᵃʷₛ,ₜ/Στqʳᵃʷₛ,τ，    qₛ,ₜ=W*φᴸₛ,ₜ，    Σₜφᴸₛ,ₜ=1</w:t>
      </w:r>
      <w:r>
        <w:rPr>
          <w:rFonts w:ascii="Cambria Math" w:hAnsi="Cambria Math" w:eastAsia="宋体"/>
          <w:color w:val="000000"/>
          <w:sz w:val="21"/>
        </w:rPr>
        <w:t xml:space="preserve">    (8)</w:t>
      </w:r>
    </w:p>
    <w:p>
      <w:pPr/>
      <w:r>
        <w:rPr>
          <w:rFonts w:ascii="Calibri" w:hAnsi="Calibri" w:eastAsia="宋体"/>
          <w:color w:val="000000"/>
          <w:sz w:val="22"/>
        </w:rPr>
        <w:t>随机原语是完整轨迹 φᴸₛ,1:T。累计上界 Aₛ,ₜ 与下界 Dₛ,ₜ 必须由同一轨迹和固定柔性窗口 H 成对派生，不能独立扰动，否则可能产生不单调、D&gt;A 或端点不闭合的非物理场景。</w:t>
      </w:r>
    </w:p>
    <w:p>
      <w:pPr>
        <w:pStyle w:val="Heading2"/>
      </w:pPr>
      <w:r>
        <w:t>4.2 能源侧：风光联合残差</w:t>
      </w:r>
    </w:p>
    <w:p>
      <w:pPr>
        <w:keepLines/>
        <w:spacing w:before="80" w:after="140"/>
        <w:jc w:val="center"/>
      </w:pPr>
      <w:r>
        <w:rPr>
          <w:rFonts w:ascii="Cambria Math" w:hAnsi="Cambria Math" w:eastAsia="宋体"/>
          <w:color w:val="000000"/>
          <w:sz w:val="21"/>
        </w:rPr>
        <w:t>ξᴱ,ᵒᵖᵗ_d=(rᴾⱽ_d,1:24，rᵂ_d,1:24)</w:t>
      </w:r>
      <w:r>
        <w:rPr>
          <w:rFonts w:ascii="Cambria Math" w:hAnsi="Cambria Math" w:eastAsia="宋体"/>
          <w:color w:val="000000"/>
          <w:sz w:val="21"/>
        </w:rPr>
        <w:t xml:space="preserve">    (9)</w:t>
      </w:r>
    </w:p>
    <w:p>
      <w:pPr>
        <w:keepLines/>
        <w:spacing w:before="80" w:after="140"/>
        <w:jc w:val="center"/>
      </w:pPr>
      <w:r>
        <w:rPr>
          <w:rFonts w:ascii="Cambria Math" w:hAnsi="Cambria Math" w:eastAsia="宋体"/>
          <w:color w:val="000000"/>
          <w:sz w:val="21"/>
        </w:rPr>
        <w:t>Pᴾⱽₛ,ₜ=max(0,P̂ᴾⱽₜ+rᴾⱽₛ,ₜ)，    Pᵂₛ,ₜ=max(0,P̂ᵂₜ+rᵂₛ,ₜ)</w:t>
      </w:r>
      <w:r>
        <w:rPr>
          <w:rFonts w:ascii="Cambria Math" w:hAnsi="Cambria Math" w:eastAsia="宋体"/>
          <w:color w:val="000000"/>
          <w:sz w:val="21"/>
        </w:rPr>
        <w:t xml:space="preserve">    (10)</w:t>
      </w:r>
    </w:p>
    <w:p>
      <w:pPr/>
      <w:r>
        <w:rPr>
          <w:rFonts w:ascii="Calibri" w:hAnsi="Calibri" w:eastAsia="宋体"/>
          <w:color w:val="000000"/>
          <w:sz w:val="22"/>
        </w:rPr>
        <w:t>2024 年同一日块中的光伏与风电有符号残差共同进入场景，从而保留日内结构与两类资源的相关性。碳残差可随日块保存用于事后排放核算，但不属于优化不确定向量。</w:t>
      </w:r>
    </w:p>
    <w:p>
      <w:pPr>
        <w:pStyle w:val="Heading2"/>
      </w:pPr>
      <w:r>
        <w:t>4.3 30 天联合场景</w:t>
      </w:r>
    </w:p>
    <w:p>
      <w:pPr>
        <w:keepLines/>
        <w:spacing w:before="80" w:after="140"/>
        <w:jc w:val="center"/>
      </w:pPr>
      <w:r>
        <w:rPr>
          <w:rFonts w:ascii="Cambria Math" w:hAnsi="Cambria Math" w:eastAsia="宋体"/>
          <w:color w:val="000000"/>
          <w:sz w:val="21"/>
        </w:rPr>
        <w:t>ξₛ=(ξᴸₛ,ξᴱ,ᵒᵖᵗₛ)=(φᴸₛ,1:T，rᴾⱽₛ,1:T，rᵂₛ,1:T)，    T=720</w:t>
      </w:r>
      <w:r>
        <w:rPr>
          <w:rFonts w:ascii="Cambria Math" w:hAnsi="Cambria Math" w:eastAsia="宋体"/>
          <w:color w:val="000000"/>
          <w:sz w:val="21"/>
        </w:rPr>
        <w:t xml:space="preserve">    (11)</w:t>
      </w:r>
    </w:p>
    <w:p>
      <w:pPr/>
      <w:r>
        <w:rPr>
          <w:rFonts w:ascii="Calibri" w:hAnsi="Calibri" w:eastAsia="宋体"/>
          <w:color w:val="000000"/>
          <w:sz w:val="22"/>
        </w:rPr>
        <w:t>算力轨迹与能源残差轨迹分别独立抽取，因此经验分布是 P̂_L⊗P̂_E 的蒙特卡洛近似。该构造保留各侧内部相关性，但不声称 Alibaba 与 ERCOT/EIA 之间存在观测到的跨侧相关性。训练、验证和回放使用不同且预登记的随机种子和清单。</w:t>
      </w:r>
    </w:p>
    <w:p>
      <w:pPr>
        <w:pStyle w:val="Heading1"/>
      </w:pPr>
      <w:r>
        <w:t>5 场景追索与三类风险事件</w:t>
      </w:r>
    </w:p>
    <w:p>
      <w:pPr/>
      <w:r>
        <w:rPr>
          <w:rFonts w:ascii="Calibri" w:hAnsi="Calibri" w:eastAsia="宋体"/>
          <w:color w:val="000000"/>
          <w:sz w:val="22"/>
        </w:rPr>
        <w:t>给定第一阶段 BESS 动作后，场景 s 的二阶段由有限批处理追索 uₛ,ₜ、电网购电 gₛ,ₜ 和弃电 qₛ,ₜ完成平衡：</w:t>
      </w:r>
    </w:p>
    <w:p>
      <w:pPr>
        <w:keepLines/>
        <w:spacing w:before="80" w:after="140"/>
        <w:jc w:val="center"/>
      </w:pPr>
      <w:r>
        <w:rPr>
          <w:rFonts w:ascii="Cambria Math" w:hAnsi="Cambria Math" w:eastAsia="宋体"/>
          <w:color w:val="000000"/>
          <w:sz w:val="21"/>
        </w:rPr>
        <w:t>gₛ,ₜ−qₛ,ₜ=Pᵐᵘˢᵗₜ+uₛ,ₜ+xᶜʰₜ−xᵈⁱˢₜ−Pᴾⱽₛ,ₜ−Pᵂₛ,ₜ</w:t>
      </w:r>
      <w:r>
        <w:rPr>
          <w:rFonts w:ascii="Cambria Math" w:hAnsi="Cambria Math" w:eastAsia="宋体"/>
          <w:color w:val="000000"/>
          <w:sz w:val="21"/>
        </w:rPr>
        <w:t xml:space="preserve">    (12)</w:t>
      </w:r>
    </w:p>
    <w:p>
      <w:pPr/>
      <w:r>
        <w:rPr>
          <w:rFonts w:ascii="Calibri" w:hAnsi="Calibri" w:eastAsia="宋体"/>
          <w:color w:val="000000"/>
          <w:sz w:val="22"/>
        </w:rPr>
        <w:t>追索必须满足 0≤uₛ,ₜ≤Uᶜᵃᵖ、固定总批处理能量以及由同一释放轨迹派生的累计包络。若追索后仍无法满足包络，则通过场景级二元变量统一松弛并记录违反，而不是直接令整个模型不可行。</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700"/>
        <w:gridCol w:w="5200"/>
        <w:gridCol w:w="2460"/>
      </w:tblGrid>
      <w:tr>
        <w:trPr>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风险通道 j</w:t>
            </w:r>
          </w:p>
        </w:tc>
        <w:tc>
          <w:tcPr>
            <w:tcW w:type="dxa" w:w="52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二元事件 Yˢʲ=1 的含义</w:t>
            </w:r>
          </w:p>
        </w:tc>
        <w:tc>
          <w:tcPr>
            <w:tcW w:type="dxa" w:w="246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幅度/审计</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L：算力包络</w:t>
            </w:r>
          </w:p>
        </w:tc>
        <w:tc>
          <w:tcPr>
            <w:tcW w:type="dxa" w:w="52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任一 t 出现累计执行量高于 Aₛ,ₜ 或低于 Dₛ,ₜ</w:t>
            </w:r>
          </w:p>
        </w:tc>
        <w:tc>
          <w:tcPr>
            <w:tcW w:type="dxa" w:w="24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报告最大包络偏差 Vˡₛ</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G：并网容量</w:t>
            </w:r>
          </w:p>
        </w:tc>
        <w:tc>
          <w:tcPr>
            <w:tcW w:type="dxa" w:w="52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任一 t 出现 gₛ,ₜ&gt;Gᵐᵃˣ</w:t>
            </w:r>
          </w:p>
        </w:tc>
        <w:tc>
          <w:tcPr>
            <w:tcW w:type="dxa" w:w="24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报告最大超限 MW</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R：电网爬坡</w:t>
            </w:r>
          </w:p>
        </w:tc>
        <w:tc>
          <w:tcPr>
            <w:tcW w:type="dxa" w:w="52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任一 t 出现 |gₛ,ₜ−gₛ,ₜ₋₁|&gt;Rᵐᵃˣ</w:t>
            </w:r>
          </w:p>
        </w:tc>
        <w:tc>
          <w:tcPr>
            <w:tcW w:type="dxa" w:w="24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报告最大超限 MW</w:t>
            </w:r>
          </w:p>
        </w:tc>
      </w:tr>
    </w:tbl>
    <w:p>
      <w:pPr>
        <w:keepLines/>
        <w:spacing w:before="80" w:after="140"/>
        <w:jc w:val="center"/>
      </w:pPr>
      <w:r>
        <w:rPr>
          <w:rFonts w:ascii="Cambria Math" w:hAnsi="Cambria Math" w:eastAsia="宋体"/>
          <w:color w:val="000000"/>
          <w:sz w:val="21"/>
        </w:rPr>
        <w:t>Pr(Yʲ=1)≤βʲ，    j∈{L,G,R}，    βᴸ=βᴳ=βᴿ=0.10</w:t>
      </w:r>
      <w:r>
        <w:rPr>
          <w:rFonts w:ascii="Cambria Math" w:hAnsi="Cambria Math" w:eastAsia="宋体"/>
          <w:color w:val="000000"/>
          <w:sz w:val="21"/>
        </w:rPr>
        <w:t xml:space="preserve">    (13)</w:t>
      </w:r>
    </w:p>
    <w:tbl>
      <w:tblPr>
        <w:tblW w:type="dxa" w:w="9360"/>
        <w:jc w:val="left"/>
        <w:tblLayout w:type="fixed"/>
        <w:tblLook w:firstColumn="1" w:firstRow="1" w:lastColumn="0" w:lastRow="0" w:noHBand="0" w:noVBand="1" w:val="04A0"/>
        <w:tblInd w:w="120" w:type="dxa"/>
        <w:tblBorders>
          <w:top w:val="single" w:sz="8" w:color="AFC4D6"/>
          <w:left w:val="single" w:sz="8" w:color="AFC4D6"/>
          <w:bottom w:val="single" w:sz="8" w:color="AFC4D6"/>
          <w:right w:val="single" w:sz="8" w:color="AFC4D6"/>
          <w:insideH w:val="single" w:sz="8" w:color="AFC4D6"/>
          <w:insideV w:val="single" w:sz="8" w:color="AFC4D6"/>
        </w:tblBorders>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eastAsia="宋体"/>
                <w:b/>
                <w:color w:val="1F4D78"/>
                <w:sz w:val="20"/>
              </w:rPr>
              <w:t xml:space="preserve">解释边界 </w:t>
            </w:r>
            <w:r>
              <w:rPr>
                <w:rFonts w:ascii="Calibri" w:hAnsi="Calibri" w:eastAsia="宋体"/>
                <w:color w:val="000000"/>
                <w:sz w:val="20"/>
              </w:rPr>
              <w:t>90% 是“一个 30 天场景是否至少出现一次违反”的研究可靠性目标，不是生产 SLA。批处理调整量 Rˡₛ&gt;0 只表示发生了场景适配，不等于服务违反。</w:t>
            </w:r>
          </w:p>
        </w:tc>
      </w:tr>
    </w:tbl>
    <w:p>
      <w:pPr>
        <w:pStyle w:val="Heading1"/>
      </w:pPr>
      <w:r>
        <w:t>6 所提有限支持 TV-DRO</w:t>
      </w:r>
    </w:p>
    <w:p>
      <w:pPr>
        <w:pStyle w:val="Heading2"/>
      </w:pPr>
      <w:r>
        <w:t>6.1 总变差歧义集</w:t>
      </w:r>
    </w:p>
    <w:p>
      <w:pPr/>
      <w:r>
        <w:rPr>
          <w:rFonts w:ascii="Calibri" w:hAnsi="Calibri" w:eastAsia="宋体"/>
          <w:color w:val="000000"/>
          <w:sz w:val="22"/>
        </w:rPr>
        <w:t>以 N 条完整联合场景构成经验支持，名义经验分布对每个场景赋予 1/N 的概率。TV-DRO 允许在不改变场景内容的前提下重新分配概率质量：</w:t>
      </w:r>
    </w:p>
    <w:p>
      <w:pPr>
        <w:keepLines/>
        <w:spacing w:before="80" w:after="140"/>
        <w:jc w:val="center"/>
      </w:pPr>
      <w:r>
        <w:rPr>
          <w:rFonts w:ascii="Cambria Math" w:hAnsi="Cambria Math" w:eastAsia="宋体"/>
          <w:color w:val="000000"/>
          <w:sz w:val="21"/>
        </w:rPr>
        <w:t>𝒫ρ={q∈ℝⁿ₊: Σₛqₛ=1， ½Σₛ|qₛ−1/N|≤ρ}</w:t>
      </w:r>
      <w:r>
        <w:rPr>
          <w:rFonts w:ascii="Cambria Math" w:hAnsi="Cambria Math" w:eastAsia="宋体"/>
          <w:color w:val="000000"/>
          <w:sz w:val="21"/>
        </w:rPr>
        <w:t xml:space="preserve">    (14)</w:t>
      </w:r>
    </w:p>
    <w:p>
      <w:pPr/>
      <w:r>
        <w:rPr>
          <w:rFonts w:ascii="Calibri" w:hAnsi="Calibri" w:eastAsia="宋体"/>
          <w:color w:val="000000"/>
          <w:sz w:val="22"/>
        </w:rPr>
        <w:t>这里的 ρ 控制概率分布相对经验分布的偏移范围。由于权重作用于完整 30 天联合场景，场景内部的算力时序、风光时序以及这些通道在该样本中的共同出现结构不会被拆开。</w:t>
      </w:r>
    </w:p>
    <w:p>
      <w:pPr>
        <w:pStyle w:val="Heading2"/>
      </w:pPr>
      <w:r>
        <w:t>6.2 分布鲁棒机会约束</w:t>
      </w:r>
    </w:p>
    <w:p>
      <w:pPr>
        <w:keepLines/>
        <w:spacing w:before="80" w:after="140"/>
        <w:jc w:val="center"/>
      </w:pPr>
      <w:r>
        <w:rPr>
          <w:rFonts w:ascii="Cambria Math" w:hAnsi="Cambria Math" w:eastAsia="宋体"/>
          <w:color w:val="000000"/>
          <w:sz w:val="21"/>
        </w:rPr>
        <w:t>sup(q∈𝒫ρ) Σₛ qₛYʲₛ ≤ βʲ，    j∈{L,G,R}</w:t>
      </w:r>
      <w:r>
        <w:rPr>
          <w:rFonts w:ascii="Cambria Math" w:hAnsi="Cambria Math" w:eastAsia="宋体"/>
          <w:color w:val="000000"/>
          <w:sz w:val="21"/>
        </w:rPr>
        <w:t xml:space="preserve">    (15)</w:t>
      </w:r>
    </w:p>
    <w:p>
      <w:pPr/>
      <w:r>
        <w:rPr>
          <w:rFonts w:ascii="Calibri" w:hAnsi="Calibri" w:eastAsia="宋体"/>
          <w:color w:val="000000"/>
          <w:sz w:val="22"/>
        </w:rPr>
        <w:t>若经验支持中有 kʲ=ΣₛYʲₛ 个违反场景，则 TV 球可从非违反场景向违反场景移动至多 ρ 的概率质量，因此二元事件的最坏概率具有闭式形式：</w:t>
      </w:r>
    </w:p>
    <w:p>
      <w:pPr>
        <w:keepLines/>
        <w:spacing w:before="80" w:after="140"/>
        <w:jc w:val="center"/>
      </w:pPr>
      <w:r>
        <w:rPr>
          <w:rFonts w:ascii="Cambria Math" w:hAnsi="Cambria Math" w:eastAsia="宋体"/>
          <w:color w:val="000000"/>
          <w:sz w:val="21"/>
        </w:rPr>
        <w:t>sup(q∈𝒫ρ) ΣₛqₛYʲₛ = min(1，kʲ/N+ρ)</w:t>
      </w:r>
      <w:r>
        <w:rPr>
          <w:rFonts w:ascii="Cambria Math" w:hAnsi="Cambria Math" w:eastAsia="宋体"/>
          <w:color w:val="000000"/>
          <w:sz w:val="21"/>
        </w:rPr>
        <w:t xml:space="preserve">    (16)</w:t>
      </w:r>
    </w:p>
    <w:p>
      <w:pPr/>
      <w:r>
        <w:rPr>
          <w:rFonts w:ascii="Calibri" w:hAnsi="Calibri" w:eastAsia="宋体"/>
          <w:color w:val="000000"/>
          <w:sz w:val="22"/>
        </w:rPr>
        <w:t>当 ρ≤βʲ 时，上述分布鲁棒机会约束精确等价于整数违反预算：</w:t>
      </w:r>
    </w:p>
    <w:p>
      <w:pPr>
        <w:keepLines/>
        <w:spacing w:before="80" w:after="140"/>
        <w:jc w:val="center"/>
      </w:pPr>
      <w:r>
        <w:rPr>
          <w:rFonts w:ascii="Cambria Math" w:hAnsi="Cambria Math" w:eastAsia="宋体"/>
          <w:color w:val="000000"/>
          <w:sz w:val="21"/>
        </w:rPr>
        <w:t>kʲ ≤ Kʲ(ρ):=⌊N(βʲ−ρ)⌋</w:t>
      </w:r>
      <w:r>
        <w:rPr>
          <w:rFonts w:ascii="Cambria Math" w:hAnsi="Cambria Math" w:eastAsia="宋体"/>
          <w:color w:val="000000"/>
          <w:sz w:val="21"/>
        </w:rPr>
        <w:t xml:space="preserve">    (17)</w:t>
      </w:r>
    </w:p>
    <w:tbl>
      <w:tblPr>
        <w:tblW w:type="dxa" w:w="9360"/>
        <w:jc w:val="left"/>
        <w:tblLayout w:type="fixed"/>
        <w:tblLook w:firstColumn="1" w:firstRow="1" w:lastColumn="0" w:lastRow="0" w:noHBand="0" w:noVBand="1" w:val="04A0"/>
        <w:tblInd w:w="120" w:type="dxa"/>
        <w:tblBorders>
          <w:top w:val="single" w:sz="8" w:color="AFC4D6"/>
          <w:left w:val="single" w:sz="8" w:color="AFC4D6"/>
          <w:bottom w:val="single" w:sz="8" w:color="AFC4D6"/>
          <w:right w:val="single" w:sz="8" w:color="AFC4D6"/>
          <w:insideH w:val="single" w:sz="8" w:color="AFC4D6"/>
          <w:insideV w:val="single" w:sz="8" w:color="AFC4D6"/>
        </w:tblBorders>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eastAsia="宋体"/>
                <w:b/>
                <w:color w:val="1F4D78"/>
                <w:sz w:val="20"/>
              </w:rPr>
              <w:t xml:space="preserve">实现含义 </w:t>
            </w:r>
            <w:r>
              <w:rPr>
                <w:rFonts w:ascii="Calibri" w:hAnsi="Calibri" w:eastAsia="宋体"/>
                <w:color w:val="000000"/>
                <w:sz w:val="20"/>
              </w:rPr>
              <w:t>TV-DRO 不需要再嵌套一个概率优化器。实现只需把 SAA 的经验违反预算从 ⌊Nβʲ⌋ 收紧为 ⌊N(βʲ−ρ)⌋，即可得到该有限支持问题的精确形式。</w:t>
            </w:r>
          </w:p>
        </w:tc>
      </w:tr>
    </w:tbl>
    <w:p>
      <w:pPr>
        <w:pStyle w:val="Heading2"/>
      </w:pPr>
      <w:r>
        <w:t>6.3 当前冻结参数的含义</w:t>
      </w:r>
    </w:p>
    <w:p>
      <w:pPr/>
      <w:r>
        <w:rPr>
          <w:rFonts w:ascii="Calibri" w:hAnsi="Calibri" w:eastAsia="宋体"/>
          <w:color w:val="000000"/>
          <w:sz w:val="22"/>
        </w:rPr>
        <w:t>当前 N=20、βʲ=0.10。SAA（ρ=0）允许 2 个训练违反；ρ=0.01 时 TV-DRO 只允许 1 个。由于 ρ∈{0.01,0.025,0.05} 在 N=20 下都对应 Kʲ=1，这三个正半径在当前整数可行域上不可区分，不能据相同结果宣称半径敏感性。</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500"/>
        <w:gridCol w:w="1800"/>
        <w:gridCol w:w="5060"/>
      </w:tblGrid>
      <w:tr>
        <w:trPr>
          <w:cantSplit/>
          <w:tblHeader w:val="true"/>
        </w:trPr>
        <w:tc>
          <w:tcPr>
            <w:tcW w:type="dxa" w:w="25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参数</w:t>
            </w:r>
          </w:p>
        </w:tc>
        <w:tc>
          <w:tcPr>
            <w:tcW w:type="dxa" w:w="18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冻结值</w:t>
            </w:r>
          </w:p>
        </w:tc>
        <w:tc>
          <w:tcPr>
            <w:tcW w:type="dxa" w:w="506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选择依据</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场景数 N</w:t>
            </w:r>
          </w:p>
        </w:tc>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20</w:t>
            </w:r>
          </w:p>
        </w:tc>
        <w:tc>
          <w:tcPr>
            <w:tcW w:type="dxa" w:w="5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三折留出验证中，最小达标样本规模</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风险阈值 βᴸ,βᴳ,βᴿ</w:t>
            </w:r>
          </w:p>
        </w:tc>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0.10</w:t>
            </w:r>
          </w:p>
        </w:tc>
        <w:tc>
          <w:tcPr>
            <w:tcW w:type="dxa" w:w="5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三类风险共同的研究门槛</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TV 半径 ρ</w:t>
            </w:r>
          </w:p>
        </w:tc>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0.01</w:t>
            </w:r>
          </w:p>
        </w:tc>
        <w:tc>
          <w:tcPr>
            <w:tcW w:type="dxa" w:w="5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首个达标的最小正半径；Kʲ=1</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柔性窗口 H</w:t>
            </w:r>
          </w:p>
        </w:tc>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6 h</w:t>
            </w:r>
          </w:p>
        </w:tc>
        <w:tc>
          <w:tcPr>
            <w:tcW w:type="dxa" w:w="5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共同主情景</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有效容量比例 κ</w:t>
            </w:r>
          </w:p>
        </w:tc>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0.70</w:t>
            </w:r>
          </w:p>
        </w:tc>
        <w:tc>
          <w:tcPr>
            <w:tcW w:type="dxa" w:w="5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共同主情景；同时改变系统规模与回放工作量</w:t>
            </w:r>
          </w:p>
        </w:tc>
      </w:tr>
      <w:tr>
        <w:trPr>
          <w:cantSplit/>
        </w:trPr>
        <w:tc>
          <w:tcPr>
            <w:tcW w:type="dxa" w:w="25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BESS 吞吐成本 c_deg</w:t>
            </w:r>
          </w:p>
        </w:tc>
        <w:tc>
          <w:tcPr>
            <w:tcW w:type="dxa" w:w="1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20 USD/MWh</w:t>
            </w:r>
          </w:p>
        </w:tc>
        <w:tc>
          <w:tcPr>
            <w:tcW w:type="dxa" w:w="5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共同主情景；敏感性为 10/20/40</w:t>
            </w:r>
          </w:p>
        </w:tc>
      </w:tr>
    </w:tbl>
    <w:p>
      <w:pPr>
        <w:pStyle w:val="Heading1"/>
      </w:pPr>
      <w:r>
        <w:t>7 与对照方法的关系</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700"/>
        <w:gridCol w:w="3600"/>
        <w:gridCol w:w="4060"/>
      </w:tblGrid>
      <w:tr>
        <w:trPr>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方法</w:t>
            </w:r>
          </w:p>
        </w:tc>
        <w:tc>
          <w:tcPr>
            <w:tcW w:type="dxa" w:w="36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风险处理</w:t>
            </w:r>
          </w:p>
        </w:tc>
        <w:tc>
          <w:tcPr>
            <w:tcW w:type="dxa" w:w="406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相关性与追索口径</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确定性</w:t>
            </w:r>
          </w:p>
        </w:tc>
        <w:tc>
          <w:tcPr>
            <w:tcW w:type="dxa" w:w="36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不在日前模型中添加场景风险约束</w:t>
            </w:r>
          </w:p>
        </w:tc>
        <w:tc>
          <w:tcPr>
            <w:tcW w:type="dxa" w:w="4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仅求名义计划，随后共同回放</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SAA</w:t>
            </w:r>
          </w:p>
        </w:tc>
        <w:tc>
          <w:tcPr>
            <w:tcW w:type="dxa" w:w="36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(1/N)ΣₛYʲₛ≤βʲ</w:t>
            </w:r>
          </w:p>
        </w:tc>
        <w:tc>
          <w:tcPr>
            <w:tcW w:type="dxa" w:w="4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等概率联合场景；批处理有限追索</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静态 Γ-RO</w:t>
            </w:r>
          </w:p>
        </w:tc>
        <w:tc>
          <w:tcPr>
            <w:tcW w:type="dxa" w:w="36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预算集合支持函数 Pₜ(Γ) 加入并网、弃电与爬坡约束</w:t>
            </w:r>
          </w:p>
        </w:tc>
        <w:tc>
          <w:tcPr>
            <w:tcW w:type="dxa" w:w="4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能源用小时位置边际下偏，不保留联合相关性；算力用完整轨迹支持</w:t>
            </w:r>
          </w:p>
        </w:tc>
      </w:tr>
      <w:tr>
        <w:trPr>
          <w:cantSplit/>
        </w:trPr>
        <w:tc>
          <w:tcPr>
            <w:tcW w:type="dxa" w:w="17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联合 TV-DRO</w:t>
            </w:r>
          </w:p>
        </w:tc>
        <w:tc>
          <w:tcPr>
            <w:tcW w:type="dxa" w:w="36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sup(q∈𝒫ρ)ΣₛqₛYʲₛ≤βʲ</w:t>
            </w:r>
          </w:p>
        </w:tc>
        <w:tc>
          <w:tcPr>
            <w:tcW w:type="dxa" w:w="40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重加权完整联合场景；保留场景内部结构；批处理有限追索</w:t>
            </w:r>
          </w:p>
        </w:tc>
      </w:tr>
    </w:tbl>
    <w:p>
      <w:pPr/>
      <w:r>
        <w:rPr>
          <w:rFonts w:ascii="Calibri" w:hAnsi="Calibri" w:eastAsia="宋体"/>
          <w:color w:val="000000"/>
          <w:sz w:val="22"/>
        </w:rPr>
        <w:t>静态 Γ-RO 中，每个相关约束仅含光伏与风电两个正向不确定系数，因此有效 Γ∈[0,2]；Γ&gt;2 与 Γ=2 等价。正式校准冻结 Γ=0.5。该方法的作用是提供不利用联合相关性的保守对照，而不是 TV-DRO 的另一种写法。</w:t>
      </w:r>
    </w:p>
    <w:p>
      <w:pPr>
        <w:pStyle w:val="Heading1"/>
      </w:pPr>
      <w:r>
        <w:t>8 求解流程与可复现设计</w:t>
      </w:r>
    </w:p>
    <w:p>
      <w:pPr/>
      <w:r>
        <w:rPr>
          <w:rFonts w:ascii="Calibri" w:hAnsi="Calibri" w:eastAsia="宋体"/>
          <w:color w:val="000000"/>
          <w:sz w:val="22"/>
        </w:rPr>
        <w:t>TV-DRO 复用 SAA 的两阶段 Gurobi MILP，并采用活动场景约束生成，以避免一次性展开全部 720 小时×N 场景的组合结构。每轮内部由 Gurobi 完成完整 MIP 搜索；外层只控制加入主问题的活动场景。</w:t>
      </w:r>
    </w:p>
    <w:p>
      <w:pPr>
        <w:pStyle w:val="ListNumber"/>
        <w:spacing w:after="80" w:line="290" w:lineRule="auto"/>
      </w:pPr>
      <w:r>
        <w:rPr>
          <w:rFonts w:ascii="Calibri" w:hAnsi="Calibri" w:eastAsia="宋体"/>
          <w:color w:val="000000"/>
          <w:sz w:val="22"/>
        </w:rPr>
        <w:t>从冻结 manifest 读取 N 条训练联合场景，并由 ρ 计算每个风险通道的允许违反数 Kʲ(ρ)。</w:t>
      </w:r>
    </w:p>
    <w:p>
      <w:pPr>
        <w:pStyle w:val="ListNumber"/>
        <w:spacing w:after="80" w:line="290" w:lineRule="auto"/>
      </w:pPr>
      <w:r>
        <w:rPr>
          <w:rFonts w:ascii="Calibri" w:hAnsi="Calibri" w:eastAsia="宋体"/>
          <w:color w:val="000000"/>
          <w:sz w:val="22"/>
        </w:rPr>
        <w:t>用最小必要活动集建立日前主问题，优化名义运行成本并得到共享的批处理参考与 BESS 计划。</w:t>
      </w:r>
    </w:p>
    <w:p>
      <w:pPr>
        <w:pStyle w:val="ListNumber"/>
        <w:spacing w:after="80" w:line="290" w:lineRule="auto"/>
      </w:pPr>
      <w:r>
        <w:rPr>
          <w:rFonts w:ascii="Calibri" w:hAnsi="Calibri" w:eastAsia="宋体"/>
          <w:color w:val="000000"/>
          <w:sz w:val="22"/>
        </w:rPr>
        <w:t>固定日前计划，在全部 N 条训练场景上执行有限追索回放，按词典序先最小化三类风险违反，再最小化 DAM 估值购电成本、批处理调整量和总购电量。</w:t>
      </w:r>
    </w:p>
    <w:p>
      <w:pPr>
        <w:pStyle w:val="ListNumber"/>
        <w:spacing w:after="80" w:line="290" w:lineRule="auto"/>
      </w:pPr>
      <w:r>
        <w:rPr>
          <w:rFonts w:ascii="Calibri" w:hAnsi="Calibri" w:eastAsia="宋体"/>
          <w:color w:val="000000"/>
          <w:sz w:val="22"/>
        </w:rPr>
        <w:t>若任一风险通道的违反数超过 Kʲ(ρ)，把代表性违反场景加入活动集并重新求解；否则外层收敛。</w:t>
      </w:r>
    </w:p>
    <w:p>
      <w:pPr>
        <w:pStyle w:val="ListNumber"/>
        <w:spacing w:after="80" w:line="290" w:lineRule="auto"/>
      </w:pPr>
      <w:r>
        <w:rPr>
          <w:rFonts w:ascii="Calibri" w:hAnsi="Calibri" w:eastAsia="宋体"/>
          <w:color w:val="000000"/>
          <w:sz w:val="22"/>
        </w:rPr>
        <w:t>对最终计划进行充放电互斥审计、全支持风险验收，并记录目标值、求解时间、MIP gap、随机种子和输入哈希。</w:t>
      </w:r>
    </w:p>
    <w:p>
      <w:pPr/>
      <w:r>
        <w:rPr>
          <w:rFonts w:ascii="Calibri" w:hAnsi="Calibri" w:eastAsia="宋体"/>
          <w:color w:val="000000"/>
          <w:sz w:val="22"/>
        </w:rPr>
        <w:t>正式主问题与四级追索均使用 Gurobi 13.0.x，每个模型固定 1 个线程。当前追索可访问完整 30 天场景，属于 wait-and-see 离线标定原型；在实现滚动信息集约束前，不应表述为可直接部署的在线控制策略。</w:t>
      </w:r>
    </w:p>
    <w:p>
      <w:pPr>
        <w:pStyle w:val="Heading1"/>
      </w:pPr>
      <w:r>
        <w:t>9 参数校准与评价规则</w:t>
      </w:r>
    </w:p>
    <w:p>
      <w:pPr/>
      <w:r>
        <w:rPr>
          <w:rFonts w:ascii="Calibri" w:hAnsi="Calibri" w:eastAsia="宋体"/>
          <w:color w:val="000000"/>
          <w:sz w:val="22"/>
        </w:rPr>
        <w:t>参数选择只使用 2024 年季节平衡三折。每折留出一组月份，余下两折用于训练；每个留出折用固定种子生成 12 条 30 天伪窗口，共 36 条验证窗口。候选按预注册顺序从低复杂度或低保守度开始，首个三类风险的单侧 95% Wilson 上界均不超过 0.10 的候选立即停止搜索。</w:t>
      </w:r>
    </w:p>
    <w:p>
      <w:pPr>
        <w:keepLines/>
        <w:spacing w:before="80" w:after="140"/>
        <w:jc w:val="center"/>
      </w:pPr>
      <w:r>
        <w:rPr>
          <w:rFonts w:ascii="Cambria Math" w:hAnsi="Cambria Math" w:eastAsia="宋体"/>
          <w:color w:val="000000"/>
          <w:sz w:val="21"/>
        </w:rPr>
        <w:t>Uʲ=[p̂ʲ+z²/(2n)+z√(p̂ʲ(1−p̂ʲ)/n+z²/(4n²))]/[1+z²/n]， z=1.64485</w:t>
      </w:r>
      <w:r>
        <w:rPr>
          <w:rFonts w:ascii="Cambria Math" w:hAnsi="Cambria Math" w:eastAsia="宋体"/>
          <w:color w:val="000000"/>
          <w:sz w:val="21"/>
        </w:rPr>
        <w:t xml:space="preserve">    (18)</w:t>
      </w:r>
    </w:p>
    <w:p>
      <w:pPr/>
      <w:r>
        <w:rPr>
          <w:rFonts w:ascii="Calibri" w:hAnsi="Calibri" w:eastAsia="宋体"/>
          <w:color w:val="000000"/>
          <w:sz w:val="22"/>
        </w:rPr>
        <w:t>冻结结果为 N=20、Γ=0.5、ρ=0.01；三种不确定性方法在各自 36 条留出窗口上均记录三类 0/36 违反，对应单侧 95% Wilson 上界 6.99%。参数冻结后才使用全部 362 个 2024 日块重建最终训练支持，2025 四窗口不参与调参。</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900"/>
        <w:gridCol w:w="4100"/>
        <w:gridCol w:w="3360"/>
      </w:tblGrid>
      <w:tr>
        <w:trPr>
          <w:cantSplit/>
          <w:tblHeader w:val="true"/>
        </w:trPr>
        <w:tc>
          <w:tcPr>
            <w:tcW w:type="dxa" w:w="19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评价层次</w:t>
            </w:r>
          </w:p>
        </w:tc>
        <w:tc>
          <w:tcPr>
            <w:tcW w:type="dxa" w:w="41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样本设计</w:t>
            </w:r>
          </w:p>
        </w:tc>
        <w:tc>
          <w:tcPr>
            <w:tcW w:type="dxa" w:w="336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主要输出</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2024 校准</w:t>
            </w:r>
          </w:p>
        </w:tc>
        <w:tc>
          <w:tcPr>
            <w:tcW w:type="dxa" w:w="4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三折×每折12条30天留出伪窗口</w:t>
            </w:r>
          </w:p>
        </w:tc>
        <w:tc>
          <w:tcPr>
            <w:tcW w:type="dxa" w:w="33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违反数、原始率、Wilson 上界、幅度、成本、runtime</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2025 能源外推</w:t>
            </w:r>
          </w:p>
        </w:tc>
        <w:tc>
          <w:tcPr>
            <w:tcW w:type="dxa" w:w="4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1/4/7/10 月四个固定30天能源窗口</w:t>
            </w:r>
          </w:p>
        </w:tc>
        <w:tc>
          <w:tcPr>
            <w:tcW w:type="dxa" w:w="33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实际购电成本、弃电、三类风险、碳核算</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条件算力回放</w:t>
            </w:r>
          </w:p>
        </w:tc>
        <w:tc>
          <w:tcPr>
            <w:tcW w:type="dxa" w:w="4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每个能源窗口100条独立种子的算力轨迹</w:t>
            </w:r>
          </w:p>
        </w:tc>
        <w:tc>
          <w:tcPr>
            <w:tcW w:type="dxa" w:w="33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条件算力风险；不得当作400个独立能源样本</w:t>
            </w:r>
          </w:p>
        </w:tc>
      </w:tr>
      <w:tr>
        <w:trPr>
          <w:cantSplit/>
        </w:trPr>
        <w:tc>
          <w:tcPr>
            <w:tcW w:type="dxa" w:w="19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机制与敏感性</w:t>
            </w:r>
          </w:p>
        </w:tc>
        <w:tc>
          <w:tcPr>
            <w:tcW w:type="dxa" w:w="41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2×2 双侧不确定性消融；BESS成本与κ；统一压力</w:t>
            </w:r>
          </w:p>
        </w:tc>
        <w:tc>
          <w:tcPr>
            <w:tcW w:type="dxa" w:w="33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机制贡献、成本变化、风险是否活跃</w:t>
            </w:r>
          </w:p>
        </w:tc>
      </w:tr>
    </w:tbl>
    <w:p>
      <w:pPr>
        <w:pStyle w:val="Heading1"/>
      </w:pPr>
      <w:r>
        <w:t>10 当前结果及其解释边界</w:t>
      </w:r>
    </w:p>
    <w:p>
      <w:pPr/>
      <w:r>
        <w:rPr>
          <w:rFonts w:ascii="Calibri" w:hAnsi="Calibri" w:eastAsia="宋体"/>
          <w:color w:val="000000"/>
          <w:sz w:val="22"/>
        </w:rPr>
        <w:t>冻结参数下的 2025 统一比较显示，四种方法的平均名义运行成本均为 16,071.76 USD，且常规四窗口内三类条件回放违反均为 0/100。TV-DRO 的平均实际运行成本为 16,516.56 USD，相对确定性的 16,520.07 USD 仅低 3.50 USD（约 0.021%）。</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750"/>
        <w:gridCol w:w="1520"/>
        <w:gridCol w:w="1520"/>
        <w:gridCol w:w="1450"/>
        <w:gridCol w:w="1400"/>
        <w:gridCol w:w="1720"/>
      </w:tblGrid>
      <w:tr>
        <w:trPr>
          <w:cantSplit/>
          <w:tblHeader w:val="true"/>
        </w:trPr>
        <w:tc>
          <w:tcPr>
            <w:tcW w:type="dxa" w:w="175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方法</w:t>
            </w:r>
          </w:p>
        </w:tc>
        <w:tc>
          <w:tcPr>
            <w:tcW w:type="dxa" w:w="152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平均名义成本</w:t>
            </w:r>
          </w:p>
        </w:tc>
        <w:tc>
          <w:tcPr>
            <w:tcW w:type="dxa" w:w="152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平均实际成本</w:t>
            </w:r>
          </w:p>
        </w:tc>
        <w:tc>
          <w:tcPr>
            <w:tcW w:type="dxa" w:w="145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平均调整量</w:t>
            </w:r>
          </w:p>
        </w:tc>
        <w:tc>
          <w:tcPr>
            <w:tcW w:type="dxa" w:w="14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平均弃电</w:t>
            </w:r>
          </w:p>
        </w:tc>
        <w:tc>
          <w:tcPr>
            <w:tcW w:type="dxa" w:w="172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四窗求解时间</w:t>
            </w:r>
          </w:p>
        </w:tc>
      </w:tr>
      <w:tr>
        <w:trPr>
          <w:cantSplit/>
        </w:trPr>
        <w:tc>
          <w:tcPr>
            <w:tcW w:type="dxa" w:w="17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确定性</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16,071.76</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16,520.07</w:t>
            </w:r>
          </w:p>
        </w:tc>
        <w:tc>
          <w:tcPr>
            <w:tcW w:type="dxa" w:w="14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52.556</w:t>
            </w:r>
          </w:p>
        </w:tc>
        <w:tc>
          <w:tcPr>
            <w:tcW w:type="dxa" w:w="14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0.1468</w:t>
            </w:r>
          </w:p>
        </w:tc>
        <w:tc>
          <w:tcPr>
            <w:tcW w:type="dxa" w:w="17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6.88 s</w:t>
            </w:r>
          </w:p>
        </w:tc>
      </w:tr>
      <w:tr>
        <w:trPr>
          <w:cantSplit/>
        </w:trPr>
        <w:tc>
          <w:tcPr>
            <w:tcW w:type="dxa" w:w="17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SAA, N=20</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16,071.76</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16,518.33</w:t>
            </w:r>
          </w:p>
        </w:tc>
        <w:tc>
          <w:tcPr>
            <w:tcW w:type="dxa" w:w="14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52.973</w:t>
            </w:r>
          </w:p>
        </w:tc>
        <w:tc>
          <w:tcPr>
            <w:tcW w:type="dxa" w:w="14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0.0304</w:t>
            </w:r>
          </w:p>
        </w:tc>
        <w:tc>
          <w:tcPr>
            <w:tcW w:type="dxa" w:w="17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337.13 s</w:t>
            </w:r>
          </w:p>
        </w:tc>
      </w:tr>
      <w:tr>
        <w:trPr>
          <w:cantSplit/>
        </w:trPr>
        <w:tc>
          <w:tcPr>
            <w:tcW w:type="dxa" w:w="17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Γ-RO, Γ=0.5</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16,071.76</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16,516.74</w:t>
            </w:r>
          </w:p>
        </w:tc>
        <w:tc>
          <w:tcPr>
            <w:tcW w:type="dxa" w:w="14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52.996</w:t>
            </w:r>
          </w:p>
        </w:tc>
        <w:tc>
          <w:tcPr>
            <w:tcW w:type="dxa" w:w="14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0.0054</w:t>
            </w:r>
          </w:p>
        </w:tc>
        <w:tc>
          <w:tcPr>
            <w:tcW w:type="dxa" w:w="17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86.65 s</w:t>
            </w:r>
          </w:p>
        </w:tc>
      </w:tr>
      <w:tr>
        <w:trPr>
          <w:cantSplit/>
        </w:trPr>
        <w:tc>
          <w:tcPr>
            <w:tcW w:type="dxa" w:w="17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TV-DRO, ρ=0.01</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16,071.76</w:t>
            </w:r>
          </w:p>
        </w:tc>
        <w:tc>
          <w:tcPr>
            <w:tcW w:type="dxa" w:w="15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16,516.56</w:t>
            </w:r>
          </w:p>
        </w:tc>
        <w:tc>
          <w:tcPr>
            <w:tcW w:type="dxa" w:w="145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52.607</w:t>
            </w:r>
          </w:p>
        </w:tc>
        <w:tc>
          <w:tcPr>
            <w:tcW w:type="dxa" w:w="14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0.0291</w:t>
            </w:r>
          </w:p>
        </w:tc>
        <w:tc>
          <w:tcPr>
            <w:tcW w:type="dxa" w:w="172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298.07 s</w:t>
            </w:r>
          </w:p>
        </w:tc>
      </w:tr>
    </w:tbl>
    <w:tbl>
      <w:tblPr>
        <w:tblW w:type="dxa" w:w="9360"/>
        <w:jc w:val="left"/>
        <w:tblLayout w:type="fixed"/>
        <w:tblLook w:firstColumn="1" w:firstRow="1" w:lastColumn="0" w:lastRow="0" w:noHBand="0" w:noVBand="1" w:val="04A0"/>
        <w:tblInd w:w="120" w:type="dxa"/>
        <w:tblBorders>
          <w:top w:val="single" w:sz="8" w:color="AFC4D6"/>
          <w:left w:val="single" w:sz="8" w:color="AFC4D6"/>
          <w:bottom w:val="single" w:sz="8" w:color="AFC4D6"/>
          <w:right w:val="single" w:sz="8" w:color="AFC4D6"/>
          <w:insideH w:val="single" w:sz="8" w:color="AFC4D6"/>
          <w:insideV w:val="single" w:sz="8" w:color="AFC4D6"/>
        </w:tblBorders>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eastAsia="宋体"/>
                <w:b/>
                <w:color w:val="1F4D78"/>
                <w:sz w:val="20"/>
              </w:rPr>
              <w:t xml:space="preserve">审慎结论 </w:t>
            </w:r>
            <w:r>
              <w:rPr>
                <w:rFonts w:ascii="Calibri" w:hAnsi="Calibri" w:eastAsia="宋体"/>
                <w:color w:val="000000"/>
                <w:sz w:val="20"/>
              </w:rPr>
              <w:t>常规场景中风险约束没有形成区分方法的活跃瓶颈。现有结果能证明流程完整、参数可复核以及方法在所测窗口可行，但不能证明 TV-DRO 相对基线具有实质经济优势，也不能把零观察违反解释为生产 SLA。</w:t>
            </w:r>
          </w:p>
        </w:tc>
      </w:tr>
    </w:tbl>
    <w:p>
      <w:pPr/>
      <w:r>
        <w:rPr>
          <w:rFonts w:ascii="Calibri" w:hAnsi="Calibri" w:eastAsia="宋体"/>
          <w:color w:val="000000"/>
          <w:sz w:val="22"/>
        </w:rPr>
        <w:t>爬坡上限收紧到峰值负载的 0.06 时，TV-DRO 春季训练问题首次出现超过 1/20 预算的爬坡违反，活动场景分解在第 3 轮将其降为 0/20，说明风险约束在该压力档确实被激活；但 2025 条件回放仍未形成方法间可靠性分离。若继续识别鲁棒价值，应对所有方法统一施加预注册的能源残差放大或其它连续压力，而不能只给鲁棒方法增加困难场景。</w:t>
      </w:r>
    </w:p>
    <w:p>
      <w:pPr>
        <w:pStyle w:val="Heading1"/>
      </w:pPr>
      <w:r>
        <w:t>11 可直接用于论文的方法表述</w:t>
      </w:r>
    </w:p>
    <w:p>
      <w:pPr/>
      <w:r>
        <w:rPr>
          <w:rFonts w:ascii="Calibri" w:hAnsi="Calibri" w:eastAsia="宋体"/>
          <w:color w:val="000000"/>
          <w:sz w:val="22"/>
        </w:rPr>
        <w:t>本文提出一个面向数据中心风光储协同调度的两阶段有限支持 TV-DRO 框架。第一阶段依据日前价格、名义工作量和预测风光确定批处理参考轨迹与储能计划；第二阶段在完整的 30 天联合场景下允许批处理有限追索，并通过电网购电和弃电维持功率平衡。联合场景同时包含由 Alibaba 轨迹派生的柔性算力可调度域以及由 2024 年风光预测残差拼接的能源轨迹。</w:t>
      </w:r>
    </w:p>
    <w:p>
      <w:pPr/>
      <w:r>
        <w:rPr>
          <w:rFonts w:ascii="Calibri" w:hAnsi="Calibri" w:eastAsia="宋体"/>
          <w:color w:val="000000"/>
          <w:sz w:val="22"/>
        </w:rPr>
        <w:t>在经验联合支持周围构造总变差歧义集，并分别对算力包络、并网容量和电网爬坡三类二元违反事件施加分布鲁棒机会约束。对二元事件，最坏概率可精确写为 min(1,k/N+ρ)，从而将 TV-DRO 等价转化为允许违反数 k≤⌊N(β−ρ)⌋ 的两阶段 MILP。该等价形式保留完整联合场景的时序结构，并可通过活动场景约束生成和全支持回放高效求解。</w:t>
      </w:r>
    </w:p>
    <w:p>
      <w:pPr/>
      <w:r>
        <w:rPr>
          <w:rFonts w:ascii="Calibri" w:hAnsi="Calibri" w:eastAsia="宋体"/>
          <w:color w:val="000000"/>
          <w:sz w:val="22"/>
        </w:rPr>
        <w:t>模型以日前电价估值的购电成本和储能吞吐衰减成本之和为目标；碳排放仅作为求解后的环境绩效指标。参数通过 2024 年季节平衡三折和单侧 Wilson 上界预先选择，并在 2025 年固定窗口及独立种子的算力轨迹上统一回放，以避免使用评价数据调参。</w:t>
      </w:r>
    </w:p>
    <w:p>
      <w:pPr>
        <w:pStyle w:val="Heading1"/>
      </w:pPr>
      <w:r>
        <w:t>附录 A 实现与证据对应</w:t>
      </w:r>
    </w:p>
    <w:tbl>
      <w:tblPr>
        <w:tblW w:type="dxa" w:w="9360"/>
        <w:tblLayout w:type="fixed"/>
        <w:tblLook w:firstColumn="1" w:firstRow="1" w:lastColumn="0" w:lastRow="0" w:noHBand="0" w:noVBand="1" w:val="04A0"/>
        <w:jc w:val="left"/>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800"/>
        <w:gridCol w:w="6560"/>
      </w:tblGrid>
      <w:tr>
        <w:trPr>
          <w:cantSplit/>
          <w:tblHeader w:val="true"/>
        </w:trPr>
        <w:tc>
          <w:tcPr>
            <w:tcW w:type="dxa" w:w="280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内容</w:t>
            </w:r>
          </w:p>
        </w:tc>
        <w:tc>
          <w:tcPr>
            <w:tcW w:type="dxa" w:w="6560"/>
            <w:tcMar>
              <w:top w:w="80" w:type="dxa"/>
              <w:start w:w="120" w:type="dxa"/>
              <w:bottom w:w="80" w:type="dxa"/>
              <w:end w:w="120" w:type="dxa"/>
            </w:tcMar>
            <w:vAlign w:val="center"/>
            <w:shd w:fill="E8EEF5"/>
          </w:tcPr>
          <w:p>
            <w:pPr>
              <w:spacing w:after="0" w:line="240" w:lineRule="auto"/>
            </w:pPr>
            <w:r>
              <w:rPr>
                <w:rFonts w:ascii="Calibri" w:hAnsi="Calibri" w:eastAsia="宋体"/>
                <w:b/>
                <w:color w:val="203748"/>
                <w:sz w:val="19"/>
              </w:rPr>
              <w:t>仓库依据</w:t>
            </w:r>
          </w:p>
        </w:tc>
      </w:tr>
      <w:tr>
        <w:trPr>
          <w:cantSplit/>
        </w:trPr>
        <w:tc>
          <w:tcPr>
            <w:tcW w:type="dxa" w:w="2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正式数学模型与边界</w:t>
            </w:r>
          </w:p>
        </w:tc>
        <w:tc>
          <w:tcPr>
            <w:tcW w:type="dxa" w:w="6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docs/research/model.md</w:t>
            </w:r>
          </w:p>
        </w:tc>
      </w:tr>
      <w:tr>
        <w:trPr>
          <w:cantSplit/>
        </w:trPr>
        <w:tc>
          <w:tcPr>
            <w:tcW w:type="dxa" w:w="2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直观不确定性解释</w:t>
            </w:r>
          </w:p>
        </w:tc>
        <w:tc>
          <w:tcPr>
            <w:tcW w:type="dxa" w:w="6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docs/research/uncertainty_explained.md</w:t>
            </w:r>
          </w:p>
        </w:tc>
      </w:tr>
      <w:tr>
        <w:trPr>
          <w:cantSplit/>
        </w:trPr>
        <w:tc>
          <w:tcPr>
            <w:tcW w:type="dxa" w:w="2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主求解器与 TV-DRO 等价实现</w:t>
            </w:r>
          </w:p>
        </w:tc>
        <w:tc>
          <w:tcPr>
            <w:tcW w:type="dxa" w:w="6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alibaba2018_dro/scheduler.py</w:t>
            </w:r>
          </w:p>
        </w:tc>
      </w:tr>
      <w:tr>
        <w:trPr>
          <w:cantSplit/>
        </w:trPr>
        <w:tc>
          <w:tcPr>
            <w:tcW w:type="dxa" w:w="2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TV-DRO / Γ-RO / SAA 校准</w:t>
            </w:r>
          </w:p>
        </w:tc>
        <w:tc>
          <w:tcPr>
            <w:tcW w:type="dxa" w:w="6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scripts/run_tv_dro.py；scripts/run_gamma_ro.py；对应 selection.json</w:t>
            </w:r>
          </w:p>
        </w:tc>
      </w:tr>
      <w:tr>
        <w:trPr>
          <w:cantSplit/>
        </w:trPr>
        <w:tc>
          <w:tcPr>
            <w:tcW w:type="dxa" w:w="2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2025 统一比较配置</w:t>
            </w:r>
          </w:p>
        </w:tc>
        <w:tc>
          <w:tcPr>
            <w:tcW w:type="dxa" w:w="6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scripts/run_2025_comparison.py；data/results/comparison/unified_2025/run_config.json</w:t>
            </w:r>
          </w:p>
        </w:tc>
      </w:tr>
      <w:tr>
        <w:trPr>
          <w:cantSplit/>
        </w:trPr>
        <w:tc>
          <w:tcPr>
            <w:tcW w:type="dxa" w:w="280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当前结果与证据边界</w:t>
            </w:r>
          </w:p>
        </w:tc>
        <w:tc>
          <w:tcPr>
            <w:tcW w:type="dxa" w:w="6560"/>
            <w:tcMar>
              <w:top w:w="80" w:type="dxa"/>
              <w:start w:w="120" w:type="dxa"/>
              <w:bottom w:w="80" w:type="dxa"/>
              <w:end w:w="120" w:type="dxa"/>
            </w:tcMar>
            <w:vAlign w:val="center"/>
          </w:tcPr>
          <w:p>
            <w:pPr>
              <w:spacing w:after="0" w:line="240" w:lineRule="auto"/>
              <w:jc w:val="left"/>
            </w:pPr>
            <w:r>
              <w:rPr>
                <w:rFonts w:ascii="Calibri" w:hAnsi="Calibri" w:eastAsia="宋体"/>
                <w:color w:val="000000"/>
                <w:sz w:val="18"/>
              </w:rPr>
              <w:t>docs/research/current_results.md</w:t>
            </w:r>
          </w:p>
        </w:tc>
      </w:tr>
    </w:tbl>
    <w:p>
      <w:pPr/>
      <w:r>
        <w:rPr>
          <w:rFonts w:ascii="Calibri" w:hAnsi="Calibri" w:eastAsia="宋体"/>
          <w:color w:val="000000"/>
          <w:sz w:val="22"/>
        </w:rPr>
        <w:t>整理原则：凡与代码或冻结配置冲突的早期表述，以当前正式模型、实现和 run_config 为准；历史碳预算、碳割与旧追索词典序只作为复现实验过程保留，不进入本研究当前主线。</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宋体"/>
        <w:color w:val="666666"/>
        <w:sz w:val="18"/>
      </w:rPr>
      <w:t xml:space="preserve">研究模型说明  |  第 </w:t>
    </w:r>
    <w:r>
      <w:rPr>
        <w:rFonts w:ascii="Calibri" w:hAnsi="Calibri" w:eastAsia="宋体"/>
        <w:color w:val="666666"/>
        <w:sz w:val="18"/>
      </w:rPr>
      <w:fldChar w:fldCharType="begin"/>
      <w:instrText xml:space="preserve">PAGE</w:instrText>
      <w:fldChar w:fldCharType="separate"/>
      <w:t>1</w:t>
      <w:fldChar w:fldCharType="end"/>
    </w:r>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宋体"/>
        <w:color w:val="666666"/>
        <w:sz w:val="17"/>
      </w:rPr>
      <w:t>联合不确定性下的数据中心风光储调度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联合算力—能源不确定性下的数据驱动鲁棒优化框架</dc:title>
  <dc:subject>Alibaba2018_Dro 研究模型说明</dc:subject>
  <dc:creator>Research project</dc:creator>
  <cp:keywords>TV-DRO, robust optimization, data center, renewable energy, flexible workload</cp:keywords>
  <dc:description>generated by python-docx</dc:description>
  <cp:lastModifiedBy/>
  <cp:revision>1</cp:revision>
  <dcterms:created xsi:type="dcterms:W3CDTF">2013-12-23T23:15:00Z</dcterms:created>
  <dcterms:modified xsi:type="dcterms:W3CDTF">2013-12-23T23:15:00Z</dcterms:modified>
  <cp:category/>
</cp:coreProperties>
</file>