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dr-008-canonical-domain-models"/>
    <w:p>
      <w:pPr>
        <w:pStyle w:val="Heading1"/>
      </w:pPr>
      <w:r>
        <w:t xml:space="preserve">ADR-008 — Canonical Domain Models</w:t>
      </w:r>
    </w:p>
    <w:p>
      <w:pPr>
        <w:pStyle w:val="FirstParagraph"/>
      </w:pPr>
      <w:r>
        <w:t xml:space="preserve">Status: Accepted</w:t>
      </w:r>
    </w:p>
    <w:bookmarkStart w:id="20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HEMS Core introduces Canonical Domain Models as the stable abstraction between external integrations and the decision core.</w:t>
      </w:r>
    </w:p>
    <w:bookmarkEnd w:id="20"/>
    <w:bookmarkStart w:id="21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Changes in market structures, tariff resolutions, providers or devices must be absorbed by adapters and canonical models, not by the decision core.</w:t>
      </w:r>
    </w:p>
    <w:bookmarkEnd w:id="21"/>
    <w:bookmarkStart w:id="22" w:name="consequences"/>
    <w:p>
      <w:pPr>
        <w:pStyle w:val="Heading2"/>
      </w:pPr>
      <w:r>
        <w:t xml:space="preserve">Consequences</w:t>
      </w:r>
    </w:p>
    <w:p>
      <w:pPr>
        <w:pStyle w:val="Compact"/>
        <w:numPr>
          <w:ilvl w:val="0"/>
          <w:numId w:val="1001"/>
        </w:numPr>
      </w:pPr>
      <w:r>
        <w:t xml:space="preserve">Stable Decision Layer</w:t>
      </w:r>
    </w:p>
    <w:p>
      <w:pPr>
        <w:pStyle w:val="Compact"/>
        <w:numPr>
          <w:ilvl w:val="0"/>
          <w:numId w:val="1001"/>
        </w:numPr>
      </w:pPr>
      <w:r>
        <w:t xml:space="preserve">Future-proof against market changes</w:t>
      </w:r>
    </w:p>
    <w:p>
      <w:pPr>
        <w:pStyle w:val="Compact"/>
        <w:numPr>
          <w:ilvl w:val="0"/>
          <w:numId w:val="1001"/>
        </w:numPr>
      </w:pPr>
      <w:r>
        <w:t xml:space="preserve">Easier testing</w:t>
      </w:r>
    </w:p>
    <w:p>
      <w:pPr>
        <w:pStyle w:val="Compact"/>
        <w:numPr>
          <w:ilvl w:val="0"/>
          <w:numId w:val="1001"/>
        </w:numPr>
      </w:pPr>
      <w:r>
        <w:t xml:space="preserve">Hardware and provider independence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2026-07-25T18:30:42Z</dcterms:created>
  <dcterms:modified xsi:type="dcterms:W3CDTF">2026-07-25T18:30:42Z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