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oc-000-architecture-overview"/>
    <w:p>
      <w:pPr>
        <w:pStyle w:val="Heading1"/>
      </w:pPr>
      <w:r>
        <w:t xml:space="preserve">DOC-000 — Architecture Overview</w:t>
      </w:r>
    </w:p>
    <w:p>
      <w:pPr>
        <w:pStyle w:val="FirstParagraph"/>
      </w:pPr>
      <w:r>
        <w:t xml:space="preserve">Status: Draft v1.0</w:t>
      </w:r>
    </w:p>
    <w:bookmarkStart w:id="20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User → Report → Decision → Capability &amp; Health → Integration → Execution → Control &amp; Verification</w:t>
      </w:r>
      <w:r>
        <w:t xml:space="preserve"> </w:t>
      </w:r>
      <w:r>
        <w:t xml:space="preserve">Cross-cutting: Safety</w:t>
      </w:r>
    </w:p>
    <w:bookmarkEnd w:id="20"/>
    <w:bookmarkStart w:id="21" w:name="decision-layer-approved"/>
    <w:p>
      <w:pPr>
        <w:pStyle w:val="Heading2"/>
      </w:pPr>
      <w:r>
        <w:t xml:space="preserve">Decision Layer (Approved)</w:t>
      </w:r>
    </w:p>
    <w:p>
      <w:pPr>
        <w:pStyle w:val="FirstParagraph"/>
      </w:pPr>
      <w:r>
        <w:t xml:space="preserve">Decision Context → Policy Engine → Decision Engine → Planner</w:t>
      </w:r>
    </w:p>
    <w:bookmarkEnd w:id="21"/>
    <w:bookmarkStart w:id="22" w:name="core-processing"/>
    <w:p>
      <w:pPr>
        <w:pStyle w:val="Heading2"/>
      </w:pPr>
      <w:r>
        <w:t xml:space="preserve">Core Processing</w:t>
      </w:r>
    </w:p>
    <w:p>
      <w:pPr>
        <w:pStyle w:val="FirstParagraph"/>
      </w:pPr>
      <w:r>
        <w:t xml:space="preserve">Measure → Decision Context → Policy → Decision → Planning → Safety → Execution → Verification → Reporting</w:t>
      </w:r>
    </w:p>
    <w:bookmarkEnd w:id="22"/>
    <w:bookmarkStart w:id="23" w:name="key-principles"/>
    <w:p>
      <w:pPr>
        <w:pStyle w:val="Heading2"/>
      </w:pPr>
      <w:r>
        <w:t xml:space="preserve">Key Principles</w:t>
      </w:r>
    </w:p>
    <w:p>
      <w:pPr>
        <w:pStyle w:val="Compact"/>
        <w:numPr>
          <w:ilvl w:val="0"/>
          <w:numId w:val="1001"/>
        </w:numPr>
      </w:pPr>
      <w:r>
        <w:t xml:space="preserve">Safety First</w:t>
      </w:r>
    </w:p>
    <w:p>
      <w:pPr>
        <w:pStyle w:val="Compact"/>
        <w:numPr>
          <w:ilvl w:val="0"/>
          <w:numId w:val="1001"/>
        </w:numPr>
      </w:pPr>
      <w:r>
        <w:t xml:space="preserve">Verify, Don’t Assume</w:t>
      </w:r>
    </w:p>
    <w:p>
      <w:pPr>
        <w:pStyle w:val="Compact"/>
        <w:numPr>
          <w:ilvl w:val="0"/>
          <w:numId w:val="1001"/>
        </w:numPr>
      </w:pPr>
      <w:r>
        <w:t xml:space="preserve">Deterministic by Design</w:t>
      </w:r>
    </w:p>
    <w:p>
      <w:pPr>
        <w:pStyle w:val="Compact"/>
        <w:numPr>
          <w:ilvl w:val="0"/>
          <w:numId w:val="1001"/>
        </w:numPr>
      </w:pPr>
      <w:r>
        <w:t xml:space="preserve">Explain Every Decision</w:t>
      </w:r>
    </w:p>
    <w:p>
      <w:pPr>
        <w:pStyle w:val="Compact"/>
        <w:numPr>
          <w:ilvl w:val="0"/>
          <w:numId w:val="1001"/>
        </w:numPr>
      </w:pPr>
      <w:r>
        <w:t xml:space="preserve">Platform Independence</w:t>
      </w:r>
    </w:p>
    <w:p>
      <w:pPr>
        <w:pStyle w:val="Compact"/>
        <w:numPr>
          <w:ilvl w:val="0"/>
          <w:numId w:val="1001"/>
        </w:numPr>
      </w:pPr>
      <w:r>
        <w:t xml:space="preserve">Canonical Domain Models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2026-07-25T18:30:41Z</dcterms:created>
  <dcterms:modified xsi:type="dcterms:W3CDTF">2026-07-25T18:30:41Z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