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[Universidad] – Base de Datos III – Proyecto: Implementación de un Data Warehouse</w:t>
      </w:r>
    </w:p>
    <w:p>
      <w:pPr>
        <w:jc w:val="center"/>
      </w:pPr>
      <w:r>
        <w:rPr>
          <w:b/>
        </w:rPr>
        <w:t>Primera Presentación (puntos 1 a 5): Data Warehouse del Campeonato Mundial de Fórmula 1</w:t>
      </w:r>
    </w:p>
    <w:p>
      <w:pPr>
        <w:jc w:val="center"/>
      </w:pPr>
      <w:r>
        <w:rPr>
          <w:b w:val="0"/>
        </w:rPr>
        <w:t>Integrantes: Jhonatan Moisés Villca, [Integrante 2], [Integrante 3] – Docente: Rodnie Montaño Aguilera</w:t>
      </w:r>
    </w:p>
    <w:p>
      <w:pPr>
        <w:keepNext/>
        <w:spacing w:before="120"/>
      </w:pPr>
      <w:r>
        <w:rPr>
          <w:b/>
        </w:rPr>
        <w:t>1. Tema del Proyecto</w:t>
      </w:r>
    </w:p>
    <w:p>
      <w:pPr>
        <w:jc w:val="both"/>
      </w:pPr>
      <w:r>
        <w:rPr>
          <w:b/>
        </w:rPr>
        <w:t>Tema:</w:t>
      </w:r>
      <w:r>
        <w:rPr>
          <w:b w:val="0"/>
        </w:rPr>
        <w:t xml:space="preserve"> análisis del rendimiento competitivo de pilotos, escuderías y circuitos en el Campeonato Mundial de Fórmula 1 (1950–2024). </w:t>
      </w:r>
      <w:r>
        <w:rPr>
          <w:b/>
        </w:rPr>
        <w:t>Conjunto de datos:</w:t>
      </w:r>
      <w:r>
        <w:rPr>
          <w:b w:val="0"/>
        </w:rPr>
        <w:t xml:space="preserve"> «Formula 1 World Championship (1950–2024)» de Kaggle (Rohan Rao, datos de Ergast API): 14 archivos CSV relacionados por claves con ≈ 1 125 carreras, ≈ 26 700 resultados, ≈ 860 pilotos, ≈ 210 escuderías, 77 circuitos, 139 estados de finalización, posiciones del campeonato, clasificación, vueltas (≈ 589 000) y paradas en boxes.</w:t>
      </w:r>
    </w:p>
    <w:p>
      <w:pPr>
        <w:jc w:val="both"/>
      </w:pPr>
      <w:r>
        <w:rPr>
          <w:b/>
        </w:rPr>
        <w:t>Suficiencia de los datos:</w:t>
      </w:r>
      <w:r>
        <w:rPr>
          <w:b w:val="0"/>
        </w:rPr>
        <w:t xml:space="preserve"> contiene eventos medibles para la tabla de hechos (posición, puntos, vueltas y tiempos de cada resultado), entidades descriptivas con jerarquías para las dimensiones (piloto, escudería, circuito → país, fecha → temporada → década) y 75 años de historia. Además requiere limpieza (nulos escritos como «\N», tiempos en texto, varios sistemas de puntos), lo que justifica el proceso ETL.</w:t>
      </w:r>
    </w:p>
    <w:p>
      <w:pPr>
        <w:jc w:val="both"/>
      </w:pPr>
      <w:r>
        <w:rPr>
          <w:b/>
        </w:rPr>
        <w:t>Contexto y necesidad de análisis:</w:t>
      </w:r>
      <w:r>
        <w:rPr>
          <w:b w:val="0"/>
        </w:rPr>
        <w:t xml:space="preserve"> cada temporada tiene Grandes Premios en distintos circuitos; los pilotos corren para una escudería y suman puntos según su posición final. Los datos están normalizados para registrar resultados, no para analizarlos en el tiempo. La necesidad es </w:t>
      </w:r>
      <w:r>
        <w:rPr>
          <w:b/>
        </w:rPr>
        <w:t>evaluar de forma comparable entre épocas quién gana, con qué frecuencia y con qué confiabilidad</w:t>
      </w:r>
      <w:r>
        <w:rPr>
          <w:b w:val="0"/>
        </w:rPr>
        <w:t>, para equipos, analistas, medios y patrocinadores. No es un tema de ventas, inventario ni similares: combina métricas ordinales, aditivas y semiaditivas, cambios de reglamento y varios procesos de negocio.</w:t>
      </w:r>
    </w:p>
    <w:p>
      <w:pPr>
        <w:keepNext/>
        <w:spacing w:before="120"/>
      </w:pPr>
      <w:r>
        <w:rPr>
          <w:b/>
        </w:rPr>
        <w:t>2. Objetivos del Data Warehouse</w:t>
      </w:r>
    </w:p>
    <w:p>
      <w:pPr>
        <w:jc w:val="both"/>
      </w:pPr>
      <w:r>
        <w:rPr>
          <w:b/>
        </w:rPr>
        <w:t>Objetivo general:</w:t>
      </w:r>
      <w:r>
        <w:rPr>
          <w:b w:val="0"/>
        </w:rPr>
        <w:t xml:space="preserve"> implementar un Data Warehouse con un DataMart de Rendimiento en Carrera que integre los resultados históricos de la Fórmula 1 para analizar el rendimiento de pilotos, escuderías y circuitos mediante indicadores, consultas, cubos OLAP, reportes y cuadros de mando.</w:t>
      </w:r>
    </w:p>
    <w:p>
      <w:pPr>
        <w:jc w:val="both"/>
      </w:pPr>
      <w:r>
        <w:rPr>
          <w:b/>
        </w:rPr>
        <w:t>Objetivos específicos</w:t>
      </w:r>
      <w:r>
        <w:rPr>
          <w:b w:val="0"/>
        </w:rPr>
        <w:t xml:space="preserve"> (medibles con el indicador indicado):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5443"/>
        <w:gridCol w:w="2835"/>
      </w:tblGrid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/>
              </w:rPr>
              <w:t>Cód.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/>
              </w:rPr>
              <w:t>Objetivo específico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</w:rPr>
              <w:t>Indicador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</w:rPr>
              <w:t>Medir la conversión de la pole en victoria por temporada y circuito.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% victorias desde la pole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</w:rPr>
              <w:t>Determinar el dominio de las escuderías por temporada y década.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% de victorias y cuota de puntos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</w:rPr>
              <w:t>Cuantificar la confiabilidad de las escuderías y las causas de abandono.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Tasa de abandono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</w:rPr>
              <w:t>Comparar pilotos de distintas épocas con puntos normalizados.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Puntos por carrera (sistema actual)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</w:rPr>
              <w:t>Caracterizar los circuitos por adelantamientos y abandonos.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Prom. de posiciones ganadas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</w:rPr>
              <w:t>Evaluar la evolución del ritmo por circuito desde 2004.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Velocidad media de vuelta rápida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Estos objetivos definen el hecho (resultado de carrera), las dimensiones (tiempo, carrera, circuito, piloto, escudería y estado), las métricas, la granularidad y los reportes y cuadros de mando de la segunda presentación.</w:t>
      </w:r>
    </w:p>
    <w:p>
      <w:pPr>
        <w:keepNext/>
        <w:spacing w:before="120"/>
      </w:pPr>
      <w:r>
        <w:rPr>
          <w:b/>
        </w:rPr>
        <w:t>3. Modelado Conceptual del DataMart</w:t>
      </w:r>
    </w:p>
    <w:p>
      <w:pPr>
        <w:jc w:val="both"/>
      </w:pPr>
      <w:r>
        <w:rPr>
          <w:b/>
        </w:rPr>
        <w:t>Tres DataMarts posibles:</w:t>
      </w:r>
    </w:p>
    <w:p>
      <w:pPr>
        <w:pStyle w:val="ListBullet"/>
        <w:spacing w:after="20"/>
        <w:jc w:val="both"/>
      </w:pPr>
      <w:r>
        <w:rPr>
          <w:b/>
        </w:rPr>
        <w:t>DM1 Rendimiento en Carrera:</w:t>
      </w:r>
      <w:r>
        <w:rPr>
          <w:b w:val="0"/>
        </w:rPr>
        <w:t xml:space="preserve"> proceso resultado de carrera; cobertura completa 1950–2024.</w:t>
      </w:r>
    </w:p>
    <w:p>
      <w:pPr>
        <w:pStyle w:val="ListBullet"/>
        <w:spacing w:after="20"/>
        <w:jc w:val="both"/>
      </w:pPr>
      <w:r>
        <w:rPr>
          <w:b/>
        </w:rPr>
        <w:t>DM2 Estrategia en Pista:</w:t>
      </w:r>
      <w:r>
        <w:rPr>
          <w:b w:val="0"/>
        </w:rPr>
        <w:t xml:space="preserve"> vueltas y paradas en boxes; solo desde 1996 y 2011.</w:t>
      </w:r>
    </w:p>
    <w:p>
      <w:pPr>
        <w:pStyle w:val="ListBullet"/>
        <w:spacing w:after="20"/>
        <w:jc w:val="both"/>
      </w:pPr>
      <w:r>
        <w:rPr>
          <w:b/>
        </w:rPr>
        <w:t>DM3 Clasificación y Campeonato:</w:t>
      </w:r>
      <w:r>
        <w:rPr>
          <w:b w:val="0"/>
        </w:rPr>
        <w:t xml:space="preserve"> sesiones de clasificación y posiciones del campeonato.</w:t>
      </w:r>
    </w:p>
    <w:p>
      <w:pPr>
        <w:jc w:val="both"/>
      </w:pPr>
      <w:r>
        <w:rPr>
          <w:b/>
        </w:rPr>
        <w:t>DataMart seleccionado: DM1</w:t>
      </w:r>
      <w:r>
        <w:rPr>
          <w:b w:val="0"/>
        </w:rPr>
        <w:t>, porque el resultado de carrera es el proceso central (de él salen los puntos y los campeonatos), tiene la historia completa, responde los seis objetivos y sus dimensiones se reutilizan en DM2 y DM3.</w:t>
      </w:r>
    </w:p>
    <w:p>
      <w:pPr>
        <w:jc w:val="both"/>
      </w:pPr>
      <w:r>
        <w:rPr>
          <w:b/>
        </w:rPr>
        <w:t>Modelo conceptual:</w:t>
      </w:r>
      <w:r>
        <w:rPr>
          <w:b w:val="0"/>
        </w:rPr>
        <w:t xml:space="preserve"> proceso de negocio «disputa de un Gran Premio»; hecho </w:t>
      </w:r>
      <w:r>
        <w:rPr>
          <w:b/>
        </w:rPr>
        <w:t>Resultado de carrera</w:t>
      </w:r>
      <w:r>
        <w:rPr>
          <w:b w:val="0"/>
        </w:rPr>
        <w:t>; dimensiones con sus jerarquías: Tiempo (década → año → mes → fecha), Carrera (temporada → Gran Premio), Circuito (continente → país → circuito), Piloto (nacionalidad → piloto), Escudería (nacionalidad → escudería) y Estado (categoría → estado).</w:t>
      </w:r>
    </w:p>
    <w:p>
      <w:pPr>
        <w:jc w:val="both"/>
      </w:pPr>
      <w:r>
        <w:rPr>
          <w:b/>
        </w:rPr>
        <w:t>Granularidad:</w:t>
      </w:r>
      <w:r>
        <w:rPr>
          <w:b w:val="0"/>
        </w:rPr>
        <w:t xml:space="preserve"> cada registro de la tabla de hechos es </w:t>
      </w:r>
      <w:r>
        <w:rPr>
          <w:b/>
        </w:rPr>
        <w:t>el resultado de un piloto, con un auto de una escudería, en un Gran Premio</w:t>
      </w:r>
      <w:r>
        <w:rPr>
          <w:b w:val="0"/>
        </w:rPr>
        <w:t xml:space="preserve"> (una fila de results.csv); ≈ 26 700 registros.</w:t>
      </w:r>
    </w:p>
    <w:p>
      <w:pPr>
        <w:keepNext/>
        <w:spacing w:before="120"/>
      </w:pPr>
      <w:r>
        <w:rPr>
          <w:b/>
        </w:rPr>
        <w:t>4. Modelado Lógico del DataMart</w:t>
      </w:r>
    </w:p>
    <w:p>
      <w:pPr>
        <w:jc w:val="both"/>
      </w:pPr>
      <w:r>
        <w:rPr>
          <w:b w:val="0"/>
        </w:rPr>
        <w:t>Esquema en estrella. Cada dimensión se relaciona 1:N con la tabla de hechos mediante su clave sustituta (PK) y la clave foránea (FK) correspondiente: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6066"/>
      </w:tblGrid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/>
              </w:rPr>
              <w:t>Atributos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fact_resultado_carrera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sk_resultado; FK sk_tiempo, sk_carrera, sk_circuito, sk_piloto, sk_escuderia, sk_estado; id_resultado_origen, codigo_posicion; métricas: puntos, puntos_sistema_actual, posicion_salida, posicion_final, posiciones_ganadas, vueltas_completadas, tiempo_vuelta_rapida_ms, velocidad_vuelta_rapida_kmh, edad_piloto, puntos_acumulados_temporada; indicadores 0/1: es_victoria, es_podio, es_pole, es_abandono, es_finalizado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dim_tiempo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sk_tiempo (AAAAMMDD); fecha, mes, trimestre, anio, decada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dim_carrera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sk_carrera; id_carrera_origen, temporada, ronda, nombre_gran_premio, sistema_puntos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dim_circuito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sk_circuito; id_circuito_origen, nombre_circuito, localidad, pais, continente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dim_piloto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sk_piloto; id_piloto_origen, nombre_completo, fecha_nacimiento, nacionalidad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dim_escuderia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sk_escuderia; id_escuderia_origen, nombre_escuderia, nacionalidad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dim_estado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sk_estado; id_estado_origen, descripcion_estado, categoria_estado</w:t>
            </w:r>
          </w:p>
        </w:tc>
      </w:tr>
    </w:tbl>
    <w:p>
      <w:pPr>
        <w:spacing w:after="0"/>
      </w:pPr>
    </w:p>
    <w:p>
      <w:pPr>
        <w:pStyle w:val="ListBullet"/>
        <w:spacing w:after="20"/>
        <w:jc w:val="both"/>
      </w:pPr>
      <w:r>
        <w:rPr>
          <w:b/>
        </w:rPr>
        <w:t>Claves:</w:t>
      </w:r>
      <w:r>
        <w:rPr>
          <w:b w:val="0"/>
        </w:rPr>
        <w:t xml:space="preserve"> las claves sustitutas (sk_*) son enteros generados por el DBMS; las claves naturales del dataset (id_*_origen) son únicas y el ETL las usa para buscar la clave sustituta.</w:t>
      </w:r>
    </w:p>
    <w:p>
      <w:pPr>
        <w:pStyle w:val="ListBullet"/>
        <w:spacing w:after="20"/>
        <w:jc w:val="both"/>
      </w:pPr>
      <w:r>
        <w:rPr>
          <w:b/>
        </w:rPr>
        <w:t>Métricas aditivas:</w:t>
      </w:r>
      <w:r>
        <w:rPr>
          <w:b w:val="0"/>
        </w:rPr>
        <w:t xml:space="preserve"> puntos, vueltas, posiciones ganadas e indicadores 0/1 (su suma cuenta victorias, podios o abandonos).</w:t>
      </w:r>
    </w:p>
    <w:p>
      <w:pPr>
        <w:pStyle w:val="ListBullet"/>
        <w:spacing w:after="20"/>
        <w:jc w:val="both"/>
      </w:pPr>
      <w:r>
        <w:rPr>
          <w:b/>
        </w:rPr>
        <w:t>Métrica semiaditiva:</w:t>
      </w:r>
      <w:r>
        <w:rPr>
          <w:b w:val="0"/>
        </w:rPr>
        <w:t xml:space="preserve"> puntos acumulados de la temporada; se suma entre pilotos de una ronda, pero en el tiempo se toma el último valor.</w:t>
      </w:r>
    </w:p>
    <w:p>
      <w:pPr>
        <w:pStyle w:val="ListBullet"/>
        <w:spacing w:after="20"/>
        <w:jc w:val="both"/>
      </w:pPr>
      <w:r>
        <w:rPr>
          <w:b/>
        </w:rPr>
        <w:t>Métricas no aditivas:</w:t>
      </w:r>
      <w:r>
        <w:rPr>
          <w:b w:val="0"/>
        </w:rPr>
        <w:t xml:space="preserve"> posiciones, tiempos, velocidad, edad y porcentajes.</w:t>
      </w:r>
    </w:p>
    <w:p>
      <w:pPr>
        <w:jc w:val="both"/>
      </w:pPr>
      <w:r>
        <w:rPr>
          <w:b/>
        </w:rPr>
        <w:t>Verificación:</w:t>
      </w:r>
      <w:r>
        <w:rPr>
          <w:b w:val="0"/>
        </w:rPr>
        <w:t xml:space="preserve"> OE1 usa es_pole y es_victoria por carrera y circuito; OE2, es_victoria y puntos por escudería y década; OE3, es_abandono por escudería y estado; OE4, puntos_sistema_actual por piloto; OE5, posiciones_ganadas por circuito; OE6, la vuelta rápida por circuito y temporada. Todos los objetivos se pueden responder con el modelo.</w:t>
      </w:r>
    </w:p>
    <w:p>
      <w:pPr>
        <w:keepNext/>
        <w:spacing w:before="120"/>
      </w:pPr>
      <w:r>
        <w:rPr>
          <w:b/>
        </w:rPr>
        <w:t>5. Modelado Físico del DataMart</w:t>
      </w:r>
    </w:p>
    <w:p>
      <w:pPr>
        <w:jc w:val="both"/>
      </w:pPr>
      <w:r>
        <w:rPr>
          <w:b w:val="0"/>
        </w:rPr>
        <w:t xml:space="preserve">Se implementó en </w:t>
      </w:r>
      <w:r>
        <w:rPr>
          <w:b/>
        </w:rPr>
        <w:t>PostgreSQL 16</w:t>
      </w:r>
      <w:r>
        <w:rPr>
          <w:b w:val="0"/>
        </w:rPr>
        <w:t xml:space="preserve"> (base dw_formula1, esquema dw_f1) con scripts SQL que crean las seis dimensiones y la tabla de hechos, los índices y la dimensión Tiempo (1950–2030).</w:t>
      </w:r>
    </w:p>
    <w:p>
      <w:pPr>
        <w:pStyle w:val="ListBullet"/>
        <w:spacing w:after="20"/>
        <w:jc w:val="both"/>
      </w:pPr>
      <w:r>
        <w:rPr>
          <w:b/>
        </w:rPr>
        <w:t>Tipos de datos:</w:t>
      </w:r>
      <w:r>
        <w:rPr>
          <w:b w:val="0"/>
        </w:rPr>
        <w:t xml:space="preserve"> claves INTEGER/BIGINT IDENTITY; posiciones e indicadores SMALLINT; puntos NUMERIC(5,2) para admitir medios puntos; tiempos en milisegundos; fechas DATE.</w:t>
      </w:r>
    </w:p>
    <w:p>
      <w:pPr>
        <w:pStyle w:val="ListBullet"/>
        <w:spacing w:after="20"/>
        <w:jc w:val="both"/>
      </w:pPr>
      <w:r>
        <w:rPr>
          <w:b/>
        </w:rPr>
        <w:t>Restricciones e integridad referencial:</w:t>
      </w:r>
      <w:r>
        <w:rPr>
          <w:b w:val="0"/>
        </w:rPr>
        <w:t xml:space="preserve"> PK en todas las tablas, UNIQUE en las claves naturales, seis FK obligatorias desde los hechos y reglas CHECK (posiciones &gt; 0, puntos ≥ 0, es_victoria = 1 solo si posicion_final = 1). Se probó que el DBMS rechaza hechos con dimensiones inexistentes, resultados duplicados y el borrado de dimensiones con hechos.</w:t>
      </w:r>
    </w:p>
    <w:p>
      <w:pPr>
        <w:pStyle w:val="ListBullet"/>
        <w:spacing w:after="20"/>
        <w:jc w:val="both"/>
      </w:pPr>
      <w:r>
        <w:rPr>
          <w:b/>
        </w:rPr>
        <w:t>Índices y orientación al análisis y al ETL:</w:t>
      </w:r>
      <w:r>
        <w:rPr>
          <w:b w:val="0"/>
        </w:rPr>
        <w:t xml:space="preserve"> índices en cada FK, en (piloto, tiempo), (escudería, tiempo) y en los atributos de las jerarquías; la clave natural única permite recargar sin duplicar y el miembro «Desconocido» (-1) evita perder hechos en la carga.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0" w:lineRule="auto"/>
      <w:contextualSpacing/>
    </w:pPr>
    <w:rPr>
      <w:rFonts w:ascii="Arial" w:hAnsi="Arial" w:eastAsia="Arial" w:cs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