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F878E">
      <w:pPr>
        <w:jc w:val="center"/>
        <w:rPr>
          <w:rFonts w:ascii="华文中宋" w:hAnsi="华文中宋" w:eastAsia="华文中宋" w:cs="Times New Roman"/>
          <w:sz w:val="24"/>
          <w:szCs w:val="24"/>
        </w:rPr>
      </w:pPr>
      <w:r>
        <w:rPr>
          <w:rFonts w:ascii="华文中宋" w:hAnsi="华文中宋" w:eastAsia="华文中宋" w:cs="Times New Roman"/>
          <w:sz w:val="24"/>
          <w:szCs w:val="24"/>
        </w:rPr>
        <w:t>法律检索报告</w:t>
      </w:r>
    </w:p>
    <w:p w14:paraId="31DE5211">
      <w:pPr>
        <w:rPr>
          <w:rFonts w:ascii="Times New Roman" w:hAnsi="Times New Roman" w:eastAsia="宋体" w:cs="Times New Roman"/>
          <w:sz w:val="24"/>
          <w:szCs w:val="24"/>
        </w:rPr>
      </w:pPr>
    </w:p>
    <w:p w14:paraId="5D7E2797">
      <w:pPr>
        <w:rPr>
          <w:rFonts w:ascii="Times New Roman" w:hAnsi="Times New Roman" w:eastAsia="宋体" w:cs="Times New Roman"/>
          <w:sz w:val="24"/>
          <w:szCs w:val="24"/>
        </w:rPr>
      </w:pPr>
      <w:r>
        <w:rPr>
          <w:rFonts w:hint="eastAsia" w:ascii="Times New Roman" w:hAnsi="Times New Roman" w:eastAsia="宋体" w:cs="Times New Roman"/>
          <w:sz w:val="24"/>
          <w:szCs w:val="24"/>
        </w:rPr>
        <w:t>检索日期：202</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8</w:t>
      </w:r>
      <w:r>
        <w:rPr>
          <w:rFonts w:hint="eastAsia"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28</w:t>
      </w:r>
      <w:r>
        <w:rPr>
          <w:rFonts w:hint="eastAsia" w:ascii="Times New Roman" w:hAnsi="Times New Roman" w:eastAsia="宋体" w:cs="Times New Roman"/>
          <w:sz w:val="24"/>
          <w:szCs w:val="24"/>
        </w:rPr>
        <w:t>日</w:t>
      </w:r>
    </w:p>
    <w:p w14:paraId="32BE7B62">
      <w:pPr>
        <w:rPr>
          <w:rFonts w:ascii="Times New Roman" w:hAnsi="Times New Roman" w:eastAsia="宋体" w:cs="Times New Roman"/>
          <w:sz w:val="24"/>
          <w:szCs w:val="24"/>
        </w:rPr>
      </w:pPr>
      <w:r>
        <w:rPr>
          <w:rFonts w:hint="eastAsia" w:ascii="Times New Roman" w:hAnsi="Times New Roman" w:eastAsia="宋体" w:cs="Times New Roman"/>
          <w:sz w:val="24"/>
          <w:szCs w:val="24"/>
        </w:rPr>
        <w:t>检索人：戚薇</w:t>
      </w:r>
    </w:p>
    <w:p w14:paraId="4C4DB0DC">
      <w:pPr>
        <w:rPr>
          <w:rFonts w:ascii="Times New Roman" w:hAnsi="Times New Roman" w:eastAsia="宋体" w:cs="Times New Roman"/>
          <w:sz w:val="24"/>
          <w:szCs w:val="24"/>
        </w:rPr>
      </w:pPr>
    </w:p>
    <w:p w14:paraId="35EA8D72">
      <w:pPr>
        <w:rPr>
          <w:rFonts w:ascii="Times New Roman" w:hAnsi="Times New Roman" w:eastAsia="宋体" w:cs="Times New Roman"/>
          <w:b/>
          <w:bCs/>
          <w:sz w:val="24"/>
          <w:szCs w:val="24"/>
        </w:rPr>
      </w:pPr>
      <w:r>
        <w:rPr>
          <w:rFonts w:ascii="Times New Roman" w:hAnsi="Times New Roman" w:eastAsia="宋体" w:cs="Times New Roman"/>
          <w:b/>
          <w:bCs/>
          <w:sz w:val="24"/>
          <w:szCs w:val="24"/>
        </w:rPr>
        <w:t>第一部分 检索问题</w:t>
      </w:r>
    </w:p>
    <w:p w14:paraId="213F46CA">
      <w:pPr>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在中国被通缉是否影响美国强制仲裁动议</w:t>
      </w:r>
    </w:p>
    <w:p w14:paraId="55B4D352">
      <w:pPr>
        <w:rPr>
          <w:rFonts w:ascii="Times New Roman" w:hAnsi="Times New Roman" w:eastAsia="宋体" w:cs="Times New Roman"/>
          <w:sz w:val="24"/>
          <w:szCs w:val="24"/>
        </w:rPr>
      </w:pPr>
    </w:p>
    <w:p w14:paraId="7F692B5D">
      <w:pPr>
        <w:rPr>
          <w:rFonts w:ascii="Times New Roman" w:hAnsi="Times New Roman" w:eastAsia="宋体" w:cs="Times New Roman"/>
          <w:b/>
          <w:bCs/>
          <w:sz w:val="24"/>
          <w:szCs w:val="24"/>
        </w:rPr>
      </w:pPr>
      <w:r>
        <w:rPr>
          <w:rFonts w:ascii="Times New Roman" w:hAnsi="Times New Roman" w:eastAsia="宋体" w:cs="Times New Roman"/>
          <w:b/>
          <w:bCs/>
          <w:sz w:val="24"/>
          <w:szCs w:val="24"/>
        </w:rPr>
        <w:t>第二部分 检索内容</w:t>
      </w:r>
    </w:p>
    <w:p w14:paraId="38471697">
      <w:pPr>
        <w:rPr>
          <w:rFonts w:ascii="Times New Roman" w:hAnsi="Times New Roman" w:eastAsia="宋体" w:cs="Times New Roman"/>
          <w:sz w:val="24"/>
          <w:szCs w:val="24"/>
        </w:rPr>
      </w:pPr>
    </w:p>
    <w:p w14:paraId="6B1F0F82">
      <w:pPr>
        <w:pStyle w:val="15"/>
        <w:numPr>
          <w:ilvl w:val="0"/>
          <w:numId w:val="1"/>
        </w:numPr>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法律规定</w:t>
      </w:r>
    </w:p>
    <w:p w14:paraId="18FCE3A4">
      <w:pPr>
        <w:pStyle w:val="15"/>
        <w:ind w:left="420" w:firstLine="0" w:firstLineChars="0"/>
        <w:rPr>
          <w:rFonts w:ascii="Times New Roman" w:hAnsi="Times New Roman" w:eastAsia="宋体" w:cs="Times New Roman"/>
          <w:sz w:val="24"/>
          <w:szCs w:val="24"/>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6600"/>
      </w:tblGrid>
      <w:tr w14:paraId="7D13AA86">
        <w:tc>
          <w:tcPr>
            <w:tcW w:w="1696" w:type="dxa"/>
          </w:tcPr>
          <w:p w14:paraId="68A499A4">
            <w:pPr>
              <w:rPr>
                <w:rFonts w:ascii="Times New Roman" w:hAnsi="Times New Roman" w:eastAsia="宋体" w:cs="Times New Roman"/>
                <w:sz w:val="24"/>
                <w:szCs w:val="24"/>
              </w:rPr>
            </w:pPr>
            <w:r>
              <w:rPr>
                <w:rFonts w:ascii="Times New Roman" w:hAnsi="Times New Roman" w:eastAsia="宋体" w:cs="Times New Roman"/>
                <w:sz w:val="24"/>
                <w:szCs w:val="24"/>
              </w:rPr>
              <w:t>法律规定1</w:t>
            </w:r>
          </w:p>
        </w:tc>
        <w:tc>
          <w:tcPr>
            <w:tcW w:w="6600" w:type="dxa"/>
          </w:tcPr>
          <w:p w14:paraId="22BC5036">
            <w:pPr>
              <w:rPr>
                <w:rFonts w:ascii="Times New Roman" w:hAnsi="Times New Roman" w:eastAsia="宋体" w:cs="Times New Roman"/>
                <w:sz w:val="24"/>
                <w:szCs w:val="24"/>
              </w:rPr>
            </w:pPr>
            <w:r>
              <w:rPr>
                <w:rFonts w:hint="eastAsia" w:ascii="Times New Roman" w:hAnsi="Times New Roman" w:eastAsia="宋体" w:cs="Times New Roman"/>
                <w:sz w:val="24"/>
                <w:szCs w:val="24"/>
              </w:rPr>
              <w:t>《联邦仲裁法》（FAA）</w:t>
            </w:r>
          </w:p>
        </w:tc>
      </w:tr>
      <w:tr w14:paraId="284D7A7B">
        <w:tc>
          <w:tcPr>
            <w:tcW w:w="1696" w:type="dxa"/>
          </w:tcPr>
          <w:p w14:paraId="4E49B70A">
            <w:pPr>
              <w:rPr>
                <w:rFonts w:ascii="Times New Roman" w:hAnsi="Times New Roman" w:eastAsia="宋体" w:cs="Times New Roman"/>
                <w:sz w:val="24"/>
                <w:szCs w:val="24"/>
              </w:rPr>
            </w:pPr>
            <w:r>
              <w:rPr>
                <w:rFonts w:ascii="Times New Roman" w:hAnsi="Times New Roman" w:eastAsia="宋体" w:cs="Times New Roman"/>
                <w:sz w:val="24"/>
                <w:szCs w:val="24"/>
              </w:rPr>
              <w:t>条文规定</w:t>
            </w:r>
          </w:p>
        </w:tc>
        <w:tc>
          <w:tcPr>
            <w:tcW w:w="6600" w:type="dxa"/>
          </w:tcPr>
          <w:p w14:paraId="6A7CDDD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 U.S. Code § 2 - Validity, irrevocability, and enforcement of agreements to arbitrate</w:t>
            </w:r>
            <w:r>
              <w:rPr>
                <w:rStyle w:val="14"/>
                <w:rFonts w:hint="eastAsia" w:ascii="Times New Roman" w:hAnsi="Times New Roman" w:eastAsia="宋体" w:cs="Times New Roman"/>
                <w:sz w:val="24"/>
                <w:szCs w:val="24"/>
              </w:rPr>
              <w:footnoteReference w:id="0"/>
            </w:r>
          </w:p>
          <w:p w14:paraId="67DC03F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 written provision in any maritime transaction or a contract evidencing a transaction involving commerce to settle by arbitration a controversy thereafter arising out of such contract or transaction, or the refusal to perform the whole or any part thereof, or an agreement in writing to submit to arbitration an existing controversy arising out of such a contract, transaction, or refusal, shall be valid, irrevocable, and enforceable, save upon such grounds as exist at law or in equity for the revocation of any contract or as otherwise provided in chapter 4.</w:t>
            </w:r>
          </w:p>
          <w:p w14:paraId="6C7D321E">
            <w:pPr>
              <w:rPr>
                <w:rFonts w:hint="eastAsia" w:ascii="Times New Roman" w:hAnsi="Times New Roman" w:eastAsia="宋体" w:cs="Times New Roman"/>
                <w:sz w:val="24"/>
                <w:szCs w:val="24"/>
              </w:rPr>
            </w:pPr>
          </w:p>
          <w:p w14:paraId="1E1C1086">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 U.S. Code § 4 - Failure to arbitrate under agreement; petition to United States court having jurisdiction for order to compel arbitration; notice and service thereof; hearing and determination</w:t>
            </w:r>
          </w:p>
          <w:p w14:paraId="2A0770E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 party aggrieved by the alleged failure, neglect, or refusal of another to arbitrate under a written agreement for arbitration may petition any United States district court which, save for such agreement, would have jurisdiction under title 28, in a civil action or in admiralty of the subject matter of a suit arising out of the controversy between the parties, for an order directing that such arbitration proceed in the manner provided for in such agreement. Five days’ notice in writing of such application shall be served upon the party in default. Service thereof shall be made in the manner provided by the Federal Rules of Civil Procedure. The court shall hear the parties, and upon being satisfied that the making of the agreement for arbitration or the failure to comply therewith is not in issue, the court shall make an order directing the parties to proceed to arbitration in accordance with the terms of the agreement. The hearing and proceedings, under such agreement, shall be within the district in which the petition for an order directing such arbitration is filed. If the making of the arbitration agreement or the failure, neglect, or refusal to perform the same be in issue, the court shall proceed summarily to the trial thereof. If no jury trial be demanded by the party alleged to be in default, or if the matter in dispute is within admiralty jurisdiction, the court shall hear and determine such issue. Where such an issue is raised, the party alleged to be in default may, except in cases of admiralty, on or before the return day of the notice of application, demand a jury trial of such issue, and upon such demand the court shall make an order referring the issue or issues to a jury in the manner provided by the Federal Rules of Civil Procedure, or may specially call a jury for that purpose. If the jury find that no agreement in writing for arbitration was made or that there is no default in proceeding thereunder, the proceeding shall be dismissed. If the jury find that an agreement for arbitration was made in writing and that there is a default in proceeding thereunder, the court shall make an order summarily directing the parties to proceed with the arbitration in accordance with the terms thereof.</w:t>
            </w:r>
          </w:p>
        </w:tc>
      </w:tr>
      <w:tr w14:paraId="5E99243A">
        <w:tc>
          <w:tcPr>
            <w:tcW w:w="1696" w:type="dxa"/>
          </w:tcPr>
          <w:p w14:paraId="5C6A6AB6">
            <w:pPr>
              <w:rPr>
                <w:rFonts w:ascii="Times New Roman" w:hAnsi="Times New Roman" w:eastAsia="宋体" w:cs="Times New Roman"/>
                <w:sz w:val="24"/>
                <w:szCs w:val="24"/>
              </w:rPr>
            </w:pPr>
          </w:p>
        </w:tc>
        <w:tc>
          <w:tcPr>
            <w:tcW w:w="6600" w:type="dxa"/>
          </w:tcPr>
          <w:p w14:paraId="769445B1">
            <w:pPr>
              <w:rPr>
                <w:rFonts w:ascii="Times New Roman" w:hAnsi="Times New Roman" w:eastAsia="宋体" w:cs="Times New Roman"/>
                <w:sz w:val="24"/>
                <w:szCs w:val="24"/>
              </w:rPr>
            </w:pPr>
          </w:p>
        </w:tc>
      </w:tr>
    </w:tbl>
    <w:p w14:paraId="6E92209E">
      <w:pPr>
        <w:rPr>
          <w:rFonts w:ascii="Times New Roman" w:hAnsi="Times New Roman" w:eastAsia="宋体" w:cs="Times New Roman"/>
          <w:sz w:val="24"/>
          <w:szCs w:val="24"/>
        </w:rPr>
      </w:pPr>
    </w:p>
    <w:p w14:paraId="70C7F68D">
      <w:pPr>
        <w:pStyle w:val="15"/>
        <w:numPr>
          <w:ilvl w:val="0"/>
          <w:numId w:val="1"/>
        </w:numPr>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司法判例</w:t>
      </w:r>
      <w:r>
        <w:rPr>
          <w:rFonts w:hint="eastAsia" w:ascii="Times New Roman" w:hAnsi="Times New Roman" w:eastAsia="宋体" w:cs="Times New Roman"/>
          <w:b/>
          <w:bCs/>
          <w:sz w:val="24"/>
          <w:szCs w:val="24"/>
        </w:rPr>
        <w:t>（包含支持的判例和不支持的判例）</w:t>
      </w:r>
    </w:p>
    <w:p w14:paraId="28133298">
      <w:pPr>
        <w:pStyle w:val="15"/>
        <w:ind w:left="420" w:firstLine="0" w:firstLineChars="0"/>
        <w:rPr>
          <w:rFonts w:ascii="Times New Roman" w:hAnsi="Times New Roman" w:eastAsia="宋体" w:cs="Times New Roman"/>
          <w:sz w:val="24"/>
          <w:szCs w:val="24"/>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6600"/>
      </w:tblGrid>
      <w:tr w14:paraId="65C1BEA1">
        <w:tc>
          <w:tcPr>
            <w:tcW w:w="1696" w:type="dxa"/>
          </w:tcPr>
          <w:p w14:paraId="2E857C2E">
            <w:pPr>
              <w:rPr>
                <w:rFonts w:ascii="Times New Roman" w:hAnsi="Times New Roman" w:eastAsia="宋体" w:cs="Times New Roman"/>
                <w:sz w:val="24"/>
                <w:szCs w:val="24"/>
              </w:rPr>
            </w:pPr>
            <w:r>
              <w:rPr>
                <w:rFonts w:ascii="Times New Roman" w:hAnsi="Times New Roman" w:eastAsia="宋体" w:cs="Times New Roman"/>
                <w:sz w:val="24"/>
                <w:szCs w:val="24"/>
              </w:rPr>
              <w:t>案例1</w:t>
            </w:r>
          </w:p>
        </w:tc>
        <w:tc>
          <w:tcPr>
            <w:tcW w:w="6600" w:type="dxa"/>
          </w:tcPr>
          <w:p w14:paraId="5E7DE0D6">
            <w:pPr>
              <w:rPr>
                <w:rFonts w:ascii="Times New Roman" w:hAnsi="Times New Roman" w:eastAsia="宋体" w:cs="Times New Roman"/>
                <w:sz w:val="24"/>
                <w:szCs w:val="24"/>
              </w:rPr>
            </w:pPr>
            <w:r>
              <w:rPr>
                <w:rFonts w:hint="eastAsia" w:ascii="Times New Roman" w:hAnsi="Times New Roman" w:eastAsia="宋体" w:cs="Times New Roman"/>
                <w:sz w:val="24"/>
                <w:szCs w:val="24"/>
              </w:rPr>
              <w:t>Mitsubishi Motors Corp. v. Soler Chrysler-Plymouth, Inc., 473 U.S. 614 (1985)</w:t>
            </w:r>
            <w:r>
              <w:rPr>
                <w:rStyle w:val="14"/>
                <w:rFonts w:hint="eastAsia" w:ascii="Times New Roman" w:hAnsi="Times New Roman" w:eastAsia="宋体" w:cs="Times New Roman"/>
                <w:sz w:val="24"/>
                <w:szCs w:val="24"/>
              </w:rPr>
              <w:footnoteReference w:id="1"/>
            </w:r>
          </w:p>
        </w:tc>
      </w:tr>
      <w:tr w14:paraId="71C99D15">
        <w:tc>
          <w:tcPr>
            <w:tcW w:w="1696" w:type="dxa"/>
          </w:tcPr>
          <w:p w14:paraId="3A498A8B">
            <w:pPr>
              <w:rPr>
                <w:rFonts w:ascii="Times New Roman" w:hAnsi="Times New Roman" w:eastAsia="宋体" w:cs="Times New Roman"/>
                <w:sz w:val="24"/>
                <w:szCs w:val="24"/>
              </w:rPr>
            </w:pPr>
            <w:r>
              <w:rPr>
                <w:rFonts w:ascii="Times New Roman" w:hAnsi="Times New Roman" w:eastAsia="宋体" w:cs="Times New Roman"/>
                <w:sz w:val="24"/>
                <w:szCs w:val="24"/>
              </w:rPr>
              <w:t>主要裁判观点</w:t>
            </w:r>
          </w:p>
        </w:tc>
        <w:tc>
          <w:tcPr>
            <w:tcW w:w="6600" w:type="dxa"/>
          </w:tcPr>
          <w:p w14:paraId="66F0B7F2">
            <w:pPr>
              <w:rPr>
                <w:rFonts w:ascii="Times New Roman" w:hAnsi="Times New Roman" w:eastAsia="宋体" w:cs="Times New Roman"/>
                <w:sz w:val="24"/>
                <w:szCs w:val="24"/>
              </w:rPr>
            </w:pPr>
            <w:r>
              <w:rPr>
                <w:rFonts w:hint="eastAsia" w:ascii="Times New Roman" w:hAnsi="Times New Roman" w:eastAsia="宋体" w:cs="Times New Roman"/>
                <w:sz w:val="24"/>
                <w:szCs w:val="24"/>
              </w:rPr>
              <w:t>A dispute arose between Mitsubishi, a Japanese corporation, and Soler Chrysler, a Puerto Rican company, concerning a distribution contract. Mitsubishi brought suit in a United States federal district court to compel arbitration in Japan, relying on the distribution contract. Soler Chrysler resisted arbitration on the grounds that (i) its counterclaims were based on a Sherman Antitrust Act violation, and (ii) the claims could not be disposed of in arbitration. The District Court ruled that the antitrust claims were arbitrable, and the Circuit Court reversed. The United States Supreme Court affirmed the District Court’s decision and compelled arbitration. The question presented to the Supreme Court was whether claims arising out of the Sherman Antitrust Act were arbitrable pursuant to the Federal Arbitration Act (“FAA) or the NYC. The Court found that they were. In doing so, the Court reasoned that “concerns for international comity, respect for the capacities of foreign and transnational tribunals, and sensitivity to the need of the international commercial system for predictability in the resolution of disputes” required that the Court compel arbitration. The Court further based its decision on the fact that the Arbitral Tribunal was competent to hear, and had agreed to consider, the antitrust claims. Finally, the Court held that national courts of the United States would have the opportunity at the enforcement stage, pursuant to Article V(2)(b) NYC, to ensure that the legitimate interest in the antitrust issues had been addressed.</w:t>
            </w:r>
          </w:p>
        </w:tc>
      </w:tr>
      <w:tr w14:paraId="7E59C148">
        <w:tc>
          <w:tcPr>
            <w:tcW w:w="1696" w:type="dxa"/>
          </w:tcPr>
          <w:p w14:paraId="73AAF0B2">
            <w:pPr>
              <w:rPr>
                <w:rFonts w:ascii="Times New Roman" w:hAnsi="Times New Roman" w:eastAsia="宋体" w:cs="Times New Roman"/>
                <w:sz w:val="24"/>
                <w:szCs w:val="24"/>
              </w:rPr>
            </w:pPr>
          </w:p>
        </w:tc>
        <w:tc>
          <w:tcPr>
            <w:tcW w:w="6600" w:type="dxa"/>
          </w:tcPr>
          <w:p w14:paraId="2E7B9C30">
            <w:pPr>
              <w:rPr>
                <w:rFonts w:ascii="Times New Roman" w:hAnsi="Times New Roman" w:eastAsia="宋体" w:cs="Times New Roman"/>
                <w:sz w:val="24"/>
                <w:szCs w:val="24"/>
              </w:rPr>
            </w:pPr>
          </w:p>
        </w:tc>
      </w:tr>
    </w:tbl>
    <w:p w14:paraId="0666CBA3">
      <w:pPr>
        <w:rPr>
          <w:rFonts w:ascii="Times New Roman" w:hAnsi="Times New Roman" w:eastAsia="宋体" w:cs="Times New Roman"/>
          <w:sz w:val="24"/>
          <w:szCs w:val="24"/>
        </w:rPr>
      </w:pPr>
    </w:p>
    <w:p w14:paraId="150FE2CA">
      <w:pPr>
        <w:rPr>
          <w:rFonts w:ascii="Times New Roman" w:hAnsi="Times New Roman" w:eastAsia="宋体" w:cs="Times New Roman"/>
          <w:b/>
          <w:bCs/>
          <w:sz w:val="24"/>
          <w:szCs w:val="24"/>
        </w:rPr>
      </w:pPr>
      <w:r>
        <w:rPr>
          <w:rFonts w:ascii="Times New Roman" w:hAnsi="Times New Roman" w:eastAsia="宋体" w:cs="Times New Roman"/>
          <w:b/>
          <w:bCs/>
          <w:sz w:val="24"/>
          <w:szCs w:val="24"/>
        </w:rPr>
        <w:t xml:space="preserve">第三部分 </w:t>
      </w:r>
      <w:r>
        <w:rPr>
          <w:rFonts w:hint="eastAsia" w:ascii="Times New Roman" w:hAnsi="Times New Roman" w:eastAsia="宋体" w:cs="Times New Roman"/>
          <w:b/>
          <w:bCs/>
          <w:sz w:val="24"/>
          <w:szCs w:val="24"/>
        </w:rPr>
        <w:t>检索</w:t>
      </w:r>
      <w:r>
        <w:rPr>
          <w:rFonts w:ascii="Times New Roman" w:hAnsi="Times New Roman" w:eastAsia="宋体" w:cs="Times New Roman"/>
          <w:b/>
          <w:bCs/>
          <w:sz w:val="24"/>
          <w:szCs w:val="24"/>
        </w:rPr>
        <w:t>结论</w:t>
      </w:r>
    </w:p>
    <w:p w14:paraId="3D953096">
      <w:pPr>
        <w:rPr>
          <w:rFonts w:ascii="Times New Roman" w:hAnsi="Times New Roman" w:eastAsia="宋体" w:cs="Times New Roman"/>
          <w:b/>
          <w:bCs/>
          <w:sz w:val="24"/>
          <w:szCs w:val="24"/>
        </w:rPr>
      </w:pPr>
    </w:p>
    <w:p w14:paraId="21474E9B">
      <w:pPr>
        <w:rPr>
          <w:rFonts w:hint="eastAsia" w:ascii="Times New Roman" w:hAnsi="Times New Roman" w:eastAsia="宋体" w:cs="Times New Roman"/>
          <w:sz w:val="24"/>
          <w:szCs w:val="24"/>
        </w:rPr>
      </w:pPr>
      <w:bookmarkStart w:id="0" w:name="_GoBack"/>
      <w:r>
        <w:rPr>
          <w:rFonts w:hint="eastAsia" w:ascii="Times New Roman" w:hAnsi="Times New Roman" w:eastAsia="宋体" w:cs="Times New Roman"/>
          <w:sz w:val="24"/>
          <w:szCs w:val="24"/>
        </w:rPr>
        <w:t>一、《联邦仲裁法》第2条确立的强制仲裁原则</w:t>
      </w:r>
    </w:p>
    <w:p w14:paraId="1A3890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《联邦仲裁法》第2条（9 U.S.C. § 2）规定，涉及商事交易的书面仲裁协议“是有效的、不可撤销的和有强制性的”，除非存在普通法或衡平法上撤销合同的一般理由。该条文确立了两层核心含义：第一，联邦政策强烈倾向于支持仲裁，仲裁协议必须被执行；第二，法律明确列出的唯一例外是“欺诈、胁迫或共同错误”等传统合同抗辩事由，而非任意性的政策考量。</w:t>
      </w:r>
    </w:p>
    <w:p w14:paraId="20214F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审查强制仲裁动议时，法院的审查焦点被限定在仲裁协议本身是否成立、是否存在真实合意、以及争议是否在协议涵盖范围之内。一方当事人在外国被刑事通缉，这一事实与仲裁协议的成立、效力或履行没有任何法律关联——既不构成欺诈，也不构成胁迫，更不涉及双方对合同条款的共同错误。因此，该事实在《联邦仲裁法》第2条的审查框架下，根本不构成法院可以拒绝执行仲裁协议的法定理由。</w:t>
      </w:r>
    </w:p>
    <w:p w14:paraId="146C1717">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rPr>
      </w:pPr>
    </w:p>
    <w:p w14:paraId="79FFC275">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二、根据美国最高法院的判例，强制仲裁阶段不适用公共政策</w:t>
      </w:r>
    </w:p>
    <w:p w14:paraId="5A85FC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参考</w:t>
      </w:r>
      <w:r>
        <w:rPr>
          <w:rFonts w:hint="default" w:ascii="Times New Roman" w:hAnsi="Times New Roman" w:eastAsia="宋体" w:cs="Times New Roman"/>
          <w:sz w:val="24"/>
          <w:szCs w:val="24"/>
          <w:lang w:val="en-US" w:eastAsia="zh-CN"/>
        </w:rPr>
        <w:t>Mitsubishi Motors Corp. v. Soler Chrysler-Plymouth, Inc., 473 U.S. 614 (1985)</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该案是国际商事仲裁领域最重要的美国最高法院判例。当事人以争议涉及反垄断法（具有公共政策属性） 为由，主张不应强制仲裁。最高法院的判决驳回了该主张：</w:t>
      </w:r>
    </w:p>
    <w:p w14:paraId="377A62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即使涉及联邦法定权利，只要仲裁协议有效，仍应强制仲裁；</w:t>
      </w:r>
    </w:p>
    <w:p w14:paraId="5161FB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法院在决定是否强制仲裁时，不应以</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公共政策</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为由进行</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预先审查</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（preemptive review）；</w:t>
      </w:r>
    </w:p>
    <w:p w14:paraId="7446C1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对公共政策的关切，应留待仲裁裁决作出后的承认与执行阶段进行"二次审查"（second look），而非在强制仲裁阶段否决协议本身。</w:t>
      </w:r>
    </w:p>
    <w:p w14:paraId="2E0A595A">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szCs w:val="24"/>
          <w:lang w:val="en-US" w:eastAsia="zh-CN"/>
        </w:rPr>
      </w:pPr>
    </w:p>
    <w:p w14:paraId="0E0C47B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三、结论</w:t>
      </w:r>
    </w:p>
    <w:p w14:paraId="04FA16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综合上述法律框架，美籍华人以“在中国被通缉”为由反对强制仲裁，在现行美国法下无法成立。</w:t>
      </w:r>
    </w:p>
    <w:p w14:paraId="434AA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原因在于：</w:t>
      </w:r>
    </w:p>
    <w:p w14:paraId="59965E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第一，《联邦仲裁法》第2条唯一承认的例外是普通法上的合同抗辩事由，外国刑事通缉不在此列；</w:t>
      </w:r>
    </w:p>
    <w:p w14:paraId="17C56F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第二，Mitsubishi Motors案明确将公共政策的评估限定在裁决承认与执行阶段，而非强制仲裁阶段，且该案所附随讨论的极端情形与本案情状在法律性质上完全不同。因此，美国法院在审查强制仲裁动议时，仅会围绕仲裁协议的有效性、范围及是否存在合同法上的撤销事由进行审查，而不会将一方当事人在其他国家的被通缉纳入考量范围。</w:t>
      </w:r>
    </w:p>
    <w:bookmarkEnd w:id="0"/>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7A37E45">
      <w:pPr>
        <w:pStyle w:val="8"/>
        <w:snapToGrid w:val="0"/>
        <w:rPr>
          <w:rFonts w:hint="default" w:eastAsiaTheme="minorEastAsia"/>
          <w:lang w:val="en-US" w:eastAsia="zh-CN"/>
        </w:rPr>
      </w:pPr>
      <w:r>
        <w:rPr>
          <w:rStyle w:val="14"/>
        </w:rPr>
        <w:footnoteRef/>
      </w:r>
      <w:r>
        <w:t xml:space="preserve"> </w:t>
      </w:r>
      <w:r>
        <w:rPr>
          <w:rFonts w:hint="eastAsia"/>
          <w:lang w:val="en-US" w:eastAsia="zh-CN"/>
        </w:rPr>
        <w:t>详见网址：https://www.law.cornell.edu/uscode/text/9/2</w:t>
      </w:r>
    </w:p>
  </w:footnote>
  <w:footnote w:id="1">
    <w:p w14:paraId="78B99533">
      <w:pPr>
        <w:pStyle w:val="8"/>
        <w:snapToGrid w:val="0"/>
        <w:rPr>
          <w:rFonts w:hint="default" w:eastAsiaTheme="minorEastAsia"/>
          <w:lang w:val="en-US" w:eastAsia="zh-CN"/>
        </w:rPr>
      </w:pPr>
      <w:r>
        <w:rPr>
          <w:rStyle w:val="14"/>
        </w:rPr>
        <w:footnoteRef/>
      </w:r>
      <w:r>
        <w:t xml:space="preserve"> </w:t>
      </w:r>
      <w:r>
        <w:rPr>
          <w:rFonts w:hint="eastAsia"/>
          <w:lang w:val="en-US" w:eastAsia="zh-CN"/>
        </w:rPr>
        <w:t>案例评析网址：https://www.newyorkconvention.org/media/uploads/pdf/4/2/4203_usa-gonzales-llagas.pdf#3#2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A76A3"/>
    <w:multiLevelType w:val="multilevel"/>
    <w:tmpl w:val="0A3A76A3"/>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JkZDFlMWQ3ZjAxYTE4YjcyZDA4MmExMzQ3NDAzNTUifQ=="/>
  </w:docVars>
  <w:rsids>
    <w:rsidRoot w:val="007A1BCA"/>
    <w:rsid w:val="000273EC"/>
    <w:rsid w:val="0005041C"/>
    <w:rsid w:val="002529D6"/>
    <w:rsid w:val="002913F1"/>
    <w:rsid w:val="005E1D43"/>
    <w:rsid w:val="006919B9"/>
    <w:rsid w:val="007A1BCA"/>
    <w:rsid w:val="0092431D"/>
    <w:rsid w:val="00B074AC"/>
    <w:rsid w:val="00B62D1B"/>
    <w:rsid w:val="00D956B1"/>
    <w:rsid w:val="5B7FF850"/>
    <w:rsid w:val="7AE760E9"/>
    <w:rsid w:val="7B6E9C9A"/>
    <w:rsid w:val="7D7F9948"/>
    <w:rsid w:val="7DFFC1E6"/>
    <w:rsid w:val="7EBBDFA5"/>
    <w:rsid w:val="E6DBA99E"/>
    <w:rsid w:val="FECEBC4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alloon Text"/>
    <w:basedOn w:val="1"/>
    <w:link w:val="18"/>
    <w:semiHidden/>
    <w:unhideWhenUsed/>
    <w:uiPriority w:val="99"/>
    <w:rPr>
      <w:sz w:val="18"/>
      <w:szCs w:val="18"/>
    </w:rPr>
  </w:style>
  <w:style w:type="paragraph" w:styleId="6">
    <w:name w:val="footer"/>
    <w:basedOn w:val="1"/>
    <w:link w:val="17"/>
    <w:unhideWhenUsed/>
    <w:uiPriority w:val="99"/>
    <w:pPr>
      <w:tabs>
        <w:tab w:val="center" w:pos="4153"/>
        <w:tab w:val="right" w:pos="8306"/>
      </w:tabs>
      <w:snapToGrid w:val="0"/>
      <w:jc w:val="left"/>
    </w:pPr>
    <w:rPr>
      <w:sz w:val="18"/>
      <w:szCs w:val="18"/>
    </w:rPr>
  </w:style>
  <w:style w:type="paragraph" w:styleId="7">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semiHidden/>
    <w:unhideWhenUsed/>
    <w:uiPriority w:val="99"/>
    <w:pPr>
      <w:snapToGrid w:val="0"/>
      <w:jc w:val="left"/>
    </w:pPr>
    <w:rPr>
      <w:sz w:val="18"/>
    </w:rPr>
  </w:style>
  <w:style w:type="paragraph" w:styleId="9">
    <w:name w:val="Normal (Web)"/>
    <w:basedOn w:val="1"/>
    <w:semiHidden/>
    <w:unhideWhenUsed/>
    <w:uiPriority w:val="99"/>
    <w:rPr>
      <w:sz w:val="24"/>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Hyperlink"/>
    <w:basedOn w:val="12"/>
    <w:semiHidden/>
    <w:unhideWhenUsed/>
    <w:uiPriority w:val="99"/>
    <w:rPr>
      <w:color w:val="0000FF"/>
      <w:u w:val="single"/>
    </w:rPr>
  </w:style>
  <w:style w:type="character" w:styleId="14">
    <w:name w:val="footnote reference"/>
    <w:basedOn w:val="12"/>
    <w:semiHidden/>
    <w:unhideWhenUsed/>
    <w:uiPriority w:val="99"/>
    <w:rPr>
      <w:vertAlign w:val="superscript"/>
    </w:rPr>
  </w:style>
  <w:style w:type="paragraph" w:styleId="15">
    <w:name w:val="List Paragraph"/>
    <w:basedOn w:val="1"/>
    <w:qFormat/>
    <w:uiPriority w:val="34"/>
    <w:pPr>
      <w:ind w:firstLine="420" w:firstLineChars="200"/>
    </w:pPr>
  </w:style>
  <w:style w:type="character" w:customStyle="1" w:styleId="16">
    <w:name w:val="页眉字符"/>
    <w:basedOn w:val="12"/>
    <w:link w:val="7"/>
    <w:uiPriority w:val="99"/>
    <w:rPr>
      <w:sz w:val="18"/>
      <w:szCs w:val="18"/>
    </w:rPr>
  </w:style>
  <w:style w:type="character" w:customStyle="1" w:styleId="17">
    <w:name w:val="页脚字符"/>
    <w:basedOn w:val="12"/>
    <w:link w:val="6"/>
    <w:uiPriority w:val="99"/>
    <w:rPr>
      <w:sz w:val="18"/>
      <w:szCs w:val="18"/>
    </w:rPr>
  </w:style>
  <w:style w:type="character" w:customStyle="1" w:styleId="18">
    <w:name w:val="批注框文本字符"/>
    <w:basedOn w:val="12"/>
    <w:link w:val="5"/>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197</Words>
  <Characters>237</Characters>
  <Lines>13</Lines>
  <Paragraphs>12</Paragraphs>
  <TotalTime>67</TotalTime>
  <ScaleCrop>false</ScaleCrop>
  <LinksUpToDate>false</LinksUpToDate>
  <CharactersWithSpaces>422</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2019-06-10T05:06:00Z</dcterms:created>
  <dc:creator>Chen Kaila</dc:creator>
  <cp:lastModifiedBy>戚薇 Qi, Wei</cp:lastModifiedBy>
  <dcterms:modified xsi:type="dcterms:W3CDTF">2026-08-28T18:42:48Z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2C85EC602108D17CEDFA9865676AF1A1_42</vt:lpwstr>
  </property>
</Properties>
</file>