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F878E">
      <w:pPr>
        <w:jc w:val="center"/>
        <w:rPr>
          <w:rFonts w:ascii="华文中宋" w:hAnsi="华文中宋" w:eastAsia="华文中宋" w:cs="Times New Roman"/>
          <w:sz w:val="24"/>
          <w:szCs w:val="24"/>
        </w:rPr>
      </w:pPr>
      <w:r>
        <w:rPr>
          <w:rFonts w:ascii="华文中宋" w:hAnsi="华文中宋" w:eastAsia="华文中宋" w:cs="Times New Roman"/>
          <w:sz w:val="24"/>
          <w:szCs w:val="24"/>
        </w:rPr>
        <w:t>法律检索报告</w:t>
      </w:r>
    </w:p>
    <w:p w14:paraId="31DE5211">
      <w:pPr>
        <w:rPr>
          <w:rFonts w:ascii="Times New Roman" w:hAnsi="Times New Roman" w:eastAsia="宋体" w:cs="Times New Roman"/>
          <w:sz w:val="24"/>
          <w:szCs w:val="24"/>
        </w:rPr>
      </w:pPr>
    </w:p>
    <w:p w14:paraId="5D7E2797">
      <w:pPr>
        <w:rPr>
          <w:rFonts w:ascii="Times New Roman" w:hAnsi="Times New Roman" w:eastAsia="宋体" w:cs="Times New Roman"/>
          <w:sz w:val="24"/>
          <w:szCs w:val="24"/>
        </w:rPr>
      </w:pPr>
      <w:r>
        <w:rPr>
          <w:rFonts w:hint="eastAsia" w:ascii="Times New Roman" w:hAnsi="Times New Roman" w:eastAsia="宋体" w:cs="Times New Roman"/>
          <w:sz w:val="24"/>
          <w:szCs w:val="24"/>
        </w:rPr>
        <w:t>检索日期：202</w:t>
      </w:r>
      <w:r>
        <w:rPr>
          <w:rFonts w:hint="eastAsia" w:ascii="Times New Roman" w:hAnsi="Times New Roman" w:eastAsia="宋体" w:cs="Times New Roman"/>
          <w:sz w:val="24"/>
          <w:szCs w:val="24"/>
          <w:lang w:val="en-US" w:eastAsia="zh-CN"/>
        </w:rPr>
        <w:t>6</w:t>
      </w:r>
      <w:r>
        <w:rPr>
          <w:rFonts w:hint="eastAsia" w:ascii="Times New Roman" w:hAnsi="Times New Roman" w:eastAsia="宋体" w:cs="Times New Roman"/>
          <w:sz w:val="24"/>
          <w:szCs w:val="24"/>
        </w:rPr>
        <w:t>年</w:t>
      </w:r>
      <w:r>
        <w:rPr>
          <w:rFonts w:hint="eastAsia" w:ascii="Times New Roman" w:hAnsi="Times New Roman" w:eastAsia="宋体" w:cs="Times New Roman"/>
          <w:sz w:val="24"/>
          <w:szCs w:val="24"/>
          <w:lang w:val="en-US" w:eastAsia="zh-CN"/>
        </w:rPr>
        <w:t>8</w:t>
      </w:r>
      <w:r>
        <w:rPr>
          <w:rFonts w:hint="eastAsia" w:ascii="Times New Roman" w:hAnsi="Times New Roman" w:eastAsia="宋体" w:cs="Times New Roman"/>
          <w:sz w:val="24"/>
          <w:szCs w:val="24"/>
        </w:rPr>
        <w:t>月</w:t>
      </w:r>
      <w:r>
        <w:rPr>
          <w:rFonts w:hint="eastAsia" w:ascii="Times New Roman" w:hAnsi="Times New Roman" w:eastAsia="宋体" w:cs="Times New Roman"/>
          <w:sz w:val="24"/>
          <w:szCs w:val="24"/>
          <w:lang w:val="en-US" w:eastAsia="zh-CN"/>
        </w:rPr>
        <w:t>17</w:t>
      </w:r>
      <w:r>
        <w:rPr>
          <w:rFonts w:hint="eastAsia" w:ascii="Times New Roman" w:hAnsi="Times New Roman" w:eastAsia="宋体" w:cs="Times New Roman"/>
          <w:sz w:val="24"/>
          <w:szCs w:val="24"/>
        </w:rPr>
        <w:t>日</w:t>
      </w:r>
    </w:p>
    <w:p w14:paraId="32BE7B62">
      <w:pPr>
        <w:rPr>
          <w:rFonts w:ascii="Times New Roman" w:hAnsi="Times New Roman" w:eastAsia="宋体" w:cs="Times New Roman"/>
          <w:sz w:val="24"/>
          <w:szCs w:val="24"/>
        </w:rPr>
      </w:pPr>
      <w:r>
        <w:rPr>
          <w:rFonts w:hint="eastAsia" w:ascii="Times New Roman" w:hAnsi="Times New Roman" w:eastAsia="宋体" w:cs="Times New Roman"/>
          <w:sz w:val="24"/>
          <w:szCs w:val="24"/>
        </w:rPr>
        <w:t>检索人：戚薇</w:t>
      </w:r>
    </w:p>
    <w:p w14:paraId="4C4DB0DC">
      <w:pPr>
        <w:rPr>
          <w:rFonts w:ascii="Times New Roman" w:hAnsi="Times New Roman" w:eastAsia="宋体" w:cs="Times New Roman"/>
          <w:sz w:val="24"/>
          <w:szCs w:val="24"/>
        </w:rPr>
      </w:pPr>
    </w:p>
    <w:p w14:paraId="35EA8D72">
      <w:pPr>
        <w:rPr>
          <w:rFonts w:ascii="Times New Roman" w:hAnsi="Times New Roman" w:eastAsia="宋体" w:cs="Times New Roman"/>
          <w:b/>
          <w:bCs/>
          <w:sz w:val="24"/>
          <w:szCs w:val="24"/>
        </w:rPr>
      </w:pPr>
      <w:r>
        <w:rPr>
          <w:rFonts w:ascii="Times New Roman" w:hAnsi="Times New Roman" w:eastAsia="宋体" w:cs="Times New Roman"/>
          <w:b/>
          <w:bCs/>
          <w:sz w:val="24"/>
          <w:szCs w:val="24"/>
        </w:rPr>
        <w:t>第一部分 检索问题</w:t>
      </w:r>
    </w:p>
    <w:p w14:paraId="0158E498">
      <w:pPr>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埃及电商投资贸易相关规定</w:t>
      </w:r>
    </w:p>
    <w:p w14:paraId="55B4D352">
      <w:pPr>
        <w:rPr>
          <w:rFonts w:ascii="Times New Roman" w:hAnsi="Times New Roman" w:eastAsia="宋体" w:cs="Times New Roman"/>
          <w:sz w:val="24"/>
          <w:szCs w:val="24"/>
        </w:rPr>
      </w:pPr>
    </w:p>
    <w:p w14:paraId="7F692B5D">
      <w:pPr>
        <w:rPr>
          <w:rFonts w:ascii="Times New Roman" w:hAnsi="Times New Roman" w:eastAsia="宋体" w:cs="Times New Roman"/>
          <w:b/>
          <w:bCs/>
          <w:sz w:val="24"/>
          <w:szCs w:val="24"/>
        </w:rPr>
      </w:pPr>
      <w:r>
        <w:rPr>
          <w:rFonts w:ascii="Times New Roman" w:hAnsi="Times New Roman" w:eastAsia="宋体" w:cs="Times New Roman"/>
          <w:b/>
          <w:bCs/>
          <w:sz w:val="24"/>
          <w:szCs w:val="24"/>
        </w:rPr>
        <w:t>第二部分 检索内容</w:t>
      </w:r>
    </w:p>
    <w:p w14:paraId="38471697">
      <w:pPr>
        <w:rPr>
          <w:rFonts w:ascii="Times New Roman" w:hAnsi="Times New Roman" w:eastAsia="宋体" w:cs="Times New Roman"/>
          <w:sz w:val="24"/>
          <w:szCs w:val="24"/>
        </w:rPr>
      </w:pPr>
    </w:p>
    <w:p w14:paraId="6B1F0F82">
      <w:pPr>
        <w:pStyle w:val="16"/>
        <w:numPr>
          <w:ilvl w:val="0"/>
          <w:numId w:val="1"/>
        </w:numPr>
        <w:ind w:firstLineChars="0"/>
        <w:rPr>
          <w:rFonts w:ascii="Times New Roman" w:hAnsi="Times New Roman" w:eastAsia="宋体" w:cs="Times New Roman"/>
          <w:b/>
          <w:bCs/>
          <w:sz w:val="24"/>
          <w:szCs w:val="24"/>
        </w:rPr>
      </w:pPr>
      <w:r>
        <w:rPr>
          <w:rFonts w:ascii="Times New Roman" w:hAnsi="Times New Roman" w:eastAsia="宋体" w:cs="Times New Roman"/>
          <w:b/>
          <w:bCs/>
          <w:sz w:val="24"/>
          <w:szCs w:val="24"/>
        </w:rPr>
        <w:t>法律规定</w:t>
      </w:r>
    </w:p>
    <w:p w14:paraId="18FCE3A4">
      <w:pPr>
        <w:pStyle w:val="16"/>
        <w:ind w:left="420" w:firstLine="0" w:firstLineChars="0"/>
        <w:rPr>
          <w:rFonts w:ascii="Times New Roman" w:hAnsi="Times New Roman" w:eastAsia="宋体" w:cs="Times New Roman"/>
          <w:sz w:val="24"/>
          <w:szCs w:val="24"/>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6600"/>
      </w:tblGrid>
      <w:tr w14:paraId="7D13AA86">
        <w:tc>
          <w:tcPr>
            <w:tcW w:w="1696" w:type="dxa"/>
          </w:tcPr>
          <w:p w14:paraId="68A499A4">
            <w:pPr>
              <w:rPr>
                <w:rFonts w:ascii="Times New Roman" w:hAnsi="Times New Roman" w:eastAsia="宋体" w:cs="Times New Roman"/>
                <w:sz w:val="24"/>
                <w:szCs w:val="24"/>
              </w:rPr>
            </w:pPr>
            <w:r>
              <w:rPr>
                <w:rFonts w:ascii="Times New Roman" w:hAnsi="Times New Roman" w:eastAsia="宋体" w:cs="Times New Roman"/>
                <w:sz w:val="24"/>
                <w:szCs w:val="24"/>
              </w:rPr>
              <w:t>法律规定1</w:t>
            </w:r>
          </w:p>
        </w:tc>
        <w:tc>
          <w:tcPr>
            <w:tcW w:w="6600" w:type="dxa"/>
          </w:tcPr>
          <w:p w14:paraId="22BC5036">
            <w:pPr>
              <w:rPr>
                <w:rFonts w:ascii="Times New Roman" w:hAnsi="Times New Roman" w:eastAsia="宋体" w:cs="Times New Roman"/>
                <w:sz w:val="24"/>
                <w:szCs w:val="24"/>
              </w:rPr>
            </w:pPr>
            <w:r>
              <w:rPr>
                <w:rFonts w:ascii="Times New Roman" w:hAnsi="Times New Roman" w:eastAsia="宋体" w:cs="Times New Roman"/>
                <w:sz w:val="24"/>
                <w:szCs w:val="24"/>
              </w:rPr>
              <w:t>法律法规名称</w:t>
            </w:r>
          </w:p>
        </w:tc>
      </w:tr>
      <w:tr w14:paraId="284D7A7B">
        <w:tc>
          <w:tcPr>
            <w:tcW w:w="1696" w:type="dxa"/>
          </w:tcPr>
          <w:p w14:paraId="4E49B70A">
            <w:pPr>
              <w:rPr>
                <w:rFonts w:ascii="Times New Roman" w:hAnsi="Times New Roman" w:eastAsia="宋体" w:cs="Times New Roman"/>
                <w:sz w:val="24"/>
                <w:szCs w:val="24"/>
              </w:rPr>
            </w:pPr>
            <w:r>
              <w:rPr>
                <w:rFonts w:ascii="Times New Roman" w:hAnsi="Times New Roman" w:eastAsia="宋体" w:cs="Times New Roman"/>
                <w:sz w:val="24"/>
                <w:szCs w:val="24"/>
              </w:rPr>
              <w:t>条文规定</w:t>
            </w:r>
          </w:p>
        </w:tc>
        <w:tc>
          <w:tcPr>
            <w:tcW w:w="6600" w:type="dxa"/>
          </w:tcPr>
          <w:p w14:paraId="6A7CDDD1">
            <w:pPr>
              <w:rPr>
                <w:rFonts w:ascii="Times New Roman" w:hAnsi="Times New Roman" w:eastAsia="宋体" w:cs="Times New Roman"/>
                <w:sz w:val="24"/>
                <w:szCs w:val="24"/>
              </w:rPr>
            </w:pPr>
          </w:p>
        </w:tc>
      </w:tr>
      <w:tr w14:paraId="5E99243A">
        <w:tc>
          <w:tcPr>
            <w:tcW w:w="1696" w:type="dxa"/>
          </w:tcPr>
          <w:p w14:paraId="5C6A6AB6">
            <w:pPr>
              <w:rPr>
                <w:rFonts w:ascii="Times New Roman" w:hAnsi="Times New Roman" w:eastAsia="宋体" w:cs="Times New Roman"/>
                <w:sz w:val="24"/>
                <w:szCs w:val="24"/>
              </w:rPr>
            </w:pPr>
          </w:p>
        </w:tc>
        <w:tc>
          <w:tcPr>
            <w:tcW w:w="6600" w:type="dxa"/>
          </w:tcPr>
          <w:p w14:paraId="769445B1">
            <w:pPr>
              <w:rPr>
                <w:rFonts w:ascii="Times New Roman" w:hAnsi="Times New Roman" w:eastAsia="宋体" w:cs="Times New Roman"/>
                <w:sz w:val="24"/>
                <w:szCs w:val="24"/>
              </w:rPr>
            </w:pPr>
          </w:p>
        </w:tc>
      </w:tr>
      <w:tr w14:paraId="534964D1">
        <w:tc>
          <w:tcPr>
            <w:tcW w:w="1696" w:type="dxa"/>
          </w:tcPr>
          <w:p w14:paraId="7219E5D7">
            <w:pPr>
              <w:rPr>
                <w:rFonts w:ascii="Times New Roman" w:hAnsi="Times New Roman" w:eastAsia="宋体" w:cs="Times New Roman"/>
                <w:sz w:val="24"/>
                <w:szCs w:val="24"/>
              </w:rPr>
            </w:pPr>
            <w:r>
              <w:rPr>
                <w:rFonts w:ascii="Times New Roman" w:hAnsi="Times New Roman" w:eastAsia="宋体" w:cs="Times New Roman"/>
                <w:sz w:val="24"/>
                <w:szCs w:val="24"/>
              </w:rPr>
              <w:t>法律规定2</w:t>
            </w:r>
          </w:p>
        </w:tc>
        <w:tc>
          <w:tcPr>
            <w:tcW w:w="6600" w:type="dxa"/>
          </w:tcPr>
          <w:p w14:paraId="249ACDDE">
            <w:pPr>
              <w:rPr>
                <w:rFonts w:ascii="Times New Roman" w:hAnsi="Times New Roman" w:eastAsia="宋体" w:cs="Times New Roman"/>
                <w:sz w:val="24"/>
                <w:szCs w:val="24"/>
              </w:rPr>
            </w:pPr>
            <w:r>
              <w:rPr>
                <w:rFonts w:ascii="Times New Roman" w:hAnsi="Times New Roman" w:eastAsia="宋体" w:cs="Times New Roman"/>
                <w:sz w:val="24"/>
                <w:szCs w:val="24"/>
              </w:rPr>
              <w:t>法律法规名称</w:t>
            </w:r>
          </w:p>
        </w:tc>
      </w:tr>
      <w:tr w14:paraId="613E34A6">
        <w:tc>
          <w:tcPr>
            <w:tcW w:w="1696" w:type="dxa"/>
          </w:tcPr>
          <w:p w14:paraId="45D15038">
            <w:pPr>
              <w:rPr>
                <w:rFonts w:ascii="Times New Roman" w:hAnsi="Times New Roman" w:eastAsia="宋体" w:cs="Times New Roman"/>
                <w:sz w:val="24"/>
                <w:szCs w:val="24"/>
              </w:rPr>
            </w:pPr>
            <w:r>
              <w:rPr>
                <w:rFonts w:ascii="Times New Roman" w:hAnsi="Times New Roman" w:eastAsia="宋体" w:cs="Times New Roman"/>
                <w:sz w:val="24"/>
                <w:szCs w:val="24"/>
              </w:rPr>
              <w:t>条文规定</w:t>
            </w:r>
          </w:p>
        </w:tc>
        <w:tc>
          <w:tcPr>
            <w:tcW w:w="6600" w:type="dxa"/>
          </w:tcPr>
          <w:p w14:paraId="511F4132">
            <w:pPr>
              <w:rPr>
                <w:rFonts w:ascii="Times New Roman" w:hAnsi="Times New Roman" w:eastAsia="宋体" w:cs="Times New Roman"/>
                <w:sz w:val="24"/>
                <w:szCs w:val="24"/>
              </w:rPr>
            </w:pPr>
          </w:p>
        </w:tc>
      </w:tr>
      <w:tr w14:paraId="3AEA89A0">
        <w:tc>
          <w:tcPr>
            <w:tcW w:w="1696" w:type="dxa"/>
          </w:tcPr>
          <w:p w14:paraId="0E328B0E">
            <w:pPr>
              <w:rPr>
                <w:rFonts w:ascii="Times New Roman" w:hAnsi="Times New Roman" w:eastAsia="宋体" w:cs="Times New Roman"/>
                <w:sz w:val="24"/>
                <w:szCs w:val="24"/>
              </w:rPr>
            </w:pPr>
          </w:p>
        </w:tc>
        <w:tc>
          <w:tcPr>
            <w:tcW w:w="6600" w:type="dxa"/>
          </w:tcPr>
          <w:p w14:paraId="7A97EA34">
            <w:pPr>
              <w:rPr>
                <w:rFonts w:ascii="Times New Roman" w:hAnsi="Times New Roman" w:eastAsia="宋体" w:cs="Times New Roman"/>
                <w:sz w:val="24"/>
                <w:szCs w:val="24"/>
              </w:rPr>
            </w:pPr>
          </w:p>
        </w:tc>
      </w:tr>
      <w:tr w14:paraId="7625F1E7">
        <w:tc>
          <w:tcPr>
            <w:tcW w:w="1696" w:type="dxa"/>
          </w:tcPr>
          <w:p w14:paraId="10CFBC7C">
            <w:pPr>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法律规定</w:t>
            </w:r>
            <w:r>
              <w:rPr>
                <w:rFonts w:hint="eastAsia" w:ascii="Times New Roman" w:hAnsi="Times New Roman" w:eastAsia="宋体" w:cs="Times New Roman"/>
                <w:sz w:val="24"/>
                <w:szCs w:val="24"/>
                <w:lang w:val="en-US" w:eastAsia="zh-CN"/>
              </w:rPr>
              <w:t>3</w:t>
            </w:r>
          </w:p>
        </w:tc>
        <w:tc>
          <w:tcPr>
            <w:tcW w:w="6600" w:type="dxa"/>
          </w:tcPr>
          <w:p w14:paraId="68AC157B">
            <w:pPr>
              <w:rPr>
                <w:rFonts w:ascii="Times New Roman" w:hAnsi="Times New Roman" w:eastAsia="宋体" w:cs="Times New Roman"/>
                <w:sz w:val="24"/>
                <w:szCs w:val="24"/>
              </w:rPr>
            </w:pPr>
            <w:r>
              <w:rPr>
                <w:rFonts w:ascii="Times New Roman" w:hAnsi="Times New Roman" w:eastAsia="宋体" w:cs="Times New Roman"/>
                <w:sz w:val="24"/>
                <w:szCs w:val="24"/>
              </w:rPr>
              <w:t>法律法规名称</w:t>
            </w:r>
          </w:p>
        </w:tc>
      </w:tr>
      <w:tr w14:paraId="1CA721F7">
        <w:tc>
          <w:tcPr>
            <w:tcW w:w="1696" w:type="dxa"/>
          </w:tcPr>
          <w:p w14:paraId="02B33BBC">
            <w:pPr>
              <w:rPr>
                <w:rFonts w:ascii="Times New Roman" w:hAnsi="Times New Roman" w:eastAsia="宋体" w:cs="Times New Roman"/>
                <w:sz w:val="24"/>
                <w:szCs w:val="24"/>
              </w:rPr>
            </w:pPr>
            <w:r>
              <w:rPr>
                <w:rFonts w:ascii="Times New Roman" w:hAnsi="Times New Roman" w:eastAsia="宋体" w:cs="Times New Roman"/>
                <w:sz w:val="24"/>
                <w:szCs w:val="24"/>
              </w:rPr>
              <w:t>条文规定</w:t>
            </w:r>
          </w:p>
        </w:tc>
        <w:tc>
          <w:tcPr>
            <w:tcW w:w="6600" w:type="dxa"/>
          </w:tcPr>
          <w:p w14:paraId="2FD6F63B">
            <w:pPr>
              <w:rPr>
                <w:rFonts w:ascii="Times New Roman" w:hAnsi="Times New Roman" w:eastAsia="宋体" w:cs="Times New Roman"/>
                <w:sz w:val="24"/>
                <w:szCs w:val="24"/>
              </w:rPr>
            </w:pPr>
          </w:p>
        </w:tc>
      </w:tr>
      <w:tr w14:paraId="0973851E">
        <w:tc>
          <w:tcPr>
            <w:tcW w:w="1696" w:type="dxa"/>
          </w:tcPr>
          <w:p w14:paraId="6B2ABFF8">
            <w:pPr>
              <w:rPr>
                <w:rFonts w:ascii="Times New Roman" w:hAnsi="Times New Roman" w:eastAsia="宋体" w:cs="Times New Roman"/>
                <w:sz w:val="24"/>
                <w:szCs w:val="24"/>
              </w:rPr>
            </w:pPr>
          </w:p>
          <w:p w14:paraId="36AA4D62">
            <w:pPr>
              <w:rPr>
                <w:rFonts w:ascii="Times New Roman" w:hAnsi="Times New Roman" w:eastAsia="宋体" w:cs="Times New Roman"/>
                <w:sz w:val="24"/>
                <w:szCs w:val="24"/>
              </w:rPr>
            </w:pPr>
            <w:r>
              <w:rPr>
                <w:rFonts w:hint="eastAsia" w:ascii="Times New Roman" w:hAnsi="Times New Roman" w:eastAsia="宋体" w:cs="Times New Roman"/>
                <w:sz w:val="24"/>
                <w:szCs w:val="24"/>
              </w:rPr>
              <w:t>（待补充）</w:t>
            </w:r>
          </w:p>
        </w:tc>
        <w:tc>
          <w:tcPr>
            <w:tcW w:w="6600" w:type="dxa"/>
          </w:tcPr>
          <w:p w14:paraId="696BC883">
            <w:pPr>
              <w:rPr>
                <w:rFonts w:ascii="Times New Roman" w:hAnsi="Times New Roman" w:eastAsia="宋体" w:cs="Times New Roman"/>
                <w:sz w:val="24"/>
                <w:szCs w:val="24"/>
              </w:rPr>
            </w:pPr>
          </w:p>
        </w:tc>
      </w:tr>
    </w:tbl>
    <w:p w14:paraId="6E92209E">
      <w:pPr>
        <w:rPr>
          <w:rFonts w:ascii="Times New Roman" w:hAnsi="Times New Roman" w:eastAsia="宋体" w:cs="Times New Roman"/>
          <w:sz w:val="24"/>
          <w:szCs w:val="24"/>
        </w:rPr>
      </w:pPr>
    </w:p>
    <w:p w14:paraId="4D209ABE">
      <w:pPr>
        <w:rPr>
          <w:rFonts w:ascii="Times New Roman" w:hAnsi="Times New Roman" w:eastAsia="宋体" w:cs="Times New Roman"/>
          <w:sz w:val="24"/>
          <w:szCs w:val="24"/>
        </w:rPr>
      </w:pPr>
    </w:p>
    <w:p w14:paraId="7F8FA02B">
      <w:pPr>
        <w:pStyle w:val="16"/>
        <w:numPr>
          <w:ilvl w:val="0"/>
          <w:numId w:val="1"/>
        </w:numPr>
        <w:ind w:firstLineChars="0"/>
        <w:rPr>
          <w:rFonts w:ascii="Times New Roman" w:hAnsi="Times New Roman" w:eastAsia="宋体" w:cs="Times New Roman"/>
          <w:b/>
          <w:bCs/>
          <w:sz w:val="24"/>
          <w:szCs w:val="24"/>
        </w:rPr>
      </w:pPr>
      <w:r>
        <w:rPr>
          <w:rFonts w:ascii="Times New Roman" w:hAnsi="Times New Roman" w:eastAsia="宋体" w:cs="Times New Roman"/>
          <w:b/>
          <w:bCs/>
          <w:sz w:val="24"/>
          <w:szCs w:val="24"/>
        </w:rPr>
        <w:t>专业文章</w:t>
      </w:r>
      <w:r>
        <w:rPr>
          <w:rFonts w:hint="eastAsia" w:ascii="Times New Roman" w:hAnsi="Times New Roman" w:eastAsia="宋体" w:cs="Times New Roman"/>
          <w:b/>
          <w:bCs/>
          <w:sz w:val="24"/>
          <w:szCs w:val="24"/>
        </w:rPr>
        <w:t>（包含支持的观点和不支持的观点）</w:t>
      </w:r>
    </w:p>
    <w:p w14:paraId="7FA42919">
      <w:pPr>
        <w:pStyle w:val="16"/>
        <w:ind w:left="420" w:firstLine="0" w:firstLineChars="0"/>
        <w:rPr>
          <w:rFonts w:ascii="Times New Roman" w:hAnsi="Times New Roman" w:eastAsia="宋体" w:cs="Times New Roman"/>
          <w:sz w:val="24"/>
          <w:szCs w:val="24"/>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20"/>
        <w:gridCol w:w="7202"/>
      </w:tblGrid>
      <w:tr w14:paraId="14328FB1">
        <w:tc>
          <w:tcPr>
            <w:tcW w:w="1696" w:type="dxa"/>
          </w:tcPr>
          <w:p w14:paraId="35A7CD29">
            <w:pPr>
              <w:rPr>
                <w:rFonts w:ascii="Times New Roman" w:hAnsi="Times New Roman" w:eastAsia="宋体" w:cs="Times New Roman"/>
                <w:sz w:val="24"/>
                <w:szCs w:val="24"/>
              </w:rPr>
            </w:pPr>
            <w:r>
              <w:rPr>
                <w:rFonts w:ascii="Times New Roman" w:hAnsi="Times New Roman" w:eastAsia="宋体" w:cs="Times New Roman"/>
                <w:sz w:val="24"/>
                <w:szCs w:val="24"/>
              </w:rPr>
              <w:t>文章1</w:t>
            </w:r>
          </w:p>
        </w:tc>
        <w:tc>
          <w:tcPr>
            <w:tcW w:w="6600" w:type="dxa"/>
          </w:tcPr>
          <w:p w14:paraId="12A3B8C5">
            <w:pP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Legal Considerations When Launching an E-Commerce Business in Egypt</w:t>
            </w:r>
            <w:r>
              <w:rPr>
                <w:rStyle w:val="15"/>
                <w:rFonts w:hint="eastAsia" w:ascii="Times New Roman" w:hAnsi="Times New Roman" w:eastAsia="宋体" w:cs="Times New Roman"/>
                <w:b/>
                <w:bCs/>
                <w:sz w:val="24"/>
                <w:szCs w:val="24"/>
              </w:rPr>
              <w:footnoteReference w:id="0"/>
            </w:r>
          </w:p>
          <w:p w14:paraId="333A60EF">
            <w:pPr>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AL MAJIDI LAW FIRM</w:t>
            </w:r>
          </w:p>
        </w:tc>
      </w:tr>
      <w:tr w14:paraId="63B849E4">
        <w:tc>
          <w:tcPr>
            <w:tcW w:w="1696" w:type="dxa"/>
          </w:tcPr>
          <w:p w14:paraId="52BE275D">
            <w:pPr>
              <w:rPr>
                <w:rFonts w:ascii="Times New Roman" w:hAnsi="Times New Roman" w:eastAsia="宋体" w:cs="Times New Roman"/>
                <w:sz w:val="24"/>
                <w:szCs w:val="24"/>
              </w:rPr>
            </w:pPr>
            <w:r>
              <w:rPr>
                <w:rFonts w:ascii="Times New Roman" w:hAnsi="Times New Roman" w:eastAsia="宋体" w:cs="Times New Roman"/>
                <w:sz w:val="24"/>
                <w:szCs w:val="24"/>
              </w:rPr>
              <w:t>主要观点</w:t>
            </w:r>
          </w:p>
        </w:tc>
        <w:tc>
          <w:tcPr>
            <w:tcW w:w="6600" w:type="dxa"/>
          </w:tcPr>
          <w:p w14:paraId="7AC30CFD">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Introduction</w:t>
            </w:r>
          </w:p>
          <w:p w14:paraId="6223FD87">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The rapid growth of the digital economy in Egypt has opened significant opportunities for entrepreneurs and investors to launch and expand e-commerce ventures. Whether you’re a startup founder, an established retailer moving online, or a foreign investor eyeing the Egyptian market, understanding the legal framework that governs e-commerce is critical to building a sustainable and compliant business.</w:t>
            </w:r>
          </w:p>
          <w:p w14:paraId="5E5A9E08">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Below, we outline the key legal considerations and regulatory steps for establishing a legally sound e-commerce business in Egypt.</w:t>
            </w:r>
          </w:p>
          <w:p w14:paraId="69E17AC6">
            <w:pPr>
              <w:rPr>
                <w:rFonts w:hint="eastAsia" w:ascii="Times New Roman" w:hAnsi="Times New Roman" w:eastAsia="宋体" w:cs="Times New Roman"/>
                <w:sz w:val="24"/>
                <w:szCs w:val="24"/>
              </w:rPr>
            </w:pPr>
          </w:p>
          <w:p w14:paraId="44503F94">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 Legal Structure and Company Formation</w:t>
            </w:r>
          </w:p>
          <w:p w14:paraId="3D289CCB">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The first step in launching an e-commerce business is choosing the appropriate legal structure. In Egypt, the most common forms are:</w:t>
            </w:r>
          </w:p>
          <w:p w14:paraId="6FD3419E">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Sole Proprietorship (مشروع فردي): Suitable for small-scale businesses, but with unlimited liability.</w:t>
            </w:r>
          </w:p>
          <w:p w14:paraId="6119A85C">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Limited Liability Company (LLC): The most widely used structure, offering limited liability and flexibility in management.</w:t>
            </w:r>
          </w:p>
          <w:p w14:paraId="21FC6603">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Joint Stock Company (JSC): Often used for larger ventures or when seeking investment.</w:t>
            </w:r>
          </w:p>
          <w:p w14:paraId="088AE2F0">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The company must be registered with the General Authority for Investment and Free Zones (GAFI), and the process involves:</w:t>
            </w:r>
          </w:p>
          <w:p w14:paraId="1D5A291A">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Reserving a trade name</w:t>
            </w:r>
          </w:p>
          <w:p w14:paraId="14B22B86">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Drafting and notarizing the Articles of Association</w:t>
            </w:r>
          </w:p>
          <w:p w14:paraId="5ED14731">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Opening a corporate bank account and depositing capital</w:t>
            </w:r>
          </w:p>
          <w:p w14:paraId="6E93F417">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Obtaining a commercial registration certificate and tax card</w:t>
            </w:r>
          </w:p>
          <w:p w14:paraId="13B1CB65">
            <w:pPr>
              <w:rPr>
                <w:rFonts w:hint="eastAsia" w:ascii="Times New Roman" w:hAnsi="Times New Roman" w:eastAsia="宋体" w:cs="Times New Roman"/>
                <w:sz w:val="24"/>
                <w:szCs w:val="24"/>
              </w:rPr>
            </w:pPr>
          </w:p>
          <w:p w14:paraId="43649F08">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 Business Licensing and E-Commerce Activity Registration</w:t>
            </w:r>
          </w:p>
          <w:p w14:paraId="34D158C3">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While there is no separate “e-commerce license” per se, companies engaged in online retail or service provision must include e-commerce or digital activities in their commercial registration.</w:t>
            </w:r>
          </w:p>
          <w:p w14:paraId="5C4B620F">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Additionally, for selling specific goods (e.g., cosmetics, electronics, food), you may need approvals or licenses from the relevant regulatory authorities (e.g., Ministry of Health, Consumer Protection Agency).</w:t>
            </w:r>
          </w:p>
          <w:p w14:paraId="27260B69">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If you’re handling products, a VAT registration becomes mandatory when annual turnover exceeds EGP 500,000.</w:t>
            </w:r>
          </w:p>
          <w:p w14:paraId="41AA6F6C">
            <w:pPr>
              <w:rPr>
                <w:rFonts w:hint="eastAsia" w:ascii="Times New Roman" w:hAnsi="Times New Roman" w:eastAsia="宋体" w:cs="Times New Roman"/>
                <w:sz w:val="24"/>
                <w:szCs w:val="24"/>
              </w:rPr>
            </w:pPr>
          </w:p>
          <w:p w14:paraId="21450807">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 Website Terms, Policies, and Compliance</w:t>
            </w:r>
          </w:p>
          <w:p w14:paraId="0A61FC57">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Your website is not just your storefront—it’s also a legal document. Egyptian law requires transparency and consumer protection. E-commerce businesses should implement:</w:t>
            </w:r>
          </w:p>
          <w:p w14:paraId="0FE1C99B">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Terms and Conditions outlining user rights and limitations</w:t>
            </w:r>
          </w:p>
          <w:p w14:paraId="4F14546E">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Privacy Policy compliant with Egypt’s Personal Data Protection Law No. 151 of 2020</w:t>
            </w:r>
          </w:p>
          <w:p w14:paraId="258F15D8">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Returns and Refund Policy that aligns with consumer protection standards</w:t>
            </w:r>
          </w:p>
          <w:p w14:paraId="0E2FA5C3">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Clear pricing and product information</w:t>
            </w:r>
          </w:p>
          <w:p w14:paraId="07E6FE64">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Failure to provide clear policies can expose your business to penalties and reputational harm.</w:t>
            </w:r>
          </w:p>
          <w:p w14:paraId="239F8E3D">
            <w:pPr>
              <w:rPr>
                <w:rFonts w:hint="eastAsia" w:ascii="Times New Roman" w:hAnsi="Times New Roman" w:eastAsia="宋体" w:cs="Times New Roman"/>
                <w:sz w:val="24"/>
                <w:szCs w:val="24"/>
              </w:rPr>
            </w:pPr>
          </w:p>
          <w:p w14:paraId="221C65B1">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 Taxation and Electronic Invoicing</w:t>
            </w:r>
          </w:p>
          <w:p w14:paraId="7FC95840">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E-commerce businesses in Egypt are subject to the same tax obligations as traditional businesses. This includes:</w:t>
            </w:r>
          </w:p>
          <w:p w14:paraId="5CE956DD">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Corporate income tax at 22.5% on net profits</w:t>
            </w:r>
          </w:p>
          <w:p w14:paraId="6C47531A">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Value-added tax (VAT) at 14% on taxable sales (where applicable)</w:t>
            </w:r>
          </w:p>
          <w:p w14:paraId="531A39B4">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Stamp duty on certain transactions and advertising expenses</w:t>
            </w:r>
          </w:p>
          <w:p w14:paraId="711B5EE9">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Moreover, Egypt has introduced a mandatory electronic invoicing system for registered businesses, including online sellers. Businesses must comply with the Tax Authority’s e-invoicing platform to ensure accurate record-keeping and reporting.</w:t>
            </w:r>
          </w:p>
          <w:p w14:paraId="45F313AF">
            <w:pPr>
              <w:rPr>
                <w:rFonts w:hint="eastAsia" w:ascii="Times New Roman" w:hAnsi="Times New Roman" w:eastAsia="宋体" w:cs="Times New Roman"/>
                <w:sz w:val="24"/>
                <w:szCs w:val="24"/>
              </w:rPr>
            </w:pPr>
          </w:p>
          <w:p w14:paraId="43FD9C8C">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 Digital Payments and Banking Regulations</w:t>
            </w:r>
          </w:p>
          <w:p w14:paraId="63BB6908">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To accept online payments, businesses must integrate with licensed payment gateways and comply with Central Bank of Egypt (CBE) regulations. Considerations include:</w:t>
            </w:r>
          </w:p>
          <w:p w14:paraId="5AD0FD2D">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Contracting with authorized payment processors</w:t>
            </w:r>
          </w:p>
          <w:p w14:paraId="7C6B9C18">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Ensuring PCI DSS compliance for handling payment data</w:t>
            </w:r>
          </w:p>
          <w:p w14:paraId="2A5519E0">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Offering secure and traceable payment methods to protect consumers and reduce fraud risk</w:t>
            </w:r>
          </w:p>
          <w:p w14:paraId="420950D3">
            <w:pPr>
              <w:rPr>
                <w:rFonts w:hint="eastAsia" w:ascii="Times New Roman" w:hAnsi="Times New Roman" w:eastAsia="宋体" w:cs="Times New Roman"/>
                <w:sz w:val="24"/>
                <w:szCs w:val="24"/>
              </w:rPr>
            </w:pPr>
          </w:p>
          <w:p w14:paraId="78C27162">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 Intellectual Property Protection</w:t>
            </w:r>
          </w:p>
          <w:p w14:paraId="4F12901B">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Your brand name, logo, domain, and product content are valuable digital assets. To protect them:</w:t>
            </w:r>
          </w:p>
          <w:p w14:paraId="1720F351">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Register trademarks with the Egyptian Trademark Office</w:t>
            </w:r>
          </w:p>
          <w:p w14:paraId="01A4B653">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Secure copyrights for original content, product descriptions, and media</w:t>
            </w:r>
          </w:p>
          <w:p w14:paraId="1342041E">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Consider using IP clauses in contracts with third-party developers or suppliers</w:t>
            </w:r>
          </w:p>
          <w:p w14:paraId="0FB76F29">
            <w:pPr>
              <w:rPr>
                <w:rFonts w:hint="eastAsia" w:ascii="Times New Roman" w:hAnsi="Times New Roman" w:eastAsia="宋体" w:cs="Times New Roman"/>
                <w:sz w:val="24"/>
                <w:szCs w:val="24"/>
              </w:rPr>
            </w:pPr>
          </w:p>
          <w:p w14:paraId="76E3080B">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 Consumer Protection and Dispute Resolution</w:t>
            </w:r>
          </w:p>
          <w:p w14:paraId="4DF27F05">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The Consumer Protection Law No. 181 of 2018 applies to e-commerce transactions. Key obligations include:</w:t>
            </w:r>
          </w:p>
          <w:p w14:paraId="0D03E073">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Transparent pricing and disclosure of terms</w:t>
            </w:r>
          </w:p>
          <w:p w14:paraId="68D7B825">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Offering a 14-day return policy for most products</w:t>
            </w:r>
          </w:p>
          <w:p w14:paraId="2B0CBB2D">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Providing clear contact information and customer service options</w:t>
            </w:r>
          </w:p>
          <w:p w14:paraId="70673EE7">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Businesses must also provide mechanisms for handling complaints and may be required to participate in dispute resolution through the Consumer Protection Agency if necessary.</w:t>
            </w:r>
          </w:p>
          <w:p w14:paraId="558EA42E">
            <w:pPr>
              <w:rPr>
                <w:rFonts w:hint="eastAsia" w:ascii="Times New Roman" w:hAnsi="Times New Roman" w:eastAsia="宋体" w:cs="Times New Roman"/>
                <w:sz w:val="24"/>
                <w:szCs w:val="24"/>
              </w:rPr>
            </w:pPr>
          </w:p>
          <w:p w14:paraId="4CC35EEC">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 Marketing and Advertising Regulations</w:t>
            </w:r>
          </w:p>
          <w:p w14:paraId="1FD397EB">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When advertising online (including via social media), ensure compliance with:</w:t>
            </w:r>
          </w:p>
          <w:p w14:paraId="56971369">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Advertising Law No. 66 of 1956 and recent amendments</w:t>
            </w:r>
          </w:p>
          <w:p w14:paraId="1B21B1EB">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Guidelines against misleading or deceptive promotions</w:t>
            </w:r>
          </w:p>
          <w:p w14:paraId="2303100A">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Obligations to disclose sponsored content or influencer partnerships</w:t>
            </w:r>
          </w:p>
          <w:p w14:paraId="6F7A1D35">
            <w:pPr>
              <w:rPr>
                <w:rFonts w:hint="eastAsia" w:ascii="Times New Roman" w:hAnsi="Times New Roman" w:eastAsia="宋体" w:cs="Times New Roman"/>
                <w:sz w:val="24"/>
                <w:szCs w:val="24"/>
              </w:rPr>
            </w:pPr>
          </w:p>
          <w:p w14:paraId="4E049F47">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Conclusion</w:t>
            </w:r>
          </w:p>
          <w:p w14:paraId="34D66B60">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Launching an e-commerce business in Egypt presents exciting opportunities but also legal responsibilities. From registration to compliance, data protection to consumer rights, each step must be taken with careful planning and legal oversight.</w:t>
            </w:r>
          </w:p>
          <w:p w14:paraId="6A69BFC3">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Engaging legal counsel early in the process not only ensures compliance but also lays the foundation for long-term success in a competitive digital market.</w:t>
            </w:r>
          </w:p>
        </w:tc>
      </w:tr>
      <w:tr w14:paraId="7580023A">
        <w:tc>
          <w:tcPr>
            <w:tcW w:w="1696" w:type="dxa"/>
          </w:tcPr>
          <w:p w14:paraId="067DFBFA">
            <w:pPr>
              <w:rPr>
                <w:rFonts w:ascii="Times New Roman" w:hAnsi="Times New Roman" w:eastAsia="宋体" w:cs="Times New Roman"/>
                <w:sz w:val="24"/>
                <w:szCs w:val="24"/>
              </w:rPr>
            </w:pPr>
          </w:p>
        </w:tc>
        <w:tc>
          <w:tcPr>
            <w:tcW w:w="6600" w:type="dxa"/>
          </w:tcPr>
          <w:p w14:paraId="714FACE0">
            <w:pPr>
              <w:rPr>
                <w:rFonts w:ascii="Times New Roman" w:hAnsi="Times New Roman" w:eastAsia="宋体" w:cs="Times New Roman"/>
                <w:sz w:val="24"/>
                <w:szCs w:val="24"/>
              </w:rPr>
            </w:pPr>
          </w:p>
        </w:tc>
      </w:tr>
      <w:tr w14:paraId="627A0D8E">
        <w:tc>
          <w:tcPr>
            <w:tcW w:w="1696" w:type="dxa"/>
          </w:tcPr>
          <w:p w14:paraId="2ED33177">
            <w:pPr>
              <w:rPr>
                <w:rFonts w:ascii="Times New Roman" w:hAnsi="Times New Roman" w:eastAsia="宋体" w:cs="Times New Roman"/>
                <w:sz w:val="24"/>
                <w:szCs w:val="24"/>
              </w:rPr>
            </w:pPr>
            <w:r>
              <w:rPr>
                <w:rFonts w:ascii="Times New Roman" w:hAnsi="Times New Roman" w:eastAsia="宋体" w:cs="Times New Roman"/>
                <w:sz w:val="24"/>
                <w:szCs w:val="24"/>
              </w:rPr>
              <w:t>文章</w:t>
            </w:r>
            <w:r>
              <w:rPr>
                <w:rFonts w:hint="eastAsia" w:ascii="Times New Roman" w:hAnsi="Times New Roman" w:eastAsia="宋体" w:cs="Times New Roman"/>
                <w:sz w:val="24"/>
                <w:szCs w:val="24"/>
              </w:rPr>
              <w:t>2</w:t>
            </w:r>
          </w:p>
        </w:tc>
        <w:tc>
          <w:tcPr>
            <w:tcW w:w="6600" w:type="dxa"/>
          </w:tcPr>
          <w:p w14:paraId="663FC86A">
            <w:pPr>
              <w:rPr>
                <w:rFonts w:ascii="Times New Roman" w:hAnsi="Times New Roman" w:eastAsia="宋体" w:cs="Times New Roman"/>
                <w:sz w:val="24"/>
                <w:szCs w:val="24"/>
              </w:rPr>
            </w:pPr>
            <w:r>
              <w:rPr>
                <w:rFonts w:hint="default" w:ascii="Times New Roman Bold" w:hAnsi="Times New Roman Bold" w:eastAsia="宋体" w:cs="Times New Roman Bold"/>
                <w:b/>
                <w:bCs/>
                <w:sz w:val="24"/>
                <w:szCs w:val="24"/>
              </w:rPr>
              <w:t>Who can sell on noon?</w:t>
            </w:r>
            <w:r>
              <w:rPr>
                <w:rStyle w:val="15"/>
                <w:rFonts w:hint="default" w:ascii="Times New Roman Bold" w:hAnsi="Times New Roman Bold" w:eastAsia="宋体" w:cs="Times New Roman Bold"/>
                <w:b/>
                <w:bCs/>
                <w:sz w:val="24"/>
                <w:szCs w:val="24"/>
              </w:rPr>
              <w:footnoteReference w:id="1"/>
            </w:r>
          </w:p>
        </w:tc>
      </w:tr>
      <w:tr w14:paraId="7ECE8737">
        <w:tc>
          <w:tcPr>
            <w:tcW w:w="1696" w:type="dxa"/>
          </w:tcPr>
          <w:p w14:paraId="3D70CEFA">
            <w:pPr>
              <w:rPr>
                <w:rFonts w:ascii="Times New Roman" w:hAnsi="Times New Roman" w:eastAsia="宋体" w:cs="Times New Roman"/>
                <w:sz w:val="24"/>
                <w:szCs w:val="24"/>
              </w:rPr>
            </w:pPr>
            <w:r>
              <w:rPr>
                <w:rFonts w:ascii="Times New Roman" w:hAnsi="Times New Roman" w:eastAsia="宋体" w:cs="Times New Roman"/>
                <w:sz w:val="24"/>
                <w:szCs w:val="24"/>
              </w:rPr>
              <w:t>主要观点</w:t>
            </w:r>
          </w:p>
        </w:tc>
        <w:tc>
          <w:tcPr>
            <w:tcW w:w="6600" w:type="dxa"/>
          </w:tcPr>
          <w:p w14:paraId="443DD643">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noon is open to businesses and individuals across the UAE, KSA, and Egypt. Before you begin registration, use this guide to confirm you're eligible and understand what category you fall under.</w:t>
            </w:r>
          </w:p>
          <w:p w14:paraId="26CFB93E">
            <w:pPr>
              <w:rPr>
                <w:rFonts w:hint="eastAsia" w:ascii="Times New Roman" w:hAnsi="Times New Roman" w:eastAsia="宋体" w:cs="Times New Roman"/>
                <w:sz w:val="24"/>
                <w:szCs w:val="24"/>
              </w:rPr>
            </w:pPr>
          </w:p>
          <w:p w14:paraId="0AF3555F">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Categories of Sellers</w:t>
            </w:r>
          </w:p>
          <w:p w14:paraId="2F593B36">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You can register as a seller on noon under one of three categories:</w:t>
            </w:r>
          </w:p>
          <w:p w14:paraId="45765032">
            <w:pPr>
              <w:rPr>
                <w:rFonts w:hint="eastAsia" w:ascii="Times New Roman" w:hAnsi="Times New Roman" w:eastAsia="宋体" w:cs="Times New Roman"/>
                <w:sz w:val="24"/>
                <w:szCs w:val="24"/>
              </w:rPr>
            </w:pPr>
          </w:p>
          <w:p w14:paraId="46F2306E">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Local Seller — Your business is registered in the country where you want to sell (UAE, KSA, or Egypt).</w:t>
            </w:r>
          </w:p>
          <w:p w14:paraId="2010DAA1">
            <w:pPr>
              <w:rPr>
                <w:rFonts w:hint="eastAsia" w:ascii="Times New Roman" w:hAnsi="Times New Roman" w:eastAsia="宋体" w:cs="Times New Roman"/>
                <w:sz w:val="24"/>
                <w:szCs w:val="24"/>
              </w:rPr>
            </w:pPr>
          </w:p>
          <w:p w14:paraId="04630924">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International Seller — Your business is registered outside the country where you want to sell.</w:t>
            </w:r>
          </w:p>
          <w:p w14:paraId="49827BD9">
            <w:pPr>
              <w:rPr>
                <w:rFonts w:hint="eastAsia" w:ascii="Times New Roman" w:hAnsi="Times New Roman" w:eastAsia="宋体" w:cs="Times New Roman"/>
                <w:sz w:val="24"/>
                <w:szCs w:val="24"/>
              </w:rPr>
            </w:pPr>
          </w:p>
          <w:p w14:paraId="0C9A68F2">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Individual Seller — Available in Egypt only, using your personal Data Certificate.</w:t>
            </w:r>
          </w:p>
          <w:p w14:paraId="7E829529">
            <w:pPr>
              <w:rPr>
                <w:rFonts w:hint="eastAsia" w:ascii="Times New Roman" w:hAnsi="Times New Roman" w:eastAsia="宋体" w:cs="Times New Roman"/>
                <w:sz w:val="24"/>
                <w:szCs w:val="24"/>
              </w:rPr>
            </w:pPr>
          </w:p>
          <w:p w14:paraId="7AC657CD">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Eligibility Checklist</w:t>
            </w:r>
          </w:p>
          <w:p w14:paraId="5077DC25">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Before you register, confirm that you meet the following requirements:</w:t>
            </w:r>
          </w:p>
          <w:p w14:paraId="3A00357F">
            <w:pPr>
              <w:rPr>
                <w:rFonts w:hint="eastAsia" w:ascii="Times New Roman" w:hAnsi="Times New Roman" w:eastAsia="宋体" w:cs="Times New Roman"/>
                <w:sz w:val="24"/>
                <w:szCs w:val="24"/>
              </w:rPr>
            </w:pPr>
          </w:p>
          <w:p w14:paraId="684F2B51">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 Legal Business Registration</w:t>
            </w:r>
          </w:p>
          <w:p w14:paraId="222255E4">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You must have a legally registered business in the country where you intend to sell.</w:t>
            </w:r>
          </w:p>
          <w:p w14:paraId="7F02FB42">
            <w:pPr>
              <w:rPr>
                <w:rFonts w:hint="eastAsia" w:ascii="Times New Roman" w:hAnsi="Times New Roman" w:eastAsia="宋体" w:cs="Times New Roman"/>
                <w:sz w:val="24"/>
                <w:szCs w:val="24"/>
              </w:rPr>
            </w:pPr>
          </w:p>
          <w:p w14:paraId="09E75F67">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Your Commercial Registration (CR) or Trade License must be valid.</w:t>
            </w:r>
          </w:p>
          <w:p w14:paraId="41E2F3F7">
            <w:pPr>
              <w:rPr>
                <w:rFonts w:hint="eastAsia" w:ascii="Times New Roman" w:hAnsi="Times New Roman" w:eastAsia="宋体" w:cs="Times New Roman"/>
                <w:sz w:val="24"/>
                <w:szCs w:val="24"/>
              </w:rPr>
            </w:pPr>
          </w:p>
          <w:p w14:paraId="60357EA0">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Your license must include at least one of the following activities: Sales, Trading, Manufacturing, or Distribution/Wholesale.</w:t>
            </w:r>
          </w:p>
          <w:p w14:paraId="4AEC6C34">
            <w:pPr>
              <w:rPr>
                <w:rFonts w:hint="eastAsia" w:ascii="Times New Roman" w:hAnsi="Times New Roman" w:eastAsia="宋体" w:cs="Times New Roman"/>
                <w:sz w:val="24"/>
                <w:szCs w:val="24"/>
              </w:rPr>
            </w:pPr>
          </w:p>
          <w:p w14:paraId="23770790">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Your document must have at least 30 days of remaining validity at the time of submission.</w:t>
            </w:r>
          </w:p>
          <w:p w14:paraId="4EA90829">
            <w:pPr>
              <w:rPr>
                <w:rFonts w:hint="eastAsia" w:ascii="Times New Roman" w:hAnsi="Times New Roman" w:eastAsia="宋体" w:cs="Times New Roman"/>
                <w:sz w:val="24"/>
                <w:szCs w:val="24"/>
              </w:rPr>
            </w:pPr>
          </w:p>
          <w:p w14:paraId="2814EFA3">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 Tax Compliance</w:t>
            </w:r>
          </w:p>
          <w:p w14:paraId="0A3418E5">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VAT-registered sellers: You'll need your Tax Registration Number (TRN), along with the issue and expiry dates of your VAT Certificate.</w:t>
            </w:r>
          </w:p>
          <w:p w14:paraId="57078B0B">
            <w:pPr>
              <w:rPr>
                <w:rFonts w:hint="eastAsia" w:ascii="Times New Roman" w:hAnsi="Times New Roman" w:eastAsia="宋体" w:cs="Times New Roman"/>
                <w:sz w:val="24"/>
                <w:szCs w:val="24"/>
              </w:rPr>
            </w:pPr>
          </w:p>
          <w:p w14:paraId="2BE58FC4">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Non-VAT sellers: You can proceed by selecting the “Non-VAT” option during registration. Note that Egyptian sellers must always provide their Tax Card information.</w:t>
            </w:r>
          </w:p>
          <w:p w14:paraId="241D6B18">
            <w:pPr>
              <w:rPr>
                <w:rFonts w:hint="eastAsia" w:ascii="Times New Roman" w:hAnsi="Times New Roman" w:eastAsia="宋体" w:cs="Times New Roman"/>
                <w:sz w:val="24"/>
                <w:szCs w:val="24"/>
              </w:rPr>
            </w:pPr>
          </w:p>
          <w:p w14:paraId="79025A4F">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International sellers: A VAT certificate issued by the authority in the country where you wish to sell is mandatory, regardless of your local turnover.</w:t>
            </w:r>
          </w:p>
          <w:p w14:paraId="4B46D40F">
            <w:pPr>
              <w:rPr>
                <w:rFonts w:hint="eastAsia" w:ascii="Times New Roman" w:hAnsi="Times New Roman" w:eastAsia="宋体" w:cs="Times New Roman"/>
                <w:sz w:val="24"/>
                <w:szCs w:val="24"/>
              </w:rPr>
            </w:pPr>
          </w:p>
          <w:p w14:paraId="2FD19424">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 Identity Verification</w:t>
            </w:r>
          </w:p>
          <w:p w14:paraId="3AF4CFDB">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 Business Representative must be assigned to manage your account.</w:t>
            </w:r>
          </w:p>
          <w:p w14:paraId="4066EDEB">
            <w:pPr>
              <w:rPr>
                <w:rFonts w:hint="eastAsia" w:ascii="Times New Roman" w:hAnsi="Times New Roman" w:eastAsia="宋体" w:cs="Times New Roman"/>
                <w:sz w:val="24"/>
                <w:szCs w:val="24"/>
              </w:rPr>
            </w:pPr>
          </w:p>
          <w:p w14:paraId="32E1874B">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Accepted ID documents: Passport, Saudi National ID, or Emirates ID.</w:t>
            </w:r>
          </w:p>
          <w:p w14:paraId="2DB306D7">
            <w:pPr>
              <w:rPr>
                <w:rFonts w:hint="eastAsia" w:ascii="Times New Roman" w:hAnsi="Times New Roman" w:eastAsia="宋体" w:cs="Times New Roman"/>
                <w:sz w:val="24"/>
                <w:szCs w:val="24"/>
              </w:rPr>
            </w:pPr>
          </w:p>
          <w:p w14:paraId="480F0A42">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If your representative is not the legal owner named on your Trade License, you must upload a Power of Attorney (POA) authorizing them to act on your behalf.</w:t>
            </w:r>
          </w:p>
          <w:p w14:paraId="54E700A9">
            <w:pPr>
              <w:rPr>
                <w:rFonts w:hint="eastAsia" w:ascii="Times New Roman" w:hAnsi="Times New Roman" w:eastAsia="宋体" w:cs="Times New Roman"/>
                <w:sz w:val="24"/>
                <w:szCs w:val="24"/>
              </w:rPr>
            </w:pPr>
          </w:p>
          <w:p w14:paraId="6916B367">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 Payment Setup</w:t>
            </w:r>
          </w:p>
          <w:p w14:paraId="43FED4F2">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You need a verified payment method to receive payouts from your sales.</w:t>
            </w:r>
          </w:p>
          <w:p w14:paraId="70475F93">
            <w:pPr>
              <w:rPr>
                <w:rFonts w:hint="eastAsia" w:ascii="Times New Roman" w:hAnsi="Times New Roman" w:eastAsia="宋体" w:cs="Times New Roman"/>
                <w:sz w:val="24"/>
                <w:szCs w:val="24"/>
              </w:rPr>
            </w:pPr>
          </w:p>
          <w:p w14:paraId="12FFC1E4">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Accepted documents: A cancelled cheque, bank statement, or bank letterhead.</w:t>
            </w:r>
          </w:p>
          <w:p w14:paraId="6C3A82F1">
            <w:pPr>
              <w:rPr>
                <w:rFonts w:hint="eastAsia" w:ascii="Times New Roman" w:hAnsi="Times New Roman" w:eastAsia="宋体" w:cs="Times New Roman"/>
                <w:sz w:val="24"/>
                <w:szCs w:val="24"/>
              </w:rPr>
            </w:pPr>
          </w:p>
          <w:p w14:paraId="51E4F973">
            <w:pPr>
              <w:rPr>
                <w:rFonts w:ascii="Times New Roman" w:hAnsi="Times New Roman" w:eastAsia="宋体" w:cs="Times New Roman"/>
                <w:sz w:val="24"/>
                <w:szCs w:val="24"/>
              </w:rPr>
            </w:pPr>
            <w:r>
              <w:rPr>
                <w:rFonts w:hint="eastAsia" w:ascii="Times New Roman" w:hAnsi="Times New Roman" w:eastAsia="宋体" w:cs="Times New Roman"/>
                <w:sz w:val="24"/>
                <w:szCs w:val="24"/>
              </w:rPr>
              <w:t>The beneficiary name on your bank document must match the company name on your Trade License.</w:t>
            </w:r>
          </w:p>
        </w:tc>
      </w:tr>
      <w:tr w14:paraId="78CA2006">
        <w:tc>
          <w:tcPr>
            <w:tcW w:w="1696" w:type="dxa"/>
          </w:tcPr>
          <w:p w14:paraId="41358CDB">
            <w:pPr>
              <w:rPr>
                <w:rFonts w:ascii="Times New Roman" w:hAnsi="Times New Roman" w:eastAsia="宋体" w:cs="Times New Roman"/>
                <w:sz w:val="24"/>
                <w:szCs w:val="24"/>
              </w:rPr>
            </w:pPr>
          </w:p>
        </w:tc>
        <w:tc>
          <w:tcPr>
            <w:tcW w:w="6600" w:type="dxa"/>
          </w:tcPr>
          <w:p w14:paraId="2B3B6D7A">
            <w:pPr>
              <w:rPr>
                <w:rFonts w:ascii="Times New Roman" w:hAnsi="Times New Roman" w:eastAsia="宋体" w:cs="Times New Roman"/>
                <w:sz w:val="24"/>
                <w:szCs w:val="24"/>
              </w:rPr>
            </w:pPr>
          </w:p>
        </w:tc>
      </w:tr>
      <w:tr w14:paraId="0FE1EDE5">
        <w:tc>
          <w:tcPr>
            <w:tcW w:w="1696" w:type="dxa"/>
          </w:tcPr>
          <w:p w14:paraId="393E15B6">
            <w:pPr>
              <w:rPr>
                <w:rFonts w:ascii="Times New Roman" w:hAnsi="Times New Roman" w:eastAsia="宋体" w:cs="Times New Roman"/>
                <w:sz w:val="24"/>
                <w:szCs w:val="24"/>
              </w:rPr>
            </w:pPr>
            <w:r>
              <w:rPr>
                <w:rFonts w:ascii="Times New Roman" w:hAnsi="Times New Roman" w:eastAsia="宋体" w:cs="Times New Roman"/>
                <w:sz w:val="24"/>
                <w:szCs w:val="24"/>
              </w:rPr>
              <w:t>文章</w:t>
            </w:r>
            <w:r>
              <w:rPr>
                <w:rFonts w:hint="eastAsia" w:ascii="Times New Roman" w:hAnsi="Times New Roman" w:eastAsia="宋体" w:cs="Times New Roman"/>
                <w:sz w:val="24"/>
                <w:szCs w:val="24"/>
              </w:rPr>
              <w:t>3</w:t>
            </w:r>
          </w:p>
        </w:tc>
        <w:tc>
          <w:tcPr>
            <w:tcW w:w="6600" w:type="dxa"/>
          </w:tcPr>
          <w:p w14:paraId="0BFFC304">
            <w:pPr>
              <w:rPr>
                <w:rFonts w:ascii="Times New Roman" w:hAnsi="Times New Roman" w:eastAsia="宋体" w:cs="Times New Roman"/>
                <w:sz w:val="24"/>
                <w:szCs w:val="24"/>
              </w:rPr>
            </w:pPr>
            <w:r>
              <w:rPr>
                <w:rFonts w:hint="default" w:ascii="Times New Roman Bold" w:hAnsi="Times New Roman Bold" w:eastAsia="宋体" w:cs="Times New Roman Bold"/>
                <w:b/>
                <w:bCs/>
                <w:sz w:val="24"/>
                <w:szCs w:val="24"/>
              </w:rPr>
              <w:t>Documents required to sell on noon</w:t>
            </w:r>
            <w:r>
              <w:rPr>
                <w:rStyle w:val="15"/>
                <w:rFonts w:hint="default" w:ascii="Times New Roman Bold" w:hAnsi="Times New Roman Bold" w:eastAsia="宋体" w:cs="Times New Roman Bold"/>
                <w:b/>
                <w:bCs/>
                <w:sz w:val="24"/>
                <w:szCs w:val="24"/>
              </w:rPr>
              <w:footnoteReference w:id="2"/>
            </w:r>
          </w:p>
        </w:tc>
      </w:tr>
      <w:tr w14:paraId="5371026C">
        <w:tc>
          <w:tcPr>
            <w:tcW w:w="1696" w:type="dxa"/>
          </w:tcPr>
          <w:p w14:paraId="0334E236">
            <w:pPr>
              <w:rPr>
                <w:rFonts w:ascii="Times New Roman" w:hAnsi="Times New Roman" w:eastAsia="宋体" w:cs="Times New Roman"/>
                <w:sz w:val="24"/>
                <w:szCs w:val="24"/>
              </w:rPr>
            </w:pPr>
            <w:r>
              <w:rPr>
                <w:rFonts w:ascii="Times New Roman" w:hAnsi="Times New Roman" w:eastAsia="宋体" w:cs="Times New Roman"/>
                <w:sz w:val="24"/>
                <w:szCs w:val="24"/>
              </w:rPr>
              <w:t>主要观点</w:t>
            </w:r>
          </w:p>
        </w:tc>
        <w:tc>
          <w:tcPr>
            <w:tcW w:w="6600" w:type="dxa"/>
          </w:tcPr>
          <w:p w14:paraId="774EB1CD">
            <w:pPr>
              <w:rPr>
                <w:rFonts w:ascii="Times New Roman" w:hAnsi="Times New Roman" w:eastAsia="宋体" w:cs="Times New Roman"/>
                <w:sz w:val="24"/>
                <w:szCs w:val="24"/>
              </w:rPr>
            </w:pPr>
            <w:r>
              <w:rPr>
                <w:rFonts w:hint="eastAsia" w:ascii="Times New Roman" w:hAnsi="Times New Roman" w:eastAsia="宋体" w:cs="Times New Roman"/>
                <w:sz w:val="24"/>
                <w:szCs w:val="24"/>
              </w:rPr>
              <w:t>Not applicable: Your company has to be mandatorily registered in Egypt to be able sell in noon Egypt.</w:t>
            </w:r>
          </w:p>
        </w:tc>
      </w:tr>
      <w:tr w14:paraId="12AA06FC">
        <w:tc>
          <w:tcPr>
            <w:tcW w:w="1696" w:type="dxa"/>
          </w:tcPr>
          <w:p w14:paraId="1CAB60A1">
            <w:pPr>
              <w:rPr>
                <w:rFonts w:ascii="Times New Roman" w:hAnsi="Times New Roman" w:eastAsia="宋体" w:cs="Times New Roman"/>
                <w:sz w:val="24"/>
                <w:szCs w:val="24"/>
              </w:rPr>
            </w:pPr>
          </w:p>
        </w:tc>
        <w:tc>
          <w:tcPr>
            <w:tcW w:w="6600" w:type="dxa"/>
          </w:tcPr>
          <w:p w14:paraId="3C0F12D1">
            <w:pPr>
              <w:rPr>
                <w:rFonts w:hint="eastAsia" w:ascii="Times New Roman" w:hAnsi="Times New Roman" w:eastAsia="宋体" w:cs="Times New Roman"/>
                <w:sz w:val="24"/>
                <w:szCs w:val="24"/>
              </w:rPr>
            </w:pPr>
          </w:p>
        </w:tc>
      </w:tr>
      <w:tr w14:paraId="29860A29">
        <w:tc>
          <w:tcPr>
            <w:tcW w:w="1696" w:type="dxa"/>
          </w:tcPr>
          <w:p w14:paraId="6EC53FA4">
            <w:pPr>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文章</w:t>
            </w:r>
            <w:r>
              <w:rPr>
                <w:rFonts w:hint="eastAsia" w:ascii="Times New Roman" w:hAnsi="Times New Roman" w:eastAsia="宋体" w:cs="Times New Roman"/>
                <w:sz w:val="24"/>
                <w:szCs w:val="24"/>
                <w:lang w:val="en-US" w:eastAsia="zh-CN"/>
              </w:rPr>
              <w:t>4</w:t>
            </w:r>
          </w:p>
        </w:tc>
        <w:tc>
          <w:tcPr>
            <w:tcW w:w="6600" w:type="dxa"/>
          </w:tcPr>
          <w:p w14:paraId="357409B1">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b/>
                <w:bCs/>
                <w:sz w:val="24"/>
                <w:szCs w:val="24"/>
                <w:lang w:val="en-US" w:eastAsia="zh-CN"/>
              </w:rPr>
              <w:t>商务部埃及投资指南2025年版</w:t>
            </w:r>
          </w:p>
        </w:tc>
      </w:tr>
      <w:tr w14:paraId="73B51DBD">
        <w:tc>
          <w:tcPr>
            <w:tcW w:w="1696" w:type="dxa"/>
          </w:tcPr>
          <w:p w14:paraId="57AED78B">
            <w:pPr>
              <w:rPr>
                <w:rFonts w:ascii="Times New Roman" w:hAnsi="Times New Roman" w:eastAsia="宋体" w:cs="Times New Roman"/>
                <w:sz w:val="24"/>
                <w:szCs w:val="24"/>
              </w:rPr>
            </w:pPr>
            <w:r>
              <w:rPr>
                <w:rFonts w:ascii="Times New Roman" w:hAnsi="Times New Roman" w:eastAsia="宋体" w:cs="Times New Roman"/>
                <w:sz w:val="24"/>
                <w:szCs w:val="24"/>
              </w:rPr>
              <w:t>主要观点</w:t>
            </w:r>
          </w:p>
        </w:tc>
        <w:tc>
          <w:tcPr>
            <w:tcW w:w="6600" w:type="dxa"/>
          </w:tcPr>
          <w:p w14:paraId="4A5C0CC5">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【限制行业和地区】</w:t>
            </w:r>
          </w:p>
          <w:p w14:paraId="0F97D68A">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主要限制行业包括商业流通、中介、航空业、金融业、铁路运营、天然气销售、再生原材料进口等。此外，钢铁、医药、食品添加剂、黑砂开采加工等部分特殊行业管理严格，虽未明令禁止外商投资，但许可证办理难度很大。在西奈半岛投资，或收购任何在西奈半岛持有土地的公司，需要获得西奈半岛发展局的特殊许可。</w:t>
            </w:r>
            <w:bookmarkStart w:id="0" w:name="_GoBack"/>
            <w:bookmarkEnd w:id="0"/>
          </w:p>
          <w:p w14:paraId="52E82800">
            <w:pPr>
              <w:rPr>
                <w:rFonts w:hint="eastAsia" w:ascii="Times New Roman" w:hAnsi="Times New Roman" w:eastAsia="宋体" w:cs="Times New Roman"/>
                <w:sz w:val="24"/>
                <w:szCs w:val="24"/>
              </w:rPr>
            </w:pPr>
          </w:p>
          <w:p w14:paraId="0E275A95">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附录1.1.1 设立企业的形式</w:t>
            </w:r>
          </w:p>
          <w:p w14:paraId="260B091D">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在埃及注册公司时，可选择依照《公司法》或《投资法》注册，《投资法》下分为境内投 资和自由区投资，资产公司依照《资本市场法》(1992年95号法)管理;在经济特区内注册的 企业依照《经济特区法》(83号法)管理。设立企业的形式主要有七种:有限责任公司、股份 公司、合伙公司、个人独资公司、分支机构、代表处、特许经营。代表处依照《商业代理法》 (1982年120号法)管理。具体注册形式请参见“5.2.5投资方式的规定”。(相关法规浏览地 址请见5.2.2)</w:t>
            </w:r>
          </w:p>
          <w:p w14:paraId="06888CC5">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附录1.1.2 注册企业的受理机构</w:t>
            </w:r>
          </w:p>
          <w:p w14:paraId="6B310B20">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在埃及注册公司的受理机构是埃及投资和自由区管理总局(GAFI)的投资者服务中心(ISC)。</w:t>
            </w:r>
          </w:p>
          <w:p w14:paraId="214D75CD">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附录1.1.3 注册企业的主要程序</w:t>
            </w:r>
          </w:p>
          <w:p w14:paraId="0D7FF714">
            <w:pPr>
              <w:rPr>
                <w:rFonts w:ascii="Times New Roman" w:hAnsi="Times New Roman" w:eastAsia="宋体" w:cs="Times New Roman"/>
                <w:sz w:val="24"/>
                <w:szCs w:val="24"/>
              </w:rPr>
            </w:pPr>
            <w:r>
              <w:rPr>
                <w:rFonts w:hint="eastAsia" w:ascii="Times New Roman" w:hAnsi="Times New Roman" w:eastAsia="宋体" w:cs="Times New Roman"/>
                <w:sz w:val="24"/>
                <w:szCs w:val="24"/>
              </w:rPr>
              <w:t>2018 年 底 ， GAFI 发 布 《 投 资 者 服 务 指 南 》 ( 如 欲 了 解 中 文 译 本 ， 请 登 录 : http://eg.mofcom.gov.cn/article/ddfg/201904/20190402859328.shtml)，全面介绍了各类 公司注册所需条件、程序和费用，以及埃及所有投资者服务中心(ISC)和各有关政府部门的联 系方式。《投资法》中也明确鼓励从事审核投资注册文件完整性业务的审核事务所的发展，协 助企业加快注册程序。注册企业的主要程序包括安全审查、商业注册、开立银行账号、税务登 记、社保登记等。2023年8月，GAFI在其官网上推出了“电子注册”模块，投资者可申请在线注 册公司，网址为www.gafi.gov.eg。</w:t>
            </w:r>
          </w:p>
        </w:tc>
      </w:tr>
    </w:tbl>
    <w:p w14:paraId="6654253A">
      <w:pPr>
        <w:rPr>
          <w:rFonts w:ascii="Times New Roman" w:hAnsi="Times New Roman" w:eastAsia="宋体" w:cs="Times New Roman"/>
          <w:sz w:val="24"/>
          <w:szCs w:val="24"/>
        </w:rPr>
      </w:pPr>
    </w:p>
    <w:p w14:paraId="150FE2CA">
      <w:pPr>
        <w:rPr>
          <w:rFonts w:ascii="Times New Roman" w:hAnsi="Times New Roman" w:eastAsia="宋体" w:cs="Times New Roman"/>
          <w:b/>
          <w:bCs/>
          <w:sz w:val="24"/>
          <w:szCs w:val="24"/>
        </w:rPr>
      </w:pPr>
      <w:r>
        <w:rPr>
          <w:rFonts w:ascii="Times New Roman" w:hAnsi="Times New Roman" w:eastAsia="宋体" w:cs="Times New Roman"/>
          <w:b/>
          <w:bCs/>
          <w:sz w:val="24"/>
          <w:szCs w:val="24"/>
        </w:rPr>
        <w:t xml:space="preserve">第三部分 </w:t>
      </w:r>
      <w:r>
        <w:rPr>
          <w:rFonts w:hint="eastAsia" w:ascii="Times New Roman" w:hAnsi="Times New Roman" w:eastAsia="宋体" w:cs="Times New Roman"/>
          <w:b/>
          <w:bCs/>
          <w:sz w:val="24"/>
          <w:szCs w:val="24"/>
        </w:rPr>
        <w:t>检索</w:t>
      </w:r>
      <w:r>
        <w:rPr>
          <w:rFonts w:ascii="Times New Roman" w:hAnsi="Times New Roman" w:eastAsia="宋体" w:cs="Times New Roman"/>
          <w:b/>
          <w:bCs/>
          <w:sz w:val="24"/>
          <w:szCs w:val="24"/>
        </w:rPr>
        <w:t>结论</w:t>
      </w:r>
    </w:p>
    <w:p w14:paraId="3D953096">
      <w:pPr>
        <w:rPr>
          <w:rFonts w:ascii="Times New Roman" w:hAnsi="Times New Roman" w:eastAsia="宋体" w:cs="Times New Roman"/>
          <w:b/>
          <w:bCs/>
          <w:sz w:val="24"/>
          <w:szCs w:val="24"/>
        </w:rPr>
      </w:pPr>
    </w:p>
    <w:p w14:paraId="20214F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Noon平台明确规定，想要在埃及站（</w:t>
      </w:r>
      <w:r>
        <w:rPr>
          <w:rFonts w:hint="eastAsia" w:ascii="Times New Roman" w:hAnsi="Times New Roman" w:eastAsia="宋体" w:cs="Times New Roman"/>
          <w:sz w:val="24"/>
          <w:szCs w:val="24"/>
          <w:lang w:val="en-US" w:eastAsia="zh-CN"/>
        </w:rPr>
        <w:t>N</w:t>
      </w:r>
      <w:r>
        <w:rPr>
          <w:rFonts w:hint="eastAsia" w:ascii="Times New Roman" w:hAnsi="Times New Roman" w:eastAsia="宋体" w:cs="Times New Roman"/>
          <w:sz w:val="24"/>
          <w:szCs w:val="24"/>
        </w:rPr>
        <w:t>oon Egypt）销售，公司</w:t>
      </w:r>
      <w:r>
        <w:rPr>
          <w:rFonts w:hint="eastAsia" w:ascii="Times New Roman" w:hAnsi="Times New Roman" w:eastAsia="宋体" w:cs="Times New Roman"/>
          <w:sz w:val="24"/>
          <w:szCs w:val="24"/>
          <w:lang w:val="en-US" w:eastAsia="zh-CN"/>
        </w:rPr>
        <w:t>买家</w:t>
      </w:r>
      <w:r>
        <w:rPr>
          <w:rFonts w:hint="eastAsia" w:ascii="Times New Roman" w:hAnsi="Times New Roman" w:eastAsia="宋体" w:cs="Times New Roman"/>
          <w:sz w:val="24"/>
          <w:szCs w:val="24"/>
        </w:rPr>
        <w:t>必须注册在埃及境内。</w:t>
      </w:r>
    </w:p>
    <w:p w14:paraId="3AD8C2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 商业登记证或营业执照：公司需注册在埃及境内，经营范围包含销售、贸易、制造或电商等相关活动，且文件有效期在提交时需剩余至少30天。</w:t>
      </w:r>
    </w:p>
    <w:p w14:paraId="0D300A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 有效税卡：埃及站的强制性要求。</w:t>
      </w:r>
    </w:p>
    <w:p w14:paraId="53036E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 增值税登记证书：如果公司未达到埃及增值税的强制注册门槛，可选择“未注册增值税”选项，但第2项中的“有效税卡”依然必须提供。</w:t>
      </w:r>
    </w:p>
    <w:p w14:paraId="37AF957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 法定代表人或授权联系人的有效身份证明：可以是埃及国民身份证或护照，身份证明上的姓名需与营业执照上的姓名一致。</w:t>
      </w:r>
    </w:p>
    <w:p w14:paraId="277B22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 公司对公银行账户信息：账户名称须与营业执照上的公司法定名称完全一致，不接受个人银行账户，可用作废支票或银行开具的账户证明等文件。</w:t>
      </w:r>
    </w:p>
    <w:p w14:paraId="708F68C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 授权委托书：如果提交身份证明的联系人不是营业执照上列出的法定所有人，则必须提供由授权人签署的授权委托书。</w:t>
      </w:r>
    </w:p>
    <w:p w14:paraId="4BA987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同一套公司文件（如营业执照、税卡）只能用于注册一个Noon卖家账户，不可重复使用。</w:t>
      </w:r>
    </w:p>
    <w:sectPr>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Times New Roman Bold">
    <w:panose1 w:val="02020503050405090304"/>
    <w:charset w:val="00"/>
    <w:family w:val="auto"/>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14:paraId="79F19282">
      <w:pPr>
        <w:pStyle w:val="8"/>
        <w:snapToGrid w:val="0"/>
        <w:rPr>
          <w:rFonts w:hint="default" w:eastAsiaTheme="minorEastAsia"/>
          <w:lang w:val="en-US" w:eastAsia="zh-CN"/>
        </w:rPr>
      </w:pPr>
      <w:r>
        <w:rPr>
          <w:rStyle w:val="15"/>
        </w:rPr>
        <w:footnoteRef/>
      </w:r>
      <w:r>
        <w:t xml:space="preserve"> </w:t>
      </w:r>
      <w:r>
        <w:rPr>
          <w:rFonts w:hint="eastAsia"/>
          <w:lang w:val="en-US" w:eastAsia="zh-CN"/>
        </w:rPr>
        <w:t>详见网址：https://almajidilaw.com/legal-considerations-when-launching-an-e-commerce-business-in-egypt/#respond</w:t>
      </w:r>
    </w:p>
  </w:footnote>
  <w:footnote w:id="1">
    <w:p w14:paraId="7A68B7FF">
      <w:pPr>
        <w:pStyle w:val="8"/>
        <w:snapToGrid w:val="0"/>
        <w:rPr>
          <w:rFonts w:hint="default" w:eastAsiaTheme="minorEastAsia"/>
          <w:lang w:val="en-US" w:eastAsia="zh-CN"/>
        </w:rPr>
      </w:pPr>
      <w:r>
        <w:rPr>
          <w:rStyle w:val="15"/>
        </w:rPr>
        <w:footnoteRef/>
      </w:r>
      <w:r>
        <w:t xml:space="preserve"> </w:t>
      </w:r>
      <w:r>
        <w:rPr>
          <w:rFonts w:hint="eastAsia"/>
          <w:lang w:val="en-US" w:eastAsia="zh-CN"/>
        </w:rPr>
        <w:t>详见网址：https://helpcenter.noon.partners/en/category/onboarding-and-registration/who-can-sell-on-noon</w:t>
      </w:r>
    </w:p>
  </w:footnote>
  <w:footnote w:id="2">
    <w:p w14:paraId="444BFBCC">
      <w:pPr>
        <w:pStyle w:val="8"/>
        <w:snapToGrid w:val="0"/>
      </w:pPr>
      <w:r>
        <w:rPr>
          <w:rStyle w:val="15"/>
        </w:rPr>
        <w:footnoteRef/>
      </w:r>
      <w: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3A76A3"/>
    <w:multiLevelType w:val="multilevel"/>
    <w:tmpl w:val="0A3A76A3"/>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6"/>
    <w:footnote w:id="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JkZDFlMWQ3ZjAxYTE4YjcyZDA4MmExMzQ3NDAzNTUifQ=="/>
  </w:docVars>
  <w:rsids>
    <w:rsidRoot w:val="007A1BCA"/>
    <w:rsid w:val="000273EC"/>
    <w:rsid w:val="0005041C"/>
    <w:rsid w:val="002529D6"/>
    <w:rsid w:val="002913F1"/>
    <w:rsid w:val="005E1D43"/>
    <w:rsid w:val="006919B9"/>
    <w:rsid w:val="007A1BCA"/>
    <w:rsid w:val="0092431D"/>
    <w:rsid w:val="00B074AC"/>
    <w:rsid w:val="00B62D1B"/>
    <w:rsid w:val="00D956B1"/>
    <w:rsid w:val="2FB70CC0"/>
    <w:rsid w:val="77DB2BB4"/>
    <w:rsid w:val="7AE760E9"/>
    <w:rsid w:val="7B6E9C9A"/>
    <w:rsid w:val="7D7F9948"/>
    <w:rsid w:val="7FBFCAEF"/>
    <w:rsid w:val="7FFF0975"/>
    <w:rsid w:val="BEC6A6A9"/>
    <w:rsid w:val="DEDB07B3"/>
    <w:rsid w:val="E6DBA99E"/>
    <w:rsid w:val="F776EC9F"/>
    <w:rsid w:val="FECEBC47"/>
    <w:rsid w:val="FFAFDF46"/>
    <w:rsid w:val="FFF38C5A"/>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Balloon Text"/>
    <w:basedOn w:val="1"/>
    <w:link w:val="19"/>
    <w:semiHidden/>
    <w:unhideWhenUsed/>
    <w:uiPriority w:val="99"/>
    <w:rPr>
      <w:sz w:val="18"/>
      <w:szCs w:val="18"/>
    </w:rPr>
  </w:style>
  <w:style w:type="paragraph" w:styleId="6">
    <w:name w:val="footer"/>
    <w:basedOn w:val="1"/>
    <w:link w:val="18"/>
    <w:unhideWhenUsed/>
    <w:uiPriority w:val="99"/>
    <w:pPr>
      <w:tabs>
        <w:tab w:val="center" w:pos="4153"/>
        <w:tab w:val="right" w:pos="8306"/>
      </w:tabs>
      <w:snapToGrid w:val="0"/>
      <w:jc w:val="left"/>
    </w:pPr>
    <w:rPr>
      <w:sz w:val="18"/>
      <w:szCs w:val="18"/>
    </w:rPr>
  </w:style>
  <w:style w:type="paragraph" w:styleId="7">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8">
    <w:name w:val="footnote text"/>
    <w:basedOn w:val="1"/>
    <w:semiHidden/>
    <w:unhideWhenUsed/>
    <w:uiPriority w:val="99"/>
    <w:pPr>
      <w:snapToGrid w:val="0"/>
      <w:jc w:val="left"/>
    </w:pPr>
    <w:rPr>
      <w:sz w:val="18"/>
    </w:rPr>
  </w:style>
  <w:style w:type="paragraph" w:styleId="9">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2">
    <w:name w:val="Table Grid"/>
    <w:basedOn w:val="1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Strong"/>
    <w:basedOn w:val="13"/>
    <w:qFormat/>
    <w:uiPriority w:val="22"/>
    <w:rPr>
      <w:b/>
    </w:rPr>
  </w:style>
  <w:style w:type="character" w:styleId="15">
    <w:name w:val="footnote reference"/>
    <w:basedOn w:val="13"/>
    <w:semiHidden/>
    <w:unhideWhenUsed/>
    <w:uiPriority w:val="99"/>
    <w:rPr>
      <w:vertAlign w:val="superscript"/>
    </w:rPr>
  </w:style>
  <w:style w:type="paragraph" w:styleId="16">
    <w:name w:val="List Paragraph"/>
    <w:basedOn w:val="1"/>
    <w:qFormat/>
    <w:uiPriority w:val="34"/>
    <w:pPr>
      <w:ind w:firstLine="420" w:firstLineChars="200"/>
    </w:pPr>
  </w:style>
  <w:style w:type="character" w:customStyle="1" w:styleId="17">
    <w:name w:val="页眉字符"/>
    <w:basedOn w:val="13"/>
    <w:link w:val="7"/>
    <w:uiPriority w:val="99"/>
    <w:rPr>
      <w:sz w:val="18"/>
      <w:szCs w:val="18"/>
    </w:rPr>
  </w:style>
  <w:style w:type="character" w:customStyle="1" w:styleId="18">
    <w:name w:val="页脚字符"/>
    <w:basedOn w:val="13"/>
    <w:link w:val="6"/>
    <w:uiPriority w:val="99"/>
    <w:rPr>
      <w:sz w:val="18"/>
      <w:szCs w:val="18"/>
    </w:rPr>
  </w:style>
  <w:style w:type="character" w:customStyle="1" w:styleId="19">
    <w:name w:val="批注框文本字符"/>
    <w:basedOn w:val="13"/>
    <w:link w:val="5"/>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197</Words>
  <Characters>237</Characters>
  <Lines>13</Lines>
  <Paragraphs>12</Paragraphs>
  <TotalTime>2</TotalTime>
  <ScaleCrop>false</ScaleCrop>
  <LinksUpToDate>false</LinksUpToDate>
  <CharactersWithSpaces>422</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2019-06-10T05:06:00Z</dcterms:created>
  <dc:creator>Chen Kaila</dc:creator>
  <cp:lastModifiedBy>DCSZ</cp:lastModifiedBy>
  <dcterms:modified xsi:type="dcterms:W3CDTF">2026-08-17T14:28:22Z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2C85EC602108D17CEDFA9865676AF1A1_42</vt:lpwstr>
  </property>
</Properties>
</file>