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AB3A" w14:textId="77777777" w:rsidR="00FC29FE" w:rsidRDefault="00000000">
      <w:pPr>
        <w:pStyle w:val="aa"/>
        <w:spacing w:line="600" w:lineRule="exact"/>
        <w:rPr>
          <w:rFonts w:ascii="Times New Roman" w:hAnsi="Times New Roman" w:cs="Times New Roman"/>
          <w:sz w:val="24"/>
          <w:szCs w:val="24"/>
        </w:rPr>
      </w:pPr>
      <w:r>
        <w:rPr>
          <w:rFonts w:ascii="Times New Roman" w:hAnsi="Times New Roman" w:cs="Times New Roman" w:hint="eastAsia"/>
        </w:rPr>
        <w:t>塔吉克斯坦投资摘要</w:t>
      </w:r>
    </w:p>
    <w:p w14:paraId="276A8E86" w14:textId="77777777" w:rsidR="00FC29FE" w:rsidRDefault="00000000">
      <w:pPr>
        <w:numPr>
          <w:ilvl w:val="0"/>
          <w:numId w:val="1"/>
        </w:num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关于外商投资</w:t>
      </w:r>
    </w:p>
    <w:p w14:paraId="3DEA8096" w14:textId="77777777" w:rsidR="00FC29FE" w:rsidRDefault="00000000">
      <w:p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1. </w:t>
      </w:r>
      <w:r>
        <w:rPr>
          <w:rFonts w:ascii="Times New Roman" w:eastAsia="宋体" w:hAnsi="Times New Roman" w:cs="Times New Roman" w:hint="eastAsia"/>
          <w:sz w:val="24"/>
          <w:szCs w:val="24"/>
        </w:rPr>
        <w:t>投资主管部门</w:t>
      </w:r>
    </w:p>
    <w:p w14:paraId="6853CAC7"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塔吉克斯坦主管投资的部门为投资和国有资产管理委员会及经贸部外资管理局。</w:t>
      </w:r>
    </w:p>
    <w:p w14:paraId="71971313"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塔吉克斯坦独立后先后制定并修改了一系列涉及外国投资的法律，包括《外国投资法》《企业经营法》《外经法》《租赁法》《土地法》《税法》《劳动法》《保险法》《自由经济区法》《投资法》《投资协议法》《产品分成协议法》等。</w:t>
      </w:r>
    </w:p>
    <w:p w14:paraId="4BC3B77D" w14:textId="77777777" w:rsidR="00FC29FE" w:rsidRDefault="00000000">
      <w:p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2. </w:t>
      </w:r>
      <w:r>
        <w:rPr>
          <w:rFonts w:ascii="Times New Roman" w:eastAsia="宋体" w:hAnsi="Times New Roman" w:cs="Times New Roman" w:hint="eastAsia"/>
          <w:sz w:val="24"/>
          <w:szCs w:val="24"/>
        </w:rPr>
        <w:t>投资行业的规定</w:t>
      </w:r>
    </w:p>
    <w:p w14:paraId="2E630C5B"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禁止行业：博彩业。</w:t>
      </w:r>
    </w:p>
    <w:p w14:paraId="28DDBFA6"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限制行业</w:t>
      </w:r>
      <w:r>
        <w:rPr>
          <w:rFonts w:ascii="Times New Roman" w:eastAsia="宋体" w:hAnsi="Times New Roman" w:cs="Times New Roman" w:hint="eastAsia"/>
          <w:sz w:val="24"/>
          <w:szCs w:val="24"/>
        </w:rPr>
        <w:t>：</w:t>
      </w:r>
      <w:r>
        <w:rPr>
          <w:rFonts w:ascii="Times New Roman" w:eastAsia="宋体" w:hAnsi="Times New Roman" w:cs="Times New Roman"/>
          <w:sz w:val="24"/>
          <w:szCs w:val="24"/>
        </w:rPr>
        <w:t>军工、金融、矿藏勘探、法律服务、航空等行业必须获得政府主管部门签发的许可证。</w:t>
      </w:r>
    </w:p>
    <w:p w14:paraId="5E0E0CCF"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鼓励行业</w:t>
      </w:r>
      <w:r>
        <w:rPr>
          <w:rFonts w:ascii="Times New Roman" w:eastAsia="宋体" w:hAnsi="Times New Roman" w:cs="Times New Roman" w:hint="eastAsia"/>
          <w:sz w:val="24"/>
          <w:szCs w:val="24"/>
        </w:rPr>
        <w:t>：</w:t>
      </w:r>
    </w:p>
    <w:p w14:paraId="5C0E424E"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）能源领域，主要是水电领域，利用塔吉克斯坦的水利资源修建水利工程、修建输变电线路；加快煤炭、石油天然气的勘探和开发；太阳能等可再生能源开发利用；</w:t>
      </w:r>
    </w:p>
    <w:p w14:paraId="2A1293C3"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）公路、隧道、桥梁的修复和建设；</w:t>
      </w:r>
    </w:p>
    <w:p w14:paraId="25BB691F"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）农业等领域仍为重点投资领域；</w:t>
      </w:r>
    </w:p>
    <w:p w14:paraId="21BC9677"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）铝锭、农产品的深加工；</w:t>
      </w:r>
    </w:p>
    <w:p w14:paraId="5AE522A7"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5</w:t>
      </w:r>
      <w:r>
        <w:rPr>
          <w:rFonts w:ascii="Times New Roman" w:eastAsia="宋体" w:hAnsi="Times New Roman" w:cs="Times New Roman"/>
          <w:sz w:val="24"/>
          <w:szCs w:val="24"/>
        </w:rPr>
        <w:t>）电动汽车组装生产。</w:t>
      </w:r>
    </w:p>
    <w:p w14:paraId="236F4F30" w14:textId="77777777" w:rsidR="00FC29FE" w:rsidRDefault="00000000">
      <w:p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3. </w:t>
      </w:r>
      <w:r>
        <w:rPr>
          <w:rFonts w:ascii="Times New Roman" w:eastAsia="宋体" w:hAnsi="Times New Roman" w:cs="Times New Roman" w:hint="eastAsia"/>
          <w:sz w:val="24"/>
          <w:szCs w:val="24"/>
        </w:rPr>
        <w:t>投资方式的规定</w:t>
      </w:r>
    </w:p>
    <w:p w14:paraId="003DBB35"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根据塔吉克斯坦《投资法》的规定，投资是指物权形式，包括投资者依法所拥有</w:t>
      </w:r>
      <w:r>
        <w:rPr>
          <w:rFonts w:ascii="Times New Roman" w:eastAsia="宋体" w:hAnsi="Times New Roman" w:cs="Times New Roman" w:hint="eastAsia"/>
          <w:sz w:val="24"/>
          <w:szCs w:val="24"/>
        </w:rPr>
        <w:t>、</w:t>
      </w:r>
      <w:r>
        <w:rPr>
          <w:rFonts w:ascii="Times New Roman" w:eastAsia="宋体" w:hAnsi="Times New Roman" w:cs="Times New Roman"/>
          <w:sz w:val="24"/>
          <w:szCs w:val="24"/>
        </w:rPr>
        <w:t>为获取利润（收入）和（或）取得其他重要成果对项目投入的资金、证券、生产工艺设</w:t>
      </w:r>
      <w:r>
        <w:rPr>
          <w:rFonts w:ascii="Times New Roman" w:eastAsia="宋体" w:hAnsi="Times New Roman" w:cs="Times New Roman"/>
          <w:sz w:val="24"/>
          <w:szCs w:val="24"/>
        </w:rPr>
        <w:lastRenderedPageBreak/>
        <w:t>备和知识产权。</w:t>
      </w:r>
    </w:p>
    <w:p w14:paraId="5B43A0C4"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投资主体：塔吉克斯坦《投资法》规定，外国投资者的投资主体可以是外国法人、外国公民、无国籍人士、定居在国外的塔籍公民、不具有法人资格的外国团体组织和主权国家、国际组织等。按照塔吉克斯坦法律规定，具有完全民事权利能力的自然人可以在塔吉克斯坦投资，并受塔吉克斯坦本国法律保护。</w:t>
      </w:r>
    </w:p>
    <w:p w14:paraId="4C7B681B" w14:textId="77777777" w:rsidR="00FC29FE" w:rsidRDefault="00000000">
      <w:pPr>
        <w:spacing w:afterLines="50" w:after="190" w:line="440" w:lineRule="exact"/>
        <w:ind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u w:val="single"/>
        </w:rPr>
        <w:t>投资形式：不动产；证券；知识产权；塔吉克斯坦法律不禁止的其他形式。</w:t>
      </w:r>
    </w:p>
    <w:p w14:paraId="3555A110"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投资种类：自然人，非国有企业、机关、团体和其他机构从事的私营投资行为；国家机关、执行机关、国有企业、机关团体利用预算和非预算基金、自有资金和贷款资金从事的国家投资活动；外国自然人、法人、国家、国际金融机构和无国籍人所从事的外来投资活动；塔吉克斯坦自然人、法人与外国投资者共同从事的投资活动。</w:t>
      </w:r>
    </w:p>
    <w:p w14:paraId="3110A0B4" w14:textId="77777777" w:rsidR="00FC29FE" w:rsidRDefault="00000000">
      <w:p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4. </w:t>
      </w:r>
      <w:r>
        <w:rPr>
          <w:rFonts w:ascii="Times New Roman" w:eastAsia="宋体" w:hAnsi="Times New Roman" w:cs="Times New Roman" w:hint="eastAsia"/>
          <w:sz w:val="24"/>
          <w:szCs w:val="24"/>
        </w:rPr>
        <w:t>安全审查的规定</w:t>
      </w:r>
    </w:p>
    <w:p w14:paraId="65F1F494"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塔吉克斯坦《关于商品市场竞争及限制垄断行为法》规定了企业收（并）购的相关内容。该法适用于外国投资者。</w:t>
      </w:r>
    </w:p>
    <w:p w14:paraId="0E40ADC8"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关于商品市场竞争及限制垄断行为法》是塔吉克斯坦限制和阻止垄断行为及非良性竞争的法律基础，目标是确保商品市场的建立和有效运作，主要包括垄断行为、国家反垄断机构、对竞争的国家监管、违反反垄断法的责任、国家反垄断机构制定和实施决议的程序等内容。该法第</w:t>
      </w:r>
      <w:r>
        <w:rPr>
          <w:rFonts w:ascii="Times New Roman" w:eastAsia="宋体" w:hAnsi="Times New Roman" w:cs="Times New Roman" w:hint="eastAsia"/>
          <w:sz w:val="24"/>
          <w:szCs w:val="24"/>
        </w:rPr>
        <w:t>15</w:t>
      </w:r>
      <w:r>
        <w:rPr>
          <w:rFonts w:ascii="Times New Roman" w:eastAsia="宋体" w:hAnsi="Times New Roman" w:cs="Times New Roman" w:hint="eastAsia"/>
          <w:sz w:val="24"/>
          <w:szCs w:val="24"/>
        </w:rPr>
        <w:t>条对企业收并购作出了相关规定，例如，企业收并购资产总额超过</w:t>
      </w:r>
      <w:r>
        <w:rPr>
          <w:rFonts w:ascii="Times New Roman" w:eastAsia="宋体" w:hAnsi="Times New Roman" w:cs="Times New Roman" w:hint="eastAsia"/>
          <w:sz w:val="24"/>
          <w:szCs w:val="24"/>
        </w:rPr>
        <w:t>400</w:t>
      </w:r>
      <w:r>
        <w:rPr>
          <w:rFonts w:ascii="Times New Roman" w:eastAsia="宋体" w:hAnsi="Times New Roman" w:cs="Times New Roman" w:hint="eastAsia"/>
          <w:sz w:val="24"/>
          <w:szCs w:val="24"/>
        </w:rPr>
        <w:t>万索莫尼，需要取得反垄断机关——塔吉克斯坦反垄断局的同意，反垄断局应在收到申请后</w:t>
      </w:r>
      <w:r>
        <w:rPr>
          <w:rFonts w:ascii="Times New Roman" w:eastAsia="宋体" w:hAnsi="Times New Roman" w:cs="Times New Roman" w:hint="eastAsia"/>
          <w:sz w:val="24"/>
          <w:szCs w:val="24"/>
        </w:rPr>
        <w:t>30</w:t>
      </w:r>
      <w:r>
        <w:rPr>
          <w:rFonts w:ascii="Times New Roman" w:eastAsia="宋体" w:hAnsi="Times New Roman" w:cs="Times New Roman" w:hint="eastAsia"/>
          <w:sz w:val="24"/>
          <w:szCs w:val="24"/>
        </w:rPr>
        <w:t>天内书面予以回复。如认定企业收并购将造成限制竞争等损害，相关企业需要根据反垄断局的要求采取措施满足恢复竞争的条件。国家登记部门在企业获得反垄断局同意后方可对收（并）购企业登记注册，未经反垄断局同意的登记注册法律上视为无效。</w:t>
      </w:r>
    </w:p>
    <w:p w14:paraId="6257873A" w14:textId="77777777" w:rsidR="00FC29FE" w:rsidRDefault="00FC29FE">
      <w:pPr>
        <w:spacing w:afterLines="50" w:after="190" w:line="440" w:lineRule="exact"/>
        <w:ind w:firstLineChars="0" w:firstLine="0"/>
        <w:rPr>
          <w:rFonts w:ascii="Times New Roman" w:eastAsia="宋体" w:hAnsi="Times New Roman" w:cs="Times New Roman"/>
          <w:sz w:val="24"/>
          <w:szCs w:val="24"/>
        </w:rPr>
      </w:pPr>
    </w:p>
    <w:p w14:paraId="52EBB767" w14:textId="77777777" w:rsidR="00FC29FE" w:rsidRDefault="00000000">
      <w:pPr>
        <w:numPr>
          <w:ilvl w:val="0"/>
          <w:numId w:val="1"/>
        </w:num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关于企业的设立</w:t>
      </w:r>
    </w:p>
    <w:p w14:paraId="37E7C382" w14:textId="77777777" w:rsidR="00FC29FE" w:rsidRDefault="00000000">
      <w:pPr>
        <w:numPr>
          <w:ilvl w:val="0"/>
          <w:numId w:val="2"/>
        </w:num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设立企业的形式</w:t>
      </w:r>
    </w:p>
    <w:p w14:paraId="51442AF1"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根据塔吉克斯坦法律规定，实施外国投资的可以是外国法人、具有外国国籍或长居身份的外国公民、不具备法人资格的外国联合体和国际组织，接受外国投资的企业可以</w:t>
      </w:r>
      <w:r>
        <w:rPr>
          <w:rFonts w:ascii="Times New Roman" w:eastAsia="宋体" w:hAnsi="Times New Roman" w:cs="Times New Roman" w:hint="eastAsia"/>
          <w:sz w:val="24"/>
          <w:szCs w:val="24"/>
        </w:rPr>
        <w:lastRenderedPageBreak/>
        <w:t>是合资企业，也可以是外商独资企业。除塔吉克斯坦法律禁止的形式以外，外资企业可以采用任何企业形式。</w:t>
      </w:r>
    </w:p>
    <w:p w14:paraId="3F303BCA" w14:textId="77777777" w:rsidR="00FC29FE" w:rsidRDefault="00000000">
      <w:pPr>
        <w:numPr>
          <w:ilvl w:val="0"/>
          <w:numId w:val="2"/>
        </w:num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注册企业的受理机构</w:t>
      </w:r>
    </w:p>
    <w:p w14:paraId="38727EDD"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2009</w:t>
      </w:r>
      <w:r>
        <w:rPr>
          <w:rFonts w:ascii="Times New Roman" w:eastAsia="宋体" w:hAnsi="Times New Roman" w:cs="Times New Roman"/>
          <w:sz w:val="24"/>
          <w:szCs w:val="24"/>
        </w:rPr>
        <w:t>年，塔吉克斯坦在欧盟和美国国际合作局的技术援助下建立并启动了</w:t>
      </w:r>
      <w:r>
        <w:rPr>
          <w:rFonts w:ascii="Times New Roman" w:eastAsia="宋体" w:hAnsi="Times New Roman" w:cs="Times New Roman"/>
          <w:sz w:val="24"/>
          <w:szCs w:val="24"/>
        </w:rPr>
        <w:t>“</w:t>
      </w:r>
      <w:r>
        <w:rPr>
          <w:rFonts w:ascii="Times New Roman" w:eastAsia="宋体" w:hAnsi="Times New Roman" w:cs="Times New Roman"/>
          <w:sz w:val="24"/>
          <w:szCs w:val="24"/>
        </w:rPr>
        <w:t>统一窗口</w:t>
      </w:r>
      <w:r>
        <w:rPr>
          <w:rFonts w:ascii="Times New Roman" w:eastAsia="宋体" w:hAnsi="Times New Roman" w:cs="Times New Roman"/>
          <w:sz w:val="24"/>
          <w:szCs w:val="24"/>
        </w:rPr>
        <w:t>”</w:t>
      </w:r>
      <w:r>
        <w:rPr>
          <w:rFonts w:ascii="Times New Roman" w:eastAsia="宋体" w:hAnsi="Times New Roman" w:cs="Times New Roman"/>
          <w:sz w:val="24"/>
          <w:szCs w:val="24"/>
        </w:rPr>
        <w:t>机制。在此框架内，企业只需一次提供所需文件即可办理注册等事宜。目前，在塔吉克斯坦注册公司、代表处等机构需到国家税务委员会及地方税务机关注册登记。</w:t>
      </w:r>
    </w:p>
    <w:p w14:paraId="00525116" w14:textId="0C89ED9A" w:rsidR="00767555" w:rsidRPr="00767555" w:rsidRDefault="00000000" w:rsidP="00767555">
      <w:pPr>
        <w:numPr>
          <w:ilvl w:val="0"/>
          <w:numId w:val="2"/>
        </w:num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注册企业的主要程序</w:t>
      </w:r>
    </w:p>
    <w:p w14:paraId="5F56B3C6" w14:textId="56FD31F0" w:rsidR="00767555" w:rsidRDefault="00767555">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第一，</w:t>
      </w:r>
      <w:r w:rsidRPr="00AA7A7E">
        <w:rPr>
          <w:rFonts w:ascii="Times New Roman" w:eastAsia="宋体" w:hAnsi="Times New Roman" w:cs="Times New Roman" w:hint="eastAsia"/>
          <w:sz w:val="24"/>
          <w:szCs w:val="24"/>
        </w:rPr>
        <w:t>缴纳注册费并获取缴费收据</w:t>
      </w:r>
      <w:r w:rsidR="00706B24">
        <w:rPr>
          <w:rStyle w:val="af1"/>
          <w:rFonts w:ascii="Times New Roman" w:eastAsia="宋体" w:hAnsi="Times New Roman" w:cs="Times New Roman"/>
          <w:sz w:val="24"/>
          <w:szCs w:val="24"/>
        </w:rPr>
        <w:footnoteReference w:id="1"/>
      </w:r>
      <w:r w:rsidRPr="00AA7A7E">
        <w:rPr>
          <w:rFonts w:ascii="Times New Roman" w:eastAsia="宋体" w:hAnsi="Times New Roman" w:cs="Times New Roman" w:hint="eastAsia"/>
          <w:sz w:val="24"/>
          <w:szCs w:val="24"/>
        </w:rPr>
        <w:t>。注册费需在有限责任公司法定地址对应的</w:t>
      </w:r>
      <w:proofErr w:type="spellStart"/>
      <w:r w:rsidRPr="00AA7A7E">
        <w:rPr>
          <w:rFonts w:ascii="Times New Roman" w:eastAsia="宋体" w:hAnsi="Times New Roman" w:cs="Times New Roman"/>
          <w:sz w:val="24"/>
          <w:szCs w:val="24"/>
        </w:rPr>
        <w:t>Amonatbank</w:t>
      </w:r>
      <w:proofErr w:type="spellEnd"/>
      <w:r w:rsidRPr="00AA7A7E">
        <w:rPr>
          <w:rFonts w:ascii="Times New Roman" w:eastAsia="宋体" w:hAnsi="Times New Roman" w:cs="Times New Roman" w:hint="eastAsia"/>
          <w:sz w:val="24"/>
          <w:szCs w:val="24"/>
        </w:rPr>
        <w:t>银行办事处缴纳。公司注册所需文件包括：</w:t>
      </w:r>
      <w:r w:rsidR="00446214">
        <w:rPr>
          <w:rFonts w:ascii="Times New Roman" w:eastAsia="宋体" w:hAnsi="Times New Roman" w:cs="Times New Roman" w:hint="eastAsia"/>
          <w:sz w:val="24"/>
          <w:szCs w:val="24"/>
        </w:rPr>
        <w:t>（</w:t>
      </w:r>
      <w:r w:rsidRPr="00AA7A7E">
        <w:rPr>
          <w:rFonts w:ascii="Times New Roman" w:eastAsia="宋体" w:hAnsi="Times New Roman" w:cs="Times New Roman"/>
          <w:sz w:val="24"/>
          <w:szCs w:val="24"/>
        </w:rPr>
        <w:t>1</w:t>
      </w:r>
      <w:r w:rsidR="00446214">
        <w:rPr>
          <w:rFonts w:ascii="Times New Roman" w:eastAsia="宋体" w:hAnsi="Times New Roman" w:cs="Times New Roman" w:hint="eastAsia"/>
          <w:sz w:val="24"/>
          <w:szCs w:val="24"/>
        </w:rPr>
        <w:t>）</w:t>
      </w:r>
      <w:r w:rsidRPr="00AA7A7E">
        <w:rPr>
          <w:rFonts w:ascii="Times New Roman" w:eastAsia="宋体" w:hAnsi="Times New Roman" w:cs="Times New Roman" w:hint="eastAsia"/>
          <w:sz w:val="24"/>
          <w:szCs w:val="24"/>
        </w:rPr>
        <w:t>公司注册费的缴费凭证；</w:t>
      </w:r>
      <w:r w:rsidR="00446214">
        <w:rPr>
          <w:rFonts w:ascii="Times New Roman" w:eastAsia="宋体" w:hAnsi="Times New Roman" w:cs="Times New Roman" w:hint="eastAsia"/>
          <w:sz w:val="24"/>
          <w:szCs w:val="24"/>
        </w:rPr>
        <w:t>（</w:t>
      </w:r>
      <w:r w:rsidRPr="00AA7A7E">
        <w:rPr>
          <w:rFonts w:ascii="Times New Roman" w:eastAsia="宋体" w:hAnsi="Times New Roman" w:cs="Times New Roman"/>
          <w:sz w:val="24"/>
          <w:szCs w:val="24"/>
        </w:rPr>
        <w:t>2</w:t>
      </w:r>
      <w:r w:rsidR="00446214">
        <w:rPr>
          <w:rFonts w:ascii="Times New Roman" w:eastAsia="宋体" w:hAnsi="Times New Roman" w:cs="Times New Roman" w:hint="eastAsia"/>
          <w:sz w:val="24"/>
          <w:szCs w:val="24"/>
        </w:rPr>
        <w:t>）</w:t>
      </w:r>
      <w:r w:rsidRPr="00AA7A7E">
        <w:rPr>
          <w:rFonts w:ascii="Times New Roman" w:eastAsia="宋体" w:hAnsi="Times New Roman" w:cs="Times New Roman" w:hint="eastAsia"/>
          <w:sz w:val="24"/>
          <w:szCs w:val="24"/>
        </w:rPr>
        <w:t>注册证明打印件的缴费凭证。缴费凭证应作为公司注册文件的一部分，提交至一站式服务中心。</w:t>
      </w:r>
    </w:p>
    <w:p w14:paraId="25EA810B" w14:textId="7E2F34D2" w:rsidR="00FC29FE" w:rsidRDefault="00767555">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第二，外资企业在塔吉克斯坦境内的登记注册依照塔吉克斯坦《投资法》及《企业注册法》进行。</w:t>
      </w:r>
      <w:r w:rsidRPr="00767555">
        <w:rPr>
          <w:rFonts w:ascii="Times New Roman" w:eastAsia="宋体" w:hAnsi="Times New Roman" w:cs="Times New Roman" w:hint="eastAsia"/>
          <w:sz w:val="24"/>
          <w:szCs w:val="24"/>
        </w:rPr>
        <w:t>需在国家法人实体和个体经营者登记处（“一站式服务”）注册公司，并获得国家登记证书、统计代码、税务识别号</w:t>
      </w:r>
      <w:r w:rsidR="00446214">
        <w:rPr>
          <w:rFonts w:ascii="Times New Roman" w:eastAsia="宋体" w:hAnsi="Times New Roman" w:cs="Times New Roman" w:hint="eastAsia"/>
          <w:sz w:val="24"/>
          <w:szCs w:val="24"/>
        </w:rPr>
        <w:t>（</w:t>
      </w:r>
      <w:r w:rsidRPr="00767555">
        <w:rPr>
          <w:rFonts w:ascii="Times New Roman" w:eastAsia="宋体" w:hAnsi="Times New Roman" w:cs="Times New Roman" w:hint="eastAsia"/>
          <w:sz w:val="24"/>
          <w:szCs w:val="24"/>
        </w:rPr>
        <w:t>TIN</w:t>
      </w:r>
      <w:r w:rsidR="00446214">
        <w:rPr>
          <w:rFonts w:ascii="Times New Roman" w:eastAsia="宋体" w:hAnsi="Times New Roman" w:cs="Times New Roman" w:hint="eastAsia"/>
          <w:sz w:val="24"/>
          <w:szCs w:val="24"/>
        </w:rPr>
        <w:t>）</w:t>
      </w:r>
      <w:r w:rsidRPr="00767555">
        <w:rPr>
          <w:rFonts w:ascii="Times New Roman" w:eastAsia="宋体" w:hAnsi="Times New Roman" w:cs="Times New Roman" w:hint="eastAsia"/>
          <w:sz w:val="24"/>
          <w:szCs w:val="24"/>
        </w:rPr>
        <w:t>和社会识别号</w:t>
      </w:r>
      <w:r w:rsidR="00446214">
        <w:rPr>
          <w:rFonts w:ascii="Times New Roman" w:eastAsia="宋体" w:hAnsi="Times New Roman" w:cs="Times New Roman" w:hint="eastAsia"/>
          <w:sz w:val="24"/>
          <w:szCs w:val="24"/>
        </w:rPr>
        <w:t>（</w:t>
      </w:r>
      <w:r w:rsidRPr="00767555">
        <w:rPr>
          <w:rFonts w:ascii="Times New Roman" w:eastAsia="宋体" w:hAnsi="Times New Roman" w:cs="Times New Roman" w:hint="eastAsia"/>
          <w:sz w:val="24"/>
          <w:szCs w:val="24"/>
        </w:rPr>
        <w:t>SIN</w:t>
      </w:r>
      <w:r w:rsidR="00446214">
        <w:rPr>
          <w:rFonts w:ascii="Times New Roman" w:eastAsia="宋体" w:hAnsi="Times New Roman" w:cs="Times New Roman" w:hint="eastAsia"/>
          <w:sz w:val="24"/>
          <w:szCs w:val="24"/>
        </w:rPr>
        <w:t>）</w:t>
      </w:r>
      <w:r w:rsidRPr="00767555">
        <w:rPr>
          <w:rFonts w:ascii="Times New Roman" w:eastAsia="宋体" w:hAnsi="Times New Roman" w:cs="Times New Roman" w:hint="eastAsia"/>
          <w:sz w:val="24"/>
          <w:szCs w:val="24"/>
        </w:rPr>
        <w:t>。</w:t>
      </w:r>
    </w:p>
    <w:p w14:paraId="30655126"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自登记注册之日起，外资企业即获得法人资格。注册需提交下列文件和资料：</w:t>
      </w:r>
    </w:p>
    <w:p w14:paraId="39E6E397"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）由外资法人代表签署确认的请求企业注册的书面申请，申请应由创办人或其授权委托人提交；</w:t>
      </w:r>
    </w:p>
    <w:p w14:paraId="69B5E7F4"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）经分公司领导层或外资法人代表批准授权的关于在塔成立分公司或代表处的决议；</w:t>
      </w:r>
    </w:p>
    <w:p w14:paraId="02905C27"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）提交企业注册申请文件的企业执行人员或授权人的身份证明文件复印件；</w:t>
      </w:r>
    </w:p>
    <w:p w14:paraId="772BF5D8"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）外资法人代表或企业领导身份证明文件的复印件；</w:t>
      </w:r>
    </w:p>
    <w:p w14:paraId="6C8349B8"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）境外企业注册文件复印件或具有同等法律效力的其他文件复印件；</w:t>
      </w:r>
    </w:p>
    <w:p w14:paraId="03AFF7FB"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）已缴纳注册手续费的收据。</w:t>
      </w:r>
    </w:p>
    <w:p w14:paraId="10C90D76"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企业在注册时需提交“注册资本到位”文件，有限责任公司注册资金不少于</w:t>
      </w:r>
      <w:r>
        <w:rPr>
          <w:rFonts w:ascii="Times New Roman" w:eastAsia="宋体" w:hAnsi="Times New Roman" w:cs="Times New Roman" w:hint="eastAsia"/>
          <w:sz w:val="24"/>
          <w:szCs w:val="24"/>
        </w:rPr>
        <w:t>500</w:t>
      </w:r>
      <w:r>
        <w:rPr>
          <w:rFonts w:ascii="Times New Roman" w:eastAsia="宋体" w:hAnsi="Times New Roman" w:cs="Times New Roman" w:hint="eastAsia"/>
          <w:sz w:val="24"/>
          <w:szCs w:val="24"/>
        </w:rPr>
        <w:t>索莫尼，开放式股份公司注册资金不少于</w:t>
      </w:r>
      <w:r>
        <w:rPr>
          <w:rFonts w:ascii="Times New Roman" w:eastAsia="宋体" w:hAnsi="Times New Roman" w:cs="Times New Roman" w:hint="eastAsia"/>
          <w:sz w:val="24"/>
          <w:szCs w:val="24"/>
        </w:rPr>
        <w:t>5000</w:t>
      </w:r>
      <w:r>
        <w:rPr>
          <w:rFonts w:ascii="Times New Roman" w:eastAsia="宋体" w:hAnsi="Times New Roman" w:cs="Times New Roman" w:hint="eastAsia"/>
          <w:sz w:val="24"/>
          <w:szCs w:val="24"/>
        </w:rPr>
        <w:t>索莫尼，封闭式股份公司注册资金不少于</w:t>
      </w:r>
      <w:r>
        <w:rPr>
          <w:rFonts w:ascii="Times New Roman" w:eastAsia="宋体" w:hAnsi="Times New Roman" w:cs="Times New Roman" w:hint="eastAsia"/>
          <w:sz w:val="24"/>
          <w:szCs w:val="24"/>
        </w:rPr>
        <w:t>3000</w:t>
      </w:r>
      <w:r>
        <w:rPr>
          <w:rFonts w:ascii="Times New Roman" w:eastAsia="宋体" w:hAnsi="Times New Roman" w:cs="Times New Roman" w:hint="eastAsia"/>
          <w:sz w:val="24"/>
          <w:szCs w:val="24"/>
        </w:rPr>
        <w:t>索莫尼。外国人或企业注册公司所提交的文件应翻译成官方语言——塔吉克语，并经公证处公证。</w:t>
      </w:r>
    </w:p>
    <w:p w14:paraId="0C1620F7"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塔吉克斯坦国家注册部门应在</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个工作日内对企业申请做出回应，已登记注册的外资企业会得到固定格式的注册登记证。负责外资企业登记注册的公证处在</w:t>
      </w:r>
      <w:r>
        <w:rPr>
          <w:rFonts w:ascii="Times New Roman" w:eastAsia="宋体" w:hAnsi="Times New Roman" w:cs="Times New Roman" w:hint="eastAsia"/>
          <w:sz w:val="24"/>
          <w:szCs w:val="24"/>
        </w:rPr>
        <w:t>10</w:t>
      </w:r>
      <w:r>
        <w:rPr>
          <w:rFonts w:ascii="Times New Roman" w:eastAsia="宋体" w:hAnsi="Times New Roman" w:cs="Times New Roman" w:hint="eastAsia"/>
          <w:sz w:val="24"/>
          <w:szCs w:val="24"/>
        </w:rPr>
        <w:t>日之内通报财政部有关该企业的注册登记。获得注册登记证是企业开立银行账户、刻章、申请统计代码和税号的基础。</w:t>
      </w:r>
    </w:p>
    <w:p w14:paraId="47FB66F1" w14:textId="059AF187" w:rsidR="00FC29FE" w:rsidRDefault="00250473">
      <w:p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 xml:space="preserve">4. </w:t>
      </w:r>
      <w:r>
        <w:rPr>
          <w:rFonts w:ascii="Times New Roman" w:eastAsia="宋体" w:hAnsi="Times New Roman" w:cs="Times New Roman" w:hint="eastAsia"/>
          <w:sz w:val="24"/>
          <w:szCs w:val="24"/>
        </w:rPr>
        <w:t>企业的注册资本</w:t>
      </w:r>
    </w:p>
    <w:p w14:paraId="3DC07B73" w14:textId="43ABD4A4" w:rsidR="00BF6D30" w:rsidRPr="00BF6D30" w:rsidRDefault="00BF6D30" w:rsidP="00BF6D30">
      <w:pPr>
        <w:spacing w:afterLines="50" w:after="190" w:line="440" w:lineRule="exact"/>
        <w:ind w:firstLine="480"/>
        <w:rPr>
          <w:rFonts w:ascii="Times New Roman" w:eastAsia="宋体" w:hAnsi="Times New Roman" w:cs="Times New Roman"/>
          <w:sz w:val="24"/>
          <w:szCs w:val="24"/>
        </w:rPr>
      </w:pPr>
      <w:r w:rsidRPr="00BF6D30">
        <w:rPr>
          <w:rFonts w:ascii="Times New Roman" w:eastAsia="宋体" w:hAnsi="Times New Roman" w:cs="Times New Roman" w:hint="eastAsia"/>
          <w:sz w:val="24"/>
          <w:szCs w:val="24"/>
        </w:rPr>
        <w:t>根据塔吉克斯坦《</w:t>
      </w:r>
      <w:r w:rsidRPr="00BF6D30">
        <w:rPr>
          <w:rFonts w:ascii="Times New Roman" w:eastAsia="宋体" w:hAnsi="Times New Roman" w:cs="Times New Roman" w:hint="eastAsia"/>
          <w:sz w:val="24"/>
          <w:szCs w:val="24"/>
        </w:rPr>
        <w:t>2023</w:t>
      </w:r>
      <w:r w:rsidRPr="00BF6D30">
        <w:rPr>
          <w:rFonts w:ascii="Times New Roman" w:eastAsia="宋体" w:hAnsi="Times New Roman" w:cs="Times New Roman" w:hint="eastAsia"/>
          <w:sz w:val="24"/>
          <w:szCs w:val="24"/>
        </w:rPr>
        <w:t>年修订企业法》</w:t>
      </w:r>
      <w:r w:rsidR="003D2F7C">
        <w:rPr>
          <w:rStyle w:val="af1"/>
          <w:rFonts w:ascii="Times New Roman" w:eastAsia="宋体" w:hAnsi="Times New Roman" w:cs="Times New Roman"/>
          <w:sz w:val="24"/>
          <w:szCs w:val="24"/>
        </w:rPr>
        <w:footnoteReference w:id="2"/>
      </w:r>
      <w:r w:rsidRPr="00BF6D30">
        <w:rPr>
          <w:rFonts w:ascii="Times New Roman" w:eastAsia="宋体" w:hAnsi="Times New Roman" w:cs="Times New Roman"/>
          <w:sz w:val="24"/>
          <w:szCs w:val="24"/>
        </w:rPr>
        <w:t>第二十条</w:t>
      </w:r>
      <w:r w:rsidRPr="00BF6D30">
        <w:rPr>
          <w:rFonts w:ascii="Times New Roman" w:eastAsia="宋体" w:hAnsi="Times New Roman" w:cs="Times New Roman" w:hint="eastAsia"/>
          <w:sz w:val="24"/>
          <w:szCs w:val="24"/>
        </w:rPr>
        <w:t>第二款，</w:t>
      </w:r>
      <w:r>
        <w:rPr>
          <w:rFonts w:ascii="Times New Roman" w:eastAsia="宋体" w:hAnsi="Times New Roman" w:cs="Times New Roman" w:hint="eastAsia"/>
          <w:sz w:val="24"/>
          <w:szCs w:val="24"/>
        </w:rPr>
        <w:t>“</w:t>
      </w:r>
      <w:r w:rsidRPr="00BF6D30">
        <w:rPr>
          <w:rFonts w:ascii="Times New Roman" w:eastAsia="宋体" w:hAnsi="Times New Roman" w:cs="Times New Roman"/>
          <w:sz w:val="24"/>
          <w:szCs w:val="24"/>
        </w:rPr>
        <w:t>企业的注册资本可以根据本法规定的不同企业形式或类型，由</w:t>
      </w:r>
      <w:r w:rsidRPr="00B72030">
        <w:rPr>
          <w:rFonts w:ascii="Times New Roman" w:eastAsia="宋体" w:hAnsi="Times New Roman" w:cs="Times New Roman"/>
          <w:b/>
          <w:bCs/>
          <w:sz w:val="24"/>
          <w:szCs w:val="24"/>
          <w:u w:val="single"/>
        </w:rPr>
        <w:t>实物</w:t>
      </w:r>
      <w:r w:rsidRPr="00BF6D30">
        <w:rPr>
          <w:rFonts w:ascii="Times New Roman" w:eastAsia="宋体" w:hAnsi="Times New Roman" w:cs="Times New Roman"/>
          <w:sz w:val="24"/>
          <w:szCs w:val="24"/>
        </w:rPr>
        <w:t>、货币或劳务构成</w:t>
      </w:r>
      <w:r>
        <w:rPr>
          <w:rFonts w:ascii="Times New Roman" w:eastAsia="宋体" w:hAnsi="Times New Roman" w:cs="Times New Roman" w:hint="eastAsia"/>
          <w:sz w:val="24"/>
          <w:szCs w:val="24"/>
        </w:rPr>
        <w:t>”</w:t>
      </w:r>
      <w:r w:rsidRPr="00BF6D30">
        <w:rPr>
          <w:rFonts w:ascii="Times New Roman" w:eastAsia="宋体" w:hAnsi="Times New Roman" w:cs="Times New Roman"/>
          <w:sz w:val="24"/>
          <w:szCs w:val="24"/>
        </w:rPr>
        <w:t>。</w:t>
      </w:r>
    </w:p>
    <w:p w14:paraId="55A6FB00" w14:textId="4BF3B02E" w:rsidR="00444EBD" w:rsidRDefault="00444EBD" w:rsidP="00444EBD">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根据塔吉克斯坦《</w:t>
      </w:r>
      <w:r>
        <w:rPr>
          <w:rFonts w:ascii="Times New Roman" w:eastAsia="宋体" w:hAnsi="Times New Roman" w:cs="Times New Roman" w:hint="eastAsia"/>
          <w:sz w:val="24"/>
          <w:szCs w:val="24"/>
        </w:rPr>
        <w:t>2025</w:t>
      </w:r>
      <w:r w:rsidRPr="00444EBD">
        <w:rPr>
          <w:rFonts w:ascii="Times New Roman" w:eastAsia="宋体" w:hAnsi="Times New Roman" w:cs="Times New Roman"/>
          <w:sz w:val="24"/>
          <w:szCs w:val="24"/>
        </w:rPr>
        <w:t>资本和促进投资活动</w:t>
      </w:r>
      <w:r w:rsidRPr="00444EBD">
        <w:rPr>
          <w:rFonts w:ascii="Times New Roman" w:eastAsia="宋体" w:hAnsi="Times New Roman" w:cs="Times New Roman" w:hint="eastAsia"/>
          <w:sz w:val="24"/>
          <w:szCs w:val="24"/>
        </w:rPr>
        <w:t>法》</w:t>
      </w:r>
      <w:r w:rsidR="003D2F7C">
        <w:rPr>
          <w:rStyle w:val="af1"/>
          <w:rFonts w:ascii="Times New Roman" w:eastAsia="宋体" w:hAnsi="Times New Roman" w:cs="Times New Roman"/>
          <w:sz w:val="24"/>
          <w:szCs w:val="24"/>
        </w:rPr>
        <w:footnoteReference w:id="3"/>
      </w:r>
      <w:r>
        <w:rPr>
          <w:rFonts w:ascii="Times New Roman" w:eastAsia="宋体" w:hAnsi="Times New Roman" w:cs="Times New Roman" w:hint="eastAsia"/>
          <w:sz w:val="24"/>
          <w:szCs w:val="24"/>
        </w:rPr>
        <w:t>第四条第一款，</w:t>
      </w:r>
      <w:r w:rsidRPr="00444EBD">
        <w:rPr>
          <w:rFonts w:ascii="Times New Roman" w:eastAsia="宋体" w:hAnsi="Times New Roman" w:cs="Times New Roman"/>
          <w:sz w:val="24"/>
          <w:szCs w:val="24"/>
        </w:rPr>
        <w:t>资本可以采取以下形式：本国货币或外国货币，包括自有资金以及借款或赠款资金；</w:t>
      </w:r>
      <w:r w:rsidRPr="00444EBD">
        <w:rPr>
          <w:rFonts w:ascii="Times New Roman" w:eastAsia="宋体" w:hAnsi="Times New Roman" w:cs="Times New Roman"/>
          <w:b/>
          <w:bCs/>
          <w:sz w:val="24"/>
          <w:szCs w:val="24"/>
          <w:u w:val="single"/>
        </w:rPr>
        <w:t>动产和不动产</w:t>
      </w:r>
      <w:r w:rsidRPr="00444EBD">
        <w:rPr>
          <w:rFonts w:ascii="Times New Roman" w:eastAsia="宋体" w:hAnsi="Times New Roman" w:cs="Times New Roman"/>
          <w:sz w:val="24"/>
          <w:szCs w:val="24"/>
        </w:rPr>
        <w:t>；财产权（土地使用权、其他自然资源使用权、抵押权、留置权、质权以及所有权产生的其他物权等）；股份、股权以及在法人章程资本中的其他参与形式；债券、其他债务工具和长期存款；无形权利，包括知识产权、商业信誉（商誉）、商标、工业品外观设计、工艺流程、厂商名称等；基于塔吉克斯坦共和国法律许可的授权、许可证或其他形式从事任何活动的权利；塔吉克斯坦共和国法律规定的特许权，包括勘探、开采或使用自然资源的特许权；在塔吉克斯坦共和国境内再投资的来源于投资的利润或收益；以货币形式体现的技术援助；从非居民处吸引的贷款；商业信贷；预付款，包括合同项下的预付款；塔吉克斯坦共和国法律未限制流通的其他义务、资本形式和民事权利客体。</w:t>
      </w:r>
    </w:p>
    <w:p w14:paraId="023E35CF" w14:textId="3073E88B" w:rsidR="003D2F7C" w:rsidRPr="00444EBD" w:rsidRDefault="003D2F7C" w:rsidP="00444EBD">
      <w:pPr>
        <w:spacing w:afterLines="50" w:after="190" w:line="440" w:lineRule="exact"/>
        <w:ind w:firstLine="48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根据相关物流公司的经验</w:t>
      </w:r>
      <w:r>
        <w:rPr>
          <w:rStyle w:val="af1"/>
          <w:rFonts w:ascii="Times New Roman" w:eastAsia="宋体" w:hAnsi="Times New Roman" w:cs="Times New Roman"/>
          <w:sz w:val="24"/>
          <w:szCs w:val="24"/>
        </w:rPr>
        <w:footnoteReference w:id="4"/>
      </w:r>
      <w:r>
        <w:rPr>
          <w:rFonts w:ascii="Times New Roman" w:eastAsia="宋体" w:hAnsi="Times New Roman" w:cs="Times New Roman" w:hint="eastAsia"/>
          <w:sz w:val="24"/>
          <w:szCs w:val="24"/>
        </w:rPr>
        <w:t>，在塔吉克斯坦进口二手产品的，通常需要提供取得当</w:t>
      </w:r>
      <w:r>
        <w:rPr>
          <w:rFonts w:ascii="Times New Roman" w:eastAsia="宋体" w:hAnsi="Times New Roman" w:cs="Times New Roman" w:hint="eastAsia"/>
          <w:sz w:val="24"/>
          <w:szCs w:val="24"/>
        </w:rPr>
        <w:lastRenderedPageBreak/>
        <w:t>地海关的估值证书，并获得海关的进口批准。</w:t>
      </w:r>
    </w:p>
    <w:p w14:paraId="26B1507E" w14:textId="01F801A6" w:rsidR="00250473" w:rsidRPr="00444EBD" w:rsidRDefault="00250473" w:rsidP="00444EBD">
      <w:pPr>
        <w:spacing w:afterLines="50" w:after="190" w:line="440" w:lineRule="exact"/>
        <w:ind w:firstLine="480"/>
        <w:rPr>
          <w:rFonts w:ascii="Times New Roman" w:eastAsia="宋体" w:hAnsi="Times New Roman" w:cs="Times New Roman"/>
          <w:sz w:val="24"/>
          <w:szCs w:val="24"/>
        </w:rPr>
      </w:pPr>
    </w:p>
    <w:p w14:paraId="12A902C5" w14:textId="77777777" w:rsidR="00FC29FE" w:rsidRDefault="00000000">
      <w:pPr>
        <w:numPr>
          <w:ilvl w:val="0"/>
          <w:numId w:val="1"/>
        </w:num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关于塔吉克斯坦的公司治理规则</w:t>
      </w:r>
    </w:p>
    <w:p w14:paraId="78DC0386"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塔吉克斯坦实行成文法体系，公司法律制度主要以《塔吉克斯坦共和国民法典》以及专门的公司法律（如《有限责任公司法》《股份公司法》）为基础，并辅以《税法》《投资法》及相关监管规范共同构成。该公司制度在结构和逻辑上部分借鉴了俄罗斯及其他独联体国家的立法模式，同时又结合本国经济发展特点进行了本土化调整。</w:t>
      </w:r>
    </w:p>
    <w:p w14:paraId="2B802238"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企业组织形式以有限责任公司（</w:t>
      </w:r>
      <w:r>
        <w:rPr>
          <w:rFonts w:ascii="Times New Roman" w:eastAsia="宋体" w:hAnsi="Times New Roman" w:cs="Times New Roman"/>
          <w:sz w:val="24"/>
          <w:szCs w:val="24"/>
        </w:rPr>
        <w:t>LLC</w:t>
      </w:r>
      <w:r>
        <w:rPr>
          <w:rFonts w:ascii="Times New Roman" w:eastAsia="宋体" w:hAnsi="Times New Roman" w:cs="Times New Roman"/>
          <w:sz w:val="24"/>
          <w:szCs w:val="24"/>
        </w:rPr>
        <w:t>）和股份公司（</w:t>
      </w:r>
      <w:r>
        <w:rPr>
          <w:rFonts w:ascii="Times New Roman" w:eastAsia="宋体" w:hAnsi="Times New Roman" w:cs="Times New Roman"/>
          <w:sz w:val="24"/>
          <w:szCs w:val="24"/>
        </w:rPr>
        <w:t>JSC</w:t>
      </w:r>
      <w:r>
        <w:rPr>
          <w:rFonts w:ascii="Times New Roman" w:eastAsia="宋体" w:hAnsi="Times New Roman" w:cs="Times New Roman"/>
          <w:sz w:val="24"/>
          <w:szCs w:val="24"/>
        </w:rPr>
        <w:t>）为主，其中有限责任公司因设立程序简便、股东责任有限而成为外资企业最常采用的结构。塔吉克斯坦对外资总体持开放态度，外资企业与本地企业在设立要求和基本权利义务上大体一致，但在航空、国防、公共安全及执法等敏感行业，政府保留特别审批权限，用以平衡经济开放与国家安全需要。</w:t>
      </w:r>
    </w:p>
    <w:p w14:paraId="6DAD7F74"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在注册环节，所有公司必须在司法部下属的国家注册局完成登记方可取得法人资格，登记信息包括公司章程、注册资本、股东构成、经营范围以及高管人员等。塔吉克斯坦采用</w:t>
      </w:r>
      <w:r>
        <w:rPr>
          <w:rFonts w:ascii="Times New Roman" w:eastAsia="宋体" w:hAnsi="Times New Roman" w:cs="Times New Roman"/>
          <w:sz w:val="24"/>
          <w:szCs w:val="24"/>
        </w:rPr>
        <w:t>“</w:t>
      </w:r>
      <w:r>
        <w:rPr>
          <w:rFonts w:ascii="Times New Roman" w:eastAsia="宋体" w:hAnsi="Times New Roman" w:cs="Times New Roman"/>
          <w:sz w:val="24"/>
          <w:szCs w:val="24"/>
        </w:rPr>
        <w:t>登记生效主义</w:t>
      </w:r>
      <w:r>
        <w:rPr>
          <w:rFonts w:ascii="Times New Roman" w:eastAsia="宋体" w:hAnsi="Times New Roman" w:cs="Times New Roman"/>
          <w:sz w:val="24"/>
          <w:szCs w:val="24"/>
        </w:rPr>
        <w:t>”</w:t>
      </w:r>
      <w:r>
        <w:rPr>
          <w:rFonts w:ascii="Times New Roman" w:eastAsia="宋体" w:hAnsi="Times New Roman" w:cs="Times New Roman"/>
          <w:sz w:val="24"/>
          <w:szCs w:val="24"/>
        </w:rPr>
        <w:t>，即公司自注册完成之日起即可取得法人资格并开展经营活动。</w:t>
      </w:r>
    </w:p>
    <w:p w14:paraId="33FF7F6D"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在公司治理方面，有限责任公司通常设有股东大会和执行机构，股份公司则需建立董事会、监事会等更复杂的治理架构。法律要求公司必须保持完整的财务记录，并定期向税务机关和相关主管部门提交报告，以确保企业经营的合法性和透明度。此外，塔吉克斯坦税制以利润税和增值税为核心，对外资企业同样适用，部分自由经济区可提供税收减免和行政便利，但需严格遵循注册地的监管要求。</w:t>
      </w:r>
    </w:p>
    <w:p w14:paraId="6BC83CDB" w14:textId="77777777" w:rsidR="00FC29FE" w:rsidRDefault="00FC29FE">
      <w:pPr>
        <w:spacing w:afterLines="50" w:after="190" w:line="440" w:lineRule="exact"/>
        <w:ind w:firstLineChars="0" w:firstLine="0"/>
        <w:rPr>
          <w:rFonts w:ascii="Times New Roman" w:eastAsia="宋体" w:hAnsi="Times New Roman" w:cs="Times New Roman"/>
          <w:sz w:val="24"/>
          <w:szCs w:val="24"/>
        </w:rPr>
      </w:pPr>
    </w:p>
    <w:p w14:paraId="7BD3899A" w14:textId="77777777" w:rsidR="00FC29FE" w:rsidRDefault="00000000">
      <w:pPr>
        <w:numPr>
          <w:ilvl w:val="0"/>
          <w:numId w:val="1"/>
        </w:num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企业税收</w:t>
      </w:r>
    </w:p>
    <w:p w14:paraId="7D52D64C" w14:textId="77777777" w:rsidR="00FC29FE" w:rsidRDefault="00000000">
      <w:pPr>
        <w:numPr>
          <w:ilvl w:val="0"/>
          <w:numId w:val="3"/>
        </w:num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税收体系和制度</w:t>
      </w:r>
    </w:p>
    <w:p w14:paraId="6DF41D77"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塔吉克斯坦税收主管部门是国家税收委员会。各类企业目前所涉及的税种共有</w:t>
      </w:r>
      <w:r>
        <w:rPr>
          <w:rFonts w:ascii="Times New Roman" w:eastAsia="宋体" w:hAnsi="Times New Roman" w:cs="Times New Roman"/>
          <w:sz w:val="24"/>
          <w:szCs w:val="24"/>
        </w:rPr>
        <w:t>10</w:t>
      </w:r>
      <w:r>
        <w:rPr>
          <w:rFonts w:ascii="Times New Roman" w:eastAsia="宋体" w:hAnsi="Times New Roman" w:cs="Times New Roman"/>
          <w:sz w:val="24"/>
          <w:szCs w:val="24"/>
        </w:rPr>
        <w:t>项，其中，国税</w:t>
      </w:r>
      <w:r>
        <w:rPr>
          <w:rFonts w:ascii="Times New Roman" w:eastAsia="宋体" w:hAnsi="Times New Roman" w:cs="Times New Roman"/>
          <w:sz w:val="24"/>
          <w:szCs w:val="24"/>
        </w:rPr>
        <w:t>8</w:t>
      </w:r>
      <w:r>
        <w:rPr>
          <w:rFonts w:ascii="Times New Roman" w:eastAsia="宋体" w:hAnsi="Times New Roman" w:cs="Times New Roman"/>
          <w:sz w:val="24"/>
          <w:szCs w:val="24"/>
        </w:rPr>
        <w:t>项、地税</w:t>
      </w:r>
      <w:r>
        <w:rPr>
          <w:rFonts w:ascii="Times New Roman" w:eastAsia="宋体" w:hAnsi="Times New Roman" w:cs="Times New Roman"/>
          <w:sz w:val="24"/>
          <w:szCs w:val="24"/>
        </w:rPr>
        <w:t>2</w:t>
      </w:r>
      <w:r>
        <w:rPr>
          <w:rFonts w:ascii="Times New Roman" w:eastAsia="宋体" w:hAnsi="Times New Roman" w:cs="Times New Roman"/>
          <w:sz w:val="24"/>
          <w:szCs w:val="24"/>
        </w:rPr>
        <w:t>项。实行属地税制。</w:t>
      </w:r>
    </w:p>
    <w:p w14:paraId="491B41CF" w14:textId="77777777" w:rsidR="00FC29FE" w:rsidRDefault="00000000">
      <w:pPr>
        <w:numPr>
          <w:ilvl w:val="0"/>
          <w:numId w:val="3"/>
        </w:num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主要税赋和税率</w:t>
      </w:r>
    </w:p>
    <w:tbl>
      <w:tblPr>
        <w:tblStyle w:val="ac"/>
        <w:tblW w:w="5000" w:type="pct"/>
        <w:tblLook w:val="04A0" w:firstRow="1" w:lastRow="0" w:firstColumn="1" w:lastColumn="0" w:noHBand="0" w:noVBand="1"/>
      </w:tblPr>
      <w:tblGrid>
        <w:gridCol w:w="2635"/>
        <w:gridCol w:w="6381"/>
      </w:tblGrid>
      <w:tr w:rsidR="00FC29FE" w14:paraId="31608834" w14:textId="77777777">
        <w:tc>
          <w:tcPr>
            <w:tcW w:w="2699" w:type="dxa"/>
            <w:vAlign w:val="center"/>
          </w:tcPr>
          <w:p w14:paraId="35B88B79" w14:textId="77777777" w:rsidR="00FC29FE" w:rsidRDefault="00000000">
            <w:pPr>
              <w:spacing w:afterLines="50" w:after="190" w:line="440" w:lineRule="exact"/>
              <w:ind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税种</w:t>
            </w:r>
          </w:p>
        </w:tc>
        <w:tc>
          <w:tcPr>
            <w:tcW w:w="6543" w:type="dxa"/>
          </w:tcPr>
          <w:p w14:paraId="03CB82AB" w14:textId="77777777" w:rsidR="00FC29FE" w:rsidRDefault="00000000">
            <w:pPr>
              <w:spacing w:afterLines="50" w:after="190" w:line="440" w:lineRule="exact"/>
              <w:ind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税率</w:t>
            </w:r>
          </w:p>
        </w:tc>
      </w:tr>
      <w:tr w:rsidR="00FC29FE" w14:paraId="51AD5D40" w14:textId="77777777">
        <w:tc>
          <w:tcPr>
            <w:tcW w:w="2699" w:type="dxa"/>
            <w:vAlign w:val="center"/>
          </w:tcPr>
          <w:p w14:paraId="5F560190" w14:textId="77777777" w:rsidR="00FC29FE" w:rsidRDefault="00000000">
            <w:pPr>
              <w:spacing w:afterLines="50" w:after="190" w:line="440" w:lineRule="exact"/>
              <w:ind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增值税</w:t>
            </w:r>
          </w:p>
        </w:tc>
        <w:tc>
          <w:tcPr>
            <w:tcW w:w="6543" w:type="dxa"/>
          </w:tcPr>
          <w:p w14:paraId="0186E6E1"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标准税率</w:t>
            </w:r>
            <w:r>
              <w:rPr>
                <w:rFonts w:ascii="Times New Roman" w:eastAsia="宋体" w:hAnsi="Times New Roman" w:cs="Times New Roman" w:hint="eastAsia"/>
                <w:sz w:val="24"/>
                <w:szCs w:val="24"/>
              </w:rPr>
              <w:t>15%</w:t>
            </w:r>
          </w:p>
          <w:p w14:paraId="2F53F8FE"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建筑、宾馆服务业和公共餐饮业的优惠税率</w:t>
            </w:r>
            <w:r>
              <w:rPr>
                <w:rFonts w:ascii="Times New Roman" w:eastAsia="宋体" w:hAnsi="Times New Roman" w:cs="Times New Roman" w:hint="eastAsia"/>
                <w:sz w:val="24"/>
                <w:szCs w:val="24"/>
              </w:rPr>
              <w:t>7%</w:t>
            </w:r>
          </w:p>
          <w:p w14:paraId="4383E50B"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本国农产品销售、农产品加工、教育服务、医疗服务业的优惠税率</w:t>
            </w:r>
            <w:r>
              <w:rPr>
                <w:rFonts w:ascii="Times New Roman" w:eastAsia="宋体" w:hAnsi="Times New Roman" w:cs="Times New Roman" w:hint="eastAsia"/>
                <w:sz w:val="24"/>
                <w:szCs w:val="24"/>
              </w:rPr>
              <w:t>5%</w:t>
            </w:r>
          </w:p>
          <w:p w14:paraId="35F6A1E3"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应税业务和应税进口贸易的增值税税率自</w:t>
            </w:r>
            <w:r>
              <w:rPr>
                <w:rFonts w:ascii="Times New Roman" w:eastAsia="宋体" w:hAnsi="Times New Roman" w:cs="Times New Roman" w:hint="eastAsia"/>
                <w:sz w:val="24"/>
                <w:szCs w:val="24"/>
              </w:rPr>
              <w:t>2024</w:t>
            </w:r>
            <w:r>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月</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日至</w:t>
            </w:r>
            <w:r>
              <w:rPr>
                <w:rFonts w:ascii="Times New Roman" w:eastAsia="宋体" w:hAnsi="Times New Roman" w:cs="Times New Roman" w:hint="eastAsia"/>
                <w:sz w:val="24"/>
                <w:szCs w:val="24"/>
              </w:rPr>
              <w:t>2026</w:t>
            </w:r>
            <w:r>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12</w:t>
            </w:r>
            <w:r>
              <w:rPr>
                <w:rFonts w:ascii="Times New Roman" w:eastAsia="宋体" w:hAnsi="Times New Roman" w:cs="Times New Roman" w:hint="eastAsia"/>
                <w:sz w:val="24"/>
                <w:szCs w:val="24"/>
              </w:rPr>
              <w:t>月</w:t>
            </w:r>
            <w:r>
              <w:rPr>
                <w:rFonts w:ascii="Times New Roman" w:eastAsia="宋体" w:hAnsi="Times New Roman" w:cs="Times New Roman" w:hint="eastAsia"/>
                <w:sz w:val="24"/>
                <w:szCs w:val="24"/>
              </w:rPr>
              <w:t>31</w:t>
            </w:r>
            <w:r>
              <w:rPr>
                <w:rFonts w:ascii="Times New Roman" w:eastAsia="宋体" w:hAnsi="Times New Roman" w:cs="Times New Roman" w:hint="eastAsia"/>
                <w:sz w:val="24"/>
                <w:szCs w:val="24"/>
              </w:rPr>
              <w:t>日为</w:t>
            </w:r>
            <w:r>
              <w:rPr>
                <w:rFonts w:ascii="Times New Roman" w:eastAsia="宋体" w:hAnsi="Times New Roman" w:cs="Times New Roman" w:hint="eastAsia"/>
                <w:sz w:val="24"/>
                <w:szCs w:val="24"/>
              </w:rPr>
              <w:t>14%</w:t>
            </w:r>
            <w:r>
              <w:rPr>
                <w:rFonts w:ascii="Times New Roman" w:eastAsia="宋体" w:hAnsi="Times New Roman" w:cs="Times New Roman" w:hint="eastAsia"/>
                <w:sz w:val="24"/>
                <w:szCs w:val="24"/>
              </w:rPr>
              <w:t>，自</w:t>
            </w:r>
            <w:r>
              <w:rPr>
                <w:rFonts w:ascii="Times New Roman" w:eastAsia="宋体" w:hAnsi="Times New Roman" w:cs="Times New Roman" w:hint="eastAsia"/>
                <w:sz w:val="24"/>
                <w:szCs w:val="24"/>
              </w:rPr>
              <w:t>2027</w:t>
            </w:r>
            <w:r>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月</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日起为</w:t>
            </w:r>
            <w:r>
              <w:rPr>
                <w:rFonts w:ascii="Times New Roman" w:eastAsia="宋体" w:hAnsi="Times New Roman" w:cs="Times New Roman" w:hint="eastAsia"/>
                <w:sz w:val="24"/>
                <w:szCs w:val="24"/>
              </w:rPr>
              <w:t>13%</w:t>
            </w:r>
          </w:p>
        </w:tc>
      </w:tr>
      <w:tr w:rsidR="00FC29FE" w14:paraId="1BAE31FA" w14:textId="77777777">
        <w:tc>
          <w:tcPr>
            <w:tcW w:w="2699" w:type="dxa"/>
            <w:vAlign w:val="center"/>
          </w:tcPr>
          <w:p w14:paraId="02DF4DA6" w14:textId="77777777" w:rsidR="00FC29FE" w:rsidRDefault="00000000">
            <w:pPr>
              <w:spacing w:afterLines="50" w:after="190" w:line="440" w:lineRule="exact"/>
              <w:ind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消费税</w:t>
            </w:r>
          </w:p>
        </w:tc>
        <w:tc>
          <w:tcPr>
            <w:tcW w:w="6543" w:type="dxa"/>
          </w:tcPr>
          <w:p w14:paraId="4BB29446"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通信服务的税率为</w:t>
            </w:r>
            <w:r>
              <w:rPr>
                <w:rFonts w:ascii="Times New Roman" w:eastAsia="宋体" w:hAnsi="Times New Roman" w:cs="Times New Roman" w:hint="eastAsia"/>
                <w:sz w:val="24"/>
                <w:szCs w:val="24"/>
              </w:rPr>
              <w:t>7%</w:t>
            </w:r>
          </w:p>
          <w:p w14:paraId="1CEF1966"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出口环节的自然资源消费税税率：</w:t>
            </w:r>
            <w:r>
              <w:rPr>
                <w:rFonts w:ascii="Times New Roman" w:eastAsia="宋体" w:hAnsi="Times New Roman" w:cs="Times New Roman" w:hint="eastAsia"/>
                <w:sz w:val="24"/>
                <w:szCs w:val="24"/>
              </w:rPr>
              <w:t>2023</w:t>
            </w:r>
            <w:r>
              <w:rPr>
                <w:rFonts w:ascii="Times New Roman" w:eastAsia="宋体" w:hAnsi="Times New Roman" w:cs="Times New Roman" w:hint="eastAsia"/>
                <w:sz w:val="24"/>
                <w:szCs w:val="24"/>
              </w:rPr>
              <w:t>年前为</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2025</w:t>
            </w:r>
            <w:r>
              <w:rPr>
                <w:rFonts w:ascii="Times New Roman" w:eastAsia="宋体" w:hAnsi="Times New Roman" w:cs="Times New Roman" w:hint="eastAsia"/>
                <w:sz w:val="24"/>
                <w:szCs w:val="24"/>
              </w:rPr>
              <w:t>年前为</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2027</w:t>
            </w:r>
            <w:r>
              <w:rPr>
                <w:rFonts w:ascii="Times New Roman" w:eastAsia="宋体" w:hAnsi="Times New Roman" w:cs="Times New Roman" w:hint="eastAsia"/>
                <w:sz w:val="24"/>
                <w:szCs w:val="24"/>
              </w:rPr>
              <w:t>年前为</w:t>
            </w:r>
            <w:r>
              <w:rPr>
                <w:rFonts w:ascii="Times New Roman" w:eastAsia="宋体" w:hAnsi="Times New Roman" w:cs="Times New Roman" w:hint="eastAsia"/>
                <w:sz w:val="24"/>
                <w:szCs w:val="24"/>
              </w:rPr>
              <w:t>6%</w:t>
            </w:r>
          </w:p>
        </w:tc>
      </w:tr>
      <w:tr w:rsidR="00FC29FE" w14:paraId="45717B0E" w14:textId="77777777">
        <w:tc>
          <w:tcPr>
            <w:tcW w:w="2699" w:type="dxa"/>
            <w:vAlign w:val="center"/>
          </w:tcPr>
          <w:p w14:paraId="04C00815" w14:textId="77777777" w:rsidR="00FC29FE" w:rsidRDefault="00000000">
            <w:pPr>
              <w:spacing w:afterLines="50" w:after="190" w:line="440" w:lineRule="exact"/>
              <w:ind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社会税</w:t>
            </w:r>
          </w:p>
        </w:tc>
        <w:tc>
          <w:tcPr>
            <w:tcW w:w="6543" w:type="dxa"/>
          </w:tcPr>
          <w:p w14:paraId="5602D350"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国家机构参保单位</w:t>
            </w:r>
            <w:r>
              <w:rPr>
                <w:rFonts w:ascii="Times New Roman" w:eastAsia="宋体" w:hAnsi="Times New Roman" w:cs="Times New Roman" w:hint="eastAsia"/>
                <w:sz w:val="24"/>
                <w:szCs w:val="24"/>
              </w:rPr>
              <w:t>25%</w:t>
            </w:r>
            <w:r>
              <w:rPr>
                <w:rFonts w:ascii="Times New Roman" w:eastAsia="宋体" w:hAnsi="Times New Roman" w:cs="Times New Roman" w:hint="eastAsia"/>
                <w:sz w:val="24"/>
                <w:szCs w:val="24"/>
              </w:rPr>
              <w:t>、参保人</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其他机构参保单位</w:t>
            </w:r>
            <w:r>
              <w:rPr>
                <w:rFonts w:ascii="Times New Roman" w:eastAsia="宋体" w:hAnsi="Times New Roman" w:cs="Times New Roman" w:hint="eastAsia"/>
                <w:sz w:val="24"/>
                <w:szCs w:val="24"/>
              </w:rPr>
              <w:t>20%</w:t>
            </w:r>
            <w:r>
              <w:rPr>
                <w:rFonts w:ascii="Times New Roman" w:eastAsia="宋体" w:hAnsi="Times New Roman" w:cs="Times New Roman" w:hint="eastAsia"/>
                <w:sz w:val="24"/>
                <w:szCs w:val="24"/>
              </w:rPr>
              <w:t>、参保人</w:t>
            </w:r>
            <w:r>
              <w:rPr>
                <w:rFonts w:ascii="Times New Roman" w:eastAsia="宋体" w:hAnsi="Times New Roman" w:cs="Times New Roman" w:hint="eastAsia"/>
                <w:sz w:val="24"/>
                <w:szCs w:val="24"/>
              </w:rPr>
              <w:t>2%</w:t>
            </w:r>
          </w:p>
        </w:tc>
      </w:tr>
      <w:tr w:rsidR="00FC29FE" w14:paraId="4E8C892B" w14:textId="77777777">
        <w:tc>
          <w:tcPr>
            <w:tcW w:w="2699" w:type="dxa"/>
            <w:vAlign w:val="center"/>
          </w:tcPr>
          <w:p w14:paraId="2D8A9D81" w14:textId="77777777" w:rsidR="00FC29FE" w:rsidRDefault="00000000">
            <w:pPr>
              <w:spacing w:afterLines="50" w:after="190" w:line="440" w:lineRule="exact"/>
              <w:ind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自然人所得税</w:t>
            </w:r>
          </w:p>
        </w:tc>
        <w:tc>
          <w:tcPr>
            <w:tcW w:w="6543" w:type="dxa"/>
          </w:tcPr>
          <w:p w14:paraId="39C93A67"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免税收入为</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个结算单位</w:t>
            </w:r>
          </w:p>
          <w:p w14:paraId="77D24167"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可扣除占收入总额</w:t>
            </w:r>
            <w:r>
              <w:rPr>
                <w:rFonts w:ascii="Times New Roman" w:eastAsia="宋体" w:hAnsi="Times New Roman" w:cs="Times New Roman" w:hint="eastAsia"/>
                <w:sz w:val="24"/>
                <w:szCs w:val="24"/>
              </w:rPr>
              <w:t>10%</w:t>
            </w:r>
            <w:r>
              <w:rPr>
                <w:rFonts w:ascii="Times New Roman" w:eastAsia="宋体" w:hAnsi="Times New Roman" w:cs="Times New Roman" w:hint="eastAsia"/>
                <w:sz w:val="24"/>
                <w:szCs w:val="24"/>
              </w:rPr>
              <w:t>的非现金支出</w:t>
            </w:r>
          </w:p>
          <w:p w14:paraId="58241144"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在主要工作地的所得税税率为</w:t>
            </w:r>
            <w:r>
              <w:rPr>
                <w:rFonts w:ascii="Times New Roman" w:eastAsia="宋体" w:hAnsi="Times New Roman" w:cs="Times New Roman" w:hint="eastAsia"/>
                <w:sz w:val="24"/>
                <w:szCs w:val="24"/>
              </w:rPr>
              <w:t>12%</w:t>
            </w:r>
          </w:p>
          <w:p w14:paraId="7AB7397D"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非侨民收入的税率为</w:t>
            </w:r>
            <w:r>
              <w:rPr>
                <w:rFonts w:ascii="Times New Roman" w:eastAsia="宋体" w:hAnsi="Times New Roman" w:cs="Times New Roman" w:hint="eastAsia"/>
                <w:sz w:val="24"/>
                <w:szCs w:val="24"/>
              </w:rPr>
              <w:t>20%</w:t>
            </w:r>
          </w:p>
          <w:p w14:paraId="62255DCE"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其他收入的为</w:t>
            </w:r>
            <w:r>
              <w:rPr>
                <w:rFonts w:ascii="Times New Roman" w:eastAsia="宋体" w:hAnsi="Times New Roman" w:cs="Times New Roman" w:hint="eastAsia"/>
                <w:sz w:val="24"/>
                <w:szCs w:val="24"/>
              </w:rPr>
              <w:t>15%</w:t>
            </w:r>
          </w:p>
        </w:tc>
      </w:tr>
      <w:tr w:rsidR="00FC29FE" w14:paraId="2642E49F" w14:textId="77777777">
        <w:tc>
          <w:tcPr>
            <w:tcW w:w="2699" w:type="dxa"/>
            <w:vAlign w:val="center"/>
          </w:tcPr>
          <w:p w14:paraId="00770E97" w14:textId="77777777" w:rsidR="00FC29FE" w:rsidRDefault="00000000">
            <w:pPr>
              <w:spacing w:afterLines="50" w:after="190" w:line="440" w:lineRule="exact"/>
              <w:ind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法人所得税</w:t>
            </w:r>
          </w:p>
        </w:tc>
        <w:tc>
          <w:tcPr>
            <w:tcW w:w="6543" w:type="dxa"/>
          </w:tcPr>
          <w:p w14:paraId="727773C5"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各种经营活动的税率为</w:t>
            </w:r>
            <w:r>
              <w:rPr>
                <w:rFonts w:ascii="Times New Roman" w:eastAsia="宋体" w:hAnsi="Times New Roman" w:cs="Times New Roman" w:hint="eastAsia"/>
                <w:sz w:val="24"/>
                <w:szCs w:val="24"/>
              </w:rPr>
              <w:t>18%</w:t>
            </w:r>
          </w:p>
          <w:p w14:paraId="6BA14041"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信贷机构和移动公司的税率为</w:t>
            </w:r>
            <w:r>
              <w:rPr>
                <w:rFonts w:ascii="Times New Roman" w:eastAsia="宋体" w:hAnsi="Times New Roman" w:cs="Times New Roman" w:hint="eastAsia"/>
                <w:sz w:val="24"/>
                <w:szCs w:val="24"/>
              </w:rPr>
              <w:t>20%</w:t>
            </w:r>
          </w:p>
          <w:p w14:paraId="242AF460"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生产活动的税率为</w:t>
            </w:r>
            <w:r>
              <w:rPr>
                <w:rFonts w:ascii="Times New Roman" w:eastAsia="宋体" w:hAnsi="Times New Roman" w:cs="Times New Roman" w:hint="eastAsia"/>
                <w:sz w:val="24"/>
                <w:szCs w:val="24"/>
              </w:rPr>
              <w:t>13%</w:t>
            </w:r>
            <w:r>
              <w:rPr>
                <w:rFonts w:ascii="Times New Roman" w:eastAsia="宋体" w:hAnsi="Times New Roman" w:cs="Times New Roman" w:hint="eastAsia"/>
                <w:sz w:val="24"/>
                <w:szCs w:val="24"/>
              </w:rPr>
              <w:t>（自</w:t>
            </w:r>
            <w:r>
              <w:rPr>
                <w:rFonts w:ascii="Times New Roman" w:eastAsia="宋体" w:hAnsi="Times New Roman" w:cs="Times New Roman" w:hint="eastAsia"/>
                <w:sz w:val="24"/>
                <w:szCs w:val="24"/>
              </w:rPr>
              <w:t>2026</w:t>
            </w:r>
            <w:r>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月</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日起为</w:t>
            </w:r>
            <w:r>
              <w:rPr>
                <w:rFonts w:ascii="Times New Roman" w:eastAsia="宋体" w:hAnsi="Times New Roman" w:cs="Times New Roman" w:hint="eastAsia"/>
                <w:sz w:val="24"/>
                <w:szCs w:val="24"/>
              </w:rPr>
              <w:t>18%</w:t>
            </w:r>
            <w:r>
              <w:rPr>
                <w:rFonts w:ascii="Times New Roman" w:eastAsia="宋体" w:hAnsi="Times New Roman" w:cs="Times New Roman" w:hint="eastAsia"/>
                <w:sz w:val="24"/>
                <w:szCs w:val="24"/>
              </w:rPr>
              <w:t>）</w:t>
            </w:r>
          </w:p>
          <w:p w14:paraId="1EEDDCF8" w14:textId="77777777" w:rsidR="00FC29FE" w:rsidRDefault="00000000">
            <w:pPr>
              <w:spacing w:afterLines="50" w:after="190" w:line="440" w:lineRule="exact"/>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自然资源开发的税率为</w:t>
            </w:r>
            <w:r>
              <w:rPr>
                <w:rFonts w:ascii="Times New Roman" w:eastAsia="宋体" w:hAnsi="Times New Roman" w:cs="Times New Roman" w:hint="eastAsia"/>
                <w:sz w:val="24"/>
                <w:szCs w:val="24"/>
              </w:rPr>
              <w:t>18%</w:t>
            </w:r>
          </w:p>
        </w:tc>
      </w:tr>
    </w:tbl>
    <w:p w14:paraId="6F496906" w14:textId="77777777" w:rsidR="00FC29FE" w:rsidRDefault="00FC29FE">
      <w:pPr>
        <w:spacing w:afterLines="50" w:after="190" w:line="440" w:lineRule="exact"/>
        <w:ind w:firstLineChars="0" w:firstLine="0"/>
        <w:rPr>
          <w:rFonts w:ascii="Times New Roman" w:eastAsia="宋体" w:hAnsi="Times New Roman" w:cs="Times New Roman"/>
          <w:sz w:val="24"/>
          <w:szCs w:val="24"/>
        </w:rPr>
      </w:pPr>
    </w:p>
    <w:p w14:paraId="6E4EED09" w14:textId="77777777" w:rsidR="00FC29FE" w:rsidRDefault="00000000">
      <w:pPr>
        <w:numPr>
          <w:ilvl w:val="0"/>
          <w:numId w:val="1"/>
        </w:num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关于外国企业在塔吉克斯坦获得土地的规定</w:t>
      </w:r>
    </w:p>
    <w:p w14:paraId="64E854A6" w14:textId="77777777" w:rsidR="00FC29FE" w:rsidRDefault="00000000">
      <w:p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1. </w:t>
      </w:r>
      <w:r>
        <w:rPr>
          <w:rFonts w:ascii="Times New Roman" w:eastAsia="宋体" w:hAnsi="Times New Roman" w:cs="Times New Roman" w:hint="eastAsia"/>
          <w:sz w:val="24"/>
          <w:szCs w:val="24"/>
        </w:rPr>
        <w:t>土地法的主要内容</w:t>
      </w:r>
    </w:p>
    <w:p w14:paraId="4004512D"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sz w:val="24"/>
          <w:szCs w:val="24"/>
        </w:rPr>
        <w:t>塔吉克斯坦《土地法》于</w:t>
      </w:r>
      <w:r>
        <w:rPr>
          <w:rFonts w:ascii="Times New Roman" w:eastAsia="宋体" w:hAnsi="Times New Roman" w:cs="Times New Roman"/>
          <w:sz w:val="24"/>
          <w:szCs w:val="24"/>
        </w:rPr>
        <w:t>1996</w:t>
      </w:r>
      <w:r>
        <w:rPr>
          <w:rFonts w:ascii="Times New Roman" w:eastAsia="宋体" w:hAnsi="Times New Roman" w:cs="Times New Roman"/>
          <w:sz w:val="24"/>
          <w:szCs w:val="24"/>
        </w:rPr>
        <w:t>年颁布并于</w:t>
      </w:r>
      <w:r>
        <w:rPr>
          <w:rFonts w:ascii="Times New Roman" w:eastAsia="宋体" w:hAnsi="Times New Roman" w:cs="Times New Roman"/>
          <w:sz w:val="24"/>
          <w:szCs w:val="24"/>
        </w:rPr>
        <w:t>2006</w:t>
      </w:r>
      <w:r>
        <w:rPr>
          <w:rFonts w:ascii="Times New Roman" w:eastAsia="宋体" w:hAnsi="Times New Roman" w:cs="Times New Roman"/>
          <w:sz w:val="24"/>
          <w:szCs w:val="24"/>
        </w:rPr>
        <w:t>年进行修订。《土地法》规定，土地属于国家，不许买卖，只能租赁，并按地区征收土地税。外国投资者依法可以在一定期限内使用土地。现行法律规定土地使用期最长为</w:t>
      </w:r>
      <w:r>
        <w:rPr>
          <w:rFonts w:ascii="Times New Roman" w:eastAsia="宋体" w:hAnsi="Times New Roman" w:cs="Times New Roman"/>
          <w:sz w:val="24"/>
          <w:szCs w:val="24"/>
        </w:rPr>
        <w:t>50</w:t>
      </w:r>
      <w:r>
        <w:rPr>
          <w:rFonts w:ascii="Times New Roman" w:eastAsia="宋体" w:hAnsi="Times New Roman" w:cs="Times New Roman"/>
          <w:sz w:val="24"/>
          <w:szCs w:val="24"/>
        </w:rPr>
        <w:t>年（《土地法》第</w:t>
      </w:r>
      <w:r>
        <w:rPr>
          <w:rFonts w:ascii="Times New Roman" w:eastAsia="宋体" w:hAnsi="Times New Roman" w:cs="Times New Roman"/>
          <w:sz w:val="24"/>
          <w:szCs w:val="24"/>
        </w:rPr>
        <w:t>13</w:t>
      </w:r>
      <w:r>
        <w:rPr>
          <w:rFonts w:ascii="Times New Roman" w:eastAsia="宋体" w:hAnsi="Times New Roman" w:cs="Times New Roman"/>
          <w:sz w:val="24"/>
          <w:szCs w:val="24"/>
        </w:rPr>
        <w:t>条和第</w:t>
      </w:r>
      <w:r>
        <w:rPr>
          <w:rFonts w:ascii="Times New Roman" w:eastAsia="宋体" w:hAnsi="Times New Roman" w:cs="Times New Roman"/>
          <w:sz w:val="24"/>
          <w:szCs w:val="24"/>
        </w:rPr>
        <w:t>25</w:t>
      </w:r>
      <w:r>
        <w:rPr>
          <w:rFonts w:ascii="Times New Roman" w:eastAsia="宋体" w:hAnsi="Times New Roman" w:cs="Times New Roman"/>
          <w:sz w:val="24"/>
          <w:szCs w:val="24"/>
        </w:rPr>
        <w:t>条）。</w:t>
      </w:r>
    </w:p>
    <w:p w14:paraId="00AB0245"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企业用地：杜尚别市土地税为</w:t>
      </w:r>
      <w:r>
        <w:rPr>
          <w:rFonts w:ascii="Times New Roman" w:eastAsia="宋体" w:hAnsi="Times New Roman" w:cs="Times New Roman" w:hint="eastAsia"/>
          <w:sz w:val="24"/>
          <w:szCs w:val="24"/>
        </w:rPr>
        <w:t>1008.36</w:t>
      </w:r>
      <w:r>
        <w:rPr>
          <w:rFonts w:ascii="Times New Roman" w:eastAsia="宋体" w:hAnsi="Times New Roman" w:cs="Times New Roman" w:hint="eastAsia"/>
          <w:sz w:val="24"/>
          <w:szCs w:val="24"/>
        </w:rPr>
        <w:t>索莫尼</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公顷；胡占德市、波赫塔尔市、库利亚布市为</w:t>
      </w:r>
      <w:r>
        <w:rPr>
          <w:rFonts w:ascii="Times New Roman" w:eastAsia="宋体" w:hAnsi="Times New Roman" w:cs="Times New Roman" w:hint="eastAsia"/>
          <w:sz w:val="24"/>
          <w:szCs w:val="24"/>
        </w:rPr>
        <w:t>756.26</w:t>
      </w:r>
      <w:r>
        <w:rPr>
          <w:rFonts w:ascii="Times New Roman" w:eastAsia="宋体" w:hAnsi="Times New Roman" w:cs="Times New Roman" w:hint="eastAsia"/>
          <w:sz w:val="24"/>
          <w:szCs w:val="24"/>
        </w:rPr>
        <w:t>索莫尼</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公顷；霍罗格市为</w:t>
      </w:r>
      <w:r>
        <w:rPr>
          <w:rFonts w:ascii="Times New Roman" w:eastAsia="宋体" w:hAnsi="Times New Roman" w:cs="Times New Roman" w:hint="eastAsia"/>
          <w:sz w:val="24"/>
          <w:szCs w:val="24"/>
        </w:rPr>
        <w:t>504.19</w:t>
      </w:r>
      <w:r>
        <w:rPr>
          <w:rFonts w:ascii="Times New Roman" w:eastAsia="宋体" w:hAnsi="Times New Roman" w:cs="Times New Roman" w:hint="eastAsia"/>
          <w:sz w:val="24"/>
          <w:szCs w:val="24"/>
        </w:rPr>
        <w:t>索莫尼</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公顷；中央直属区各城市（除罗贡市等个别城市外，罗贡市为</w:t>
      </w:r>
      <w:r>
        <w:rPr>
          <w:rFonts w:ascii="Times New Roman" w:eastAsia="宋体" w:hAnsi="Times New Roman" w:cs="Times New Roman" w:hint="eastAsia"/>
          <w:sz w:val="24"/>
          <w:szCs w:val="24"/>
        </w:rPr>
        <w:t>504.19</w:t>
      </w:r>
      <w:r>
        <w:rPr>
          <w:rFonts w:ascii="Times New Roman" w:eastAsia="宋体" w:hAnsi="Times New Roman" w:cs="Times New Roman" w:hint="eastAsia"/>
          <w:sz w:val="24"/>
          <w:szCs w:val="24"/>
        </w:rPr>
        <w:t>索莫尼</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公顷）</w:t>
      </w:r>
      <w:r>
        <w:rPr>
          <w:rFonts w:ascii="Times New Roman" w:eastAsia="宋体" w:hAnsi="Times New Roman" w:cs="Times New Roman" w:hint="eastAsia"/>
          <w:sz w:val="24"/>
          <w:szCs w:val="24"/>
        </w:rPr>
        <w:t>362.39</w:t>
      </w:r>
      <w:r>
        <w:rPr>
          <w:rFonts w:ascii="Times New Roman" w:eastAsia="宋体" w:hAnsi="Times New Roman" w:cs="Times New Roman" w:hint="eastAsia"/>
          <w:sz w:val="24"/>
          <w:szCs w:val="24"/>
        </w:rPr>
        <w:t>索莫尼</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公顷。</w:t>
      </w:r>
    </w:p>
    <w:p w14:paraId="3B82B927" w14:textId="77777777" w:rsidR="00FC29FE" w:rsidRDefault="00000000">
      <w:p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2. </w:t>
      </w:r>
      <w:r>
        <w:rPr>
          <w:rFonts w:ascii="Times New Roman" w:eastAsia="宋体" w:hAnsi="Times New Roman" w:cs="Times New Roman" w:hint="eastAsia"/>
          <w:sz w:val="24"/>
          <w:szCs w:val="24"/>
        </w:rPr>
        <w:t>外资企业获得土地的规定</w:t>
      </w:r>
    </w:p>
    <w:p w14:paraId="2105EDD4"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塔吉克斯坦《土地法》规定，向外资企业和外国公民提供土地使用的期限不超过</w:t>
      </w:r>
      <w:r>
        <w:rPr>
          <w:rFonts w:ascii="Times New Roman" w:eastAsia="宋体" w:hAnsi="Times New Roman" w:cs="Times New Roman" w:hint="eastAsia"/>
          <w:sz w:val="24"/>
          <w:szCs w:val="24"/>
        </w:rPr>
        <w:t>50</w:t>
      </w:r>
      <w:r>
        <w:rPr>
          <w:rFonts w:ascii="Times New Roman" w:eastAsia="宋体" w:hAnsi="Times New Roman" w:cs="Times New Roman" w:hint="eastAsia"/>
          <w:sz w:val="24"/>
          <w:szCs w:val="24"/>
        </w:rPr>
        <w:t>年。塔吉克斯坦受特别保护的地区不向外资企业和外国公民提供土地。塔吉克斯坦土地使用权需要进行国家登记，获得国家登记证书后，土地使用权正式生效。塔吉克斯坦土地有偿使用，每年缴纳的费用主要包括土地税和土地租金，具体金额根据塔吉克斯坦相关法律确定。</w:t>
      </w:r>
    </w:p>
    <w:p w14:paraId="7B81A917" w14:textId="77777777" w:rsidR="00FC29FE" w:rsidRDefault="00FC29FE">
      <w:pPr>
        <w:spacing w:afterLines="50" w:after="190" w:line="440" w:lineRule="exact"/>
        <w:ind w:firstLineChars="0" w:firstLine="0"/>
        <w:rPr>
          <w:rFonts w:ascii="Times New Roman" w:eastAsia="宋体" w:hAnsi="Times New Roman" w:cs="Times New Roman"/>
          <w:sz w:val="24"/>
          <w:szCs w:val="24"/>
        </w:rPr>
      </w:pPr>
    </w:p>
    <w:p w14:paraId="3840D7B5" w14:textId="77777777" w:rsidR="00FC29FE" w:rsidRDefault="00000000">
      <w:pPr>
        <w:numPr>
          <w:ilvl w:val="0"/>
          <w:numId w:val="1"/>
        </w:num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劳动就业</w:t>
      </w:r>
    </w:p>
    <w:p w14:paraId="2AA01A70" w14:textId="77777777" w:rsidR="00FC29FE" w:rsidRDefault="00000000">
      <w:p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1. </w:t>
      </w:r>
      <w:r>
        <w:rPr>
          <w:rFonts w:ascii="Times New Roman" w:eastAsia="宋体" w:hAnsi="Times New Roman" w:cs="Times New Roman" w:hint="eastAsia"/>
          <w:sz w:val="24"/>
          <w:szCs w:val="24"/>
        </w:rPr>
        <w:t>劳工（动）法核心内容</w:t>
      </w:r>
    </w:p>
    <w:p w14:paraId="5B2312CD"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塔吉克斯坦《劳动法》规定，公民有劳动并获取相应报酬、自由择业、劳动保护和享受社会失业救济的权利。劳动条件须符合国家相关的安全及卫生规定，每周有休息日，工作时间不超过</w:t>
      </w:r>
      <w:r>
        <w:rPr>
          <w:rFonts w:ascii="Times New Roman" w:eastAsia="宋体" w:hAnsi="Times New Roman" w:cs="Times New Roman" w:hint="eastAsia"/>
          <w:sz w:val="24"/>
          <w:szCs w:val="24"/>
        </w:rPr>
        <w:t>40</w:t>
      </w:r>
      <w:r>
        <w:rPr>
          <w:rFonts w:ascii="Times New Roman" w:eastAsia="宋体" w:hAnsi="Times New Roman" w:cs="Times New Roman" w:hint="eastAsia"/>
          <w:sz w:val="24"/>
          <w:szCs w:val="24"/>
        </w:rPr>
        <w:t>小时，每年享受年假。</w:t>
      </w:r>
    </w:p>
    <w:p w14:paraId="6B9533B0"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雇主责任：雇主必须遵守《宪法》《劳动法》及其他相关法律法规，遵守劳动保护法规、生产技术安全和卫生规定及防火条例，保障正常的生产条件，按时支付员工工资，提供完成工作所需的设备、工具和材料。雇主有权与雇员签订劳动合同，制定内部劳动制度，要求雇员遵守相应的劳动纪律。</w:t>
      </w:r>
    </w:p>
    <w:p w14:paraId="55ECD262"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工作时间：</w:t>
      </w:r>
      <w:r>
        <w:rPr>
          <w:rFonts w:ascii="Times New Roman" w:eastAsia="宋体" w:hAnsi="Times New Roman" w:cs="Times New Roman" w:hint="eastAsia"/>
          <w:sz w:val="24"/>
          <w:szCs w:val="24"/>
        </w:rPr>
        <w:t>15-16</w:t>
      </w:r>
      <w:r>
        <w:rPr>
          <w:rFonts w:ascii="Times New Roman" w:eastAsia="宋体" w:hAnsi="Times New Roman" w:cs="Times New Roman" w:hint="eastAsia"/>
          <w:sz w:val="24"/>
          <w:szCs w:val="24"/>
        </w:rPr>
        <w:t>岁员工每天连续工作时间不超过</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小时；</w:t>
      </w:r>
      <w:r>
        <w:rPr>
          <w:rFonts w:ascii="Times New Roman" w:eastAsia="宋体" w:hAnsi="Times New Roman" w:cs="Times New Roman" w:hint="eastAsia"/>
          <w:sz w:val="24"/>
          <w:szCs w:val="24"/>
        </w:rPr>
        <w:t>16-18</w:t>
      </w:r>
      <w:r>
        <w:rPr>
          <w:rFonts w:ascii="Times New Roman" w:eastAsia="宋体" w:hAnsi="Times New Roman" w:cs="Times New Roman" w:hint="eastAsia"/>
          <w:sz w:val="24"/>
          <w:szCs w:val="24"/>
        </w:rPr>
        <w:t>岁不超过</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小时；</w:t>
      </w:r>
      <w:r>
        <w:rPr>
          <w:rFonts w:ascii="Times New Roman" w:eastAsia="宋体" w:hAnsi="Times New Roman" w:cs="Times New Roman" w:hint="eastAsia"/>
          <w:sz w:val="24"/>
          <w:szCs w:val="24"/>
        </w:rPr>
        <w:lastRenderedPageBreak/>
        <w:t>伤残人士不超过</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小时；员工每天工作最多不超过</w:t>
      </w:r>
      <w:r>
        <w:rPr>
          <w:rFonts w:ascii="Times New Roman" w:eastAsia="宋体" w:hAnsi="Times New Roman" w:cs="Times New Roman" w:hint="eastAsia"/>
          <w:sz w:val="24"/>
          <w:szCs w:val="24"/>
        </w:rPr>
        <w:t>12</w:t>
      </w:r>
      <w:r>
        <w:rPr>
          <w:rFonts w:ascii="Times New Roman" w:eastAsia="宋体" w:hAnsi="Times New Roman" w:cs="Times New Roman" w:hint="eastAsia"/>
          <w:sz w:val="24"/>
          <w:szCs w:val="24"/>
        </w:rPr>
        <w:t>小时。</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天工作制的，每周工作</w:t>
      </w:r>
      <w:r>
        <w:rPr>
          <w:rFonts w:ascii="Times New Roman" w:eastAsia="宋体" w:hAnsi="Times New Roman" w:cs="Times New Roman" w:hint="eastAsia"/>
          <w:sz w:val="24"/>
          <w:szCs w:val="24"/>
        </w:rPr>
        <w:t>40</w:t>
      </w:r>
      <w:r>
        <w:rPr>
          <w:rFonts w:ascii="Times New Roman" w:eastAsia="宋体" w:hAnsi="Times New Roman" w:cs="Times New Roman" w:hint="eastAsia"/>
          <w:sz w:val="24"/>
          <w:szCs w:val="24"/>
        </w:rPr>
        <w:t>小时，每天连续工作时间不超过</w:t>
      </w:r>
      <w:r>
        <w:rPr>
          <w:rFonts w:ascii="Times New Roman" w:eastAsia="宋体" w:hAnsi="Times New Roman" w:cs="Times New Roman" w:hint="eastAsia"/>
          <w:sz w:val="24"/>
          <w:szCs w:val="24"/>
        </w:rPr>
        <w:t>7</w:t>
      </w:r>
      <w:r>
        <w:rPr>
          <w:rFonts w:ascii="Times New Roman" w:eastAsia="宋体" w:hAnsi="Times New Roman" w:cs="Times New Roman" w:hint="eastAsia"/>
          <w:sz w:val="24"/>
          <w:szCs w:val="24"/>
        </w:rPr>
        <w:t>小时；每周工作</w:t>
      </w:r>
      <w:r>
        <w:rPr>
          <w:rFonts w:ascii="Times New Roman" w:eastAsia="宋体" w:hAnsi="Times New Roman" w:cs="Times New Roman" w:hint="eastAsia"/>
          <w:sz w:val="24"/>
          <w:szCs w:val="24"/>
        </w:rPr>
        <w:t>35</w:t>
      </w:r>
      <w:r>
        <w:rPr>
          <w:rFonts w:ascii="Times New Roman" w:eastAsia="宋体" w:hAnsi="Times New Roman" w:cs="Times New Roman" w:hint="eastAsia"/>
          <w:sz w:val="24"/>
          <w:szCs w:val="24"/>
        </w:rPr>
        <w:t>小时的连续工作时间不超过</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小时；每周工作</w:t>
      </w:r>
      <w:r>
        <w:rPr>
          <w:rFonts w:ascii="Times New Roman" w:eastAsia="宋体" w:hAnsi="Times New Roman" w:cs="Times New Roman" w:hint="eastAsia"/>
          <w:sz w:val="24"/>
          <w:szCs w:val="24"/>
        </w:rPr>
        <w:t>24</w:t>
      </w:r>
      <w:r>
        <w:rPr>
          <w:rFonts w:ascii="Times New Roman" w:eastAsia="宋体" w:hAnsi="Times New Roman" w:cs="Times New Roman" w:hint="eastAsia"/>
          <w:sz w:val="24"/>
          <w:szCs w:val="24"/>
        </w:rPr>
        <w:t>小时的连续工作时间不超过</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小时。</w:t>
      </w:r>
    </w:p>
    <w:p w14:paraId="794FE592"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休假：基本年假不少于</w:t>
      </w:r>
      <w:r>
        <w:rPr>
          <w:rFonts w:ascii="Times New Roman" w:eastAsia="宋体" w:hAnsi="Times New Roman" w:cs="Times New Roman" w:hint="eastAsia"/>
          <w:sz w:val="24"/>
          <w:szCs w:val="24"/>
        </w:rPr>
        <w:t>24</w:t>
      </w:r>
      <w:r>
        <w:rPr>
          <w:rFonts w:ascii="Times New Roman" w:eastAsia="宋体" w:hAnsi="Times New Roman" w:cs="Times New Roman" w:hint="eastAsia"/>
          <w:sz w:val="24"/>
          <w:szCs w:val="24"/>
        </w:rPr>
        <w:t>天，未满</w:t>
      </w:r>
      <w:r>
        <w:rPr>
          <w:rFonts w:ascii="Times New Roman" w:eastAsia="宋体" w:hAnsi="Times New Roman" w:cs="Times New Roman" w:hint="eastAsia"/>
          <w:sz w:val="24"/>
          <w:szCs w:val="24"/>
        </w:rPr>
        <w:t>18</w:t>
      </w:r>
      <w:r>
        <w:rPr>
          <w:rFonts w:ascii="Times New Roman" w:eastAsia="宋体" w:hAnsi="Times New Roman" w:cs="Times New Roman" w:hint="eastAsia"/>
          <w:sz w:val="24"/>
          <w:szCs w:val="24"/>
        </w:rPr>
        <w:t>岁员工和伤残人士的年假不少于</w:t>
      </w:r>
      <w:r>
        <w:rPr>
          <w:rFonts w:ascii="Times New Roman" w:eastAsia="宋体" w:hAnsi="Times New Roman" w:cs="Times New Roman" w:hint="eastAsia"/>
          <w:sz w:val="24"/>
          <w:szCs w:val="24"/>
        </w:rPr>
        <w:t>30</w:t>
      </w:r>
      <w:r>
        <w:rPr>
          <w:rFonts w:ascii="Times New Roman" w:eastAsia="宋体" w:hAnsi="Times New Roman" w:cs="Times New Roman" w:hint="eastAsia"/>
          <w:sz w:val="24"/>
          <w:szCs w:val="24"/>
        </w:rPr>
        <w:t>天。年假期间员工仍享有不低于其平均月工资的工资收入。</w:t>
      </w:r>
    </w:p>
    <w:p w14:paraId="0927086E"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产假：不得在女性员工怀孕期间辞退或降低其工资，并应减少怀孕妇女及有年幼子女（不到</w:t>
      </w:r>
      <w:r>
        <w:rPr>
          <w:rFonts w:ascii="Times New Roman" w:eastAsia="宋体" w:hAnsi="Times New Roman" w:cs="Times New Roman" w:hint="eastAsia"/>
          <w:sz w:val="24"/>
          <w:szCs w:val="24"/>
        </w:rPr>
        <w:t>1.5</w:t>
      </w:r>
      <w:r>
        <w:rPr>
          <w:rFonts w:ascii="Times New Roman" w:eastAsia="宋体" w:hAnsi="Times New Roman" w:cs="Times New Roman" w:hint="eastAsia"/>
          <w:sz w:val="24"/>
          <w:szCs w:val="24"/>
        </w:rPr>
        <w:t>岁）妇女的工作量。女性员工可享有产前</w:t>
      </w:r>
      <w:r>
        <w:rPr>
          <w:rFonts w:ascii="Times New Roman" w:eastAsia="宋体" w:hAnsi="Times New Roman" w:cs="Times New Roman" w:hint="eastAsia"/>
          <w:sz w:val="24"/>
          <w:szCs w:val="24"/>
        </w:rPr>
        <w:t>70</w:t>
      </w:r>
      <w:r>
        <w:rPr>
          <w:rFonts w:ascii="Times New Roman" w:eastAsia="宋体" w:hAnsi="Times New Roman" w:cs="Times New Roman" w:hint="eastAsia"/>
          <w:sz w:val="24"/>
          <w:szCs w:val="24"/>
        </w:rPr>
        <w:t>天、产后</w:t>
      </w:r>
      <w:r>
        <w:rPr>
          <w:rFonts w:ascii="Times New Roman" w:eastAsia="宋体" w:hAnsi="Times New Roman" w:cs="Times New Roman" w:hint="eastAsia"/>
          <w:sz w:val="24"/>
          <w:szCs w:val="24"/>
        </w:rPr>
        <w:t>70</w:t>
      </w:r>
      <w:r>
        <w:rPr>
          <w:rFonts w:ascii="Times New Roman" w:eastAsia="宋体" w:hAnsi="Times New Roman" w:cs="Times New Roman" w:hint="eastAsia"/>
          <w:sz w:val="24"/>
          <w:szCs w:val="24"/>
        </w:rPr>
        <w:t>天（难产的可休</w:t>
      </w:r>
      <w:r>
        <w:rPr>
          <w:rFonts w:ascii="Times New Roman" w:eastAsia="宋体" w:hAnsi="Times New Roman" w:cs="Times New Roman" w:hint="eastAsia"/>
          <w:sz w:val="24"/>
          <w:szCs w:val="24"/>
        </w:rPr>
        <w:t>80</w:t>
      </w:r>
      <w:r>
        <w:rPr>
          <w:rFonts w:ascii="Times New Roman" w:eastAsia="宋体" w:hAnsi="Times New Roman" w:cs="Times New Roman" w:hint="eastAsia"/>
          <w:sz w:val="24"/>
          <w:szCs w:val="24"/>
        </w:rPr>
        <w:t>天，生育双胞胎和三胞胎的休</w:t>
      </w:r>
      <w:r>
        <w:rPr>
          <w:rFonts w:ascii="Times New Roman" w:eastAsia="宋体" w:hAnsi="Times New Roman" w:cs="Times New Roman" w:hint="eastAsia"/>
          <w:sz w:val="24"/>
          <w:szCs w:val="24"/>
        </w:rPr>
        <w:t>110</w:t>
      </w:r>
      <w:r>
        <w:rPr>
          <w:rFonts w:ascii="Times New Roman" w:eastAsia="宋体" w:hAnsi="Times New Roman" w:cs="Times New Roman" w:hint="eastAsia"/>
          <w:sz w:val="24"/>
          <w:szCs w:val="24"/>
        </w:rPr>
        <w:t>天）孕产假，休假期间可领取国家社保补助。产假结束后可根据员工意愿在子女</w:t>
      </w:r>
      <w:r>
        <w:rPr>
          <w:rFonts w:ascii="Times New Roman" w:eastAsia="宋体" w:hAnsi="Times New Roman" w:cs="Times New Roman" w:hint="eastAsia"/>
          <w:sz w:val="24"/>
          <w:szCs w:val="24"/>
        </w:rPr>
        <w:t>1.5</w:t>
      </w:r>
      <w:r>
        <w:rPr>
          <w:rFonts w:ascii="Times New Roman" w:eastAsia="宋体" w:hAnsi="Times New Roman" w:cs="Times New Roman" w:hint="eastAsia"/>
          <w:sz w:val="24"/>
          <w:szCs w:val="24"/>
        </w:rPr>
        <w:t>岁前休育儿假，其间保留工作职务，领取国家社保补助。如在女性员工子女</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岁（单身母亲子女</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岁，有残疾的子女</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岁）前要辞退该员工，雇主须以书面方式告知其理由。</w:t>
      </w:r>
    </w:p>
    <w:p w14:paraId="397B1723" w14:textId="77777777" w:rsidR="00FC29FE" w:rsidRDefault="00000000">
      <w:p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2. </w:t>
      </w:r>
      <w:r>
        <w:rPr>
          <w:rFonts w:ascii="Times New Roman" w:eastAsia="宋体" w:hAnsi="Times New Roman" w:cs="Times New Roman" w:hint="eastAsia"/>
          <w:sz w:val="24"/>
          <w:szCs w:val="24"/>
        </w:rPr>
        <w:t>外国人在当地工作的规定</w:t>
      </w:r>
    </w:p>
    <w:p w14:paraId="423375E0"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塔吉克斯坦《劳动法》明确规定，在塔吉克斯坦居住的外国公民可在塔吉克斯坦企业、机关及各种组织中谋求职位。为进一步规范外国公民在塔从业人员的管理，</w:t>
      </w:r>
      <w:r>
        <w:rPr>
          <w:rFonts w:ascii="Times New Roman" w:eastAsia="宋体" w:hAnsi="Times New Roman" w:cs="Times New Roman" w:hint="eastAsia"/>
          <w:sz w:val="24"/>
          <w:szCs w:val="24"/>
        </w:rPr>
        <w:t>2001</w:t>
      </w:r>
      <w:r>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12</w:t>
      </w:r>
      <w:r>
        <w:rPr>
          <w:rFonts w:ascii="Times New Roman" w:eastAsia="宋体" w:hAnsi="Times New Roman" w:cs="Times New Roman" w:hint="eastAsia"/>
          <w:sz w:val="24"/>
          <w:szCs w:val="24"/>
        </w:rPr>
        <w:t>月，塔吉克斯坦政府颁布了《外国劳动移民实施办法》，对外国劳工的管理更为细化和有法可依。</w:t>
      </w:r>
    </w:p>
    <w:p w14:paraId="4B3DFC40"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《外国劳动移民实施办法》规定：</w:t>
      </w:r>
    </w:p>
    <w:p w14:paraId="2402EFFB"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）外国人（包括在塔境内的法人代表以及无国籍人士）可以依据同雇主所签订的劳动合同，在塔境内从事劳务活动，但法律规定的某些只能由塔吉克斯坦公民担任的</w:t>
      </w:r>
    </w:p>
    <w:p w14:paraId="1FBD23A9" w14:textId="77777777" w:rsidR="00FC29FE" w:rsidRDefault="00000000">
      <w:pPr>
        <w:spacing w:afterLines="50" w:after="190" w:line="440" w:lineRule="exact"/>
        <w:ind w:firstLineChars="0" w:firstLine="0"/>
        <w:rPr>
          <w:rFonts w:ascii="Times New Roman" w:eastAsia="宋体" w:hAnsi="Times New Roman" w:cs="Times New Roman"/>
          <w:sz w:val="24"/>
          <w:szCs w:val="24"/>
        </w:rPr>
      </w:pPr>
      <w:r>
        <w:rPr>
          <w:rFonts w:ascii="Times New Roman" w:eastAsia="宋体" w:hAnsi="Times New Roman" w:cs="Times New Roman" w:hint="eastAsia"/>
          <w:sz w:val="24"/>
          <w:szCs w:val="24"/>
        </w:rPr>
        <w:t>职务或从事的特殊工种除外。</w:t>
      </w:r>
    </w:p>
    <w:p w14:paraId="360DDC11"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）外国劳工拥有并承担《外国公民权利法》中所规定的一切权利和义务。</w:t>
      </w:r>
    </w:p>
    <w:p w14:paraId="4CC05191"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）外国劳工进入塔吉克斯坦境内后，须持经授权的主管部门所出具的书面文件到居住地内务部门进行临时居住登记。</w:t>
      </w:r>
    </w:p>
    <w:p w14:paraId="0905F5E8"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外国劳工的具体工作程序由雇主同雇工所签订的劳动合同确定。劳动合同包括下列内容：雇主和雇工的基本情况；合同对象；劳动报酬；工作及休息时间；健康及劳动事故保险；双方的责任与义务；劳动纠纷解决办法；雇主负责雇工返回原籍；有效期及解除期限；双方商定的其他条件。</w:t>
      </w:r>
    </w:p>
    <w:p w14:paraId="44B76AAC"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w:t>
      </w:r>
      <w:r>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）根据</w:t>
      </w:r>
      <w:r>
        <w:rPr>
          <w:rFonts w:ascii="Times New Roman" w:eastAsia="宋体" w:hAnsi="Times New Roman" w:cs="Times New Roman" w:hint="eastAsia"/>
          <w:sz w:val="24"/>
          <w:szCs w:val="24"/>
        </w:rPr>
        <w:t>529</w:t>
      </w:r>
      <w:r>
        <w:rPr>
          <w:rFonts w:ascii="Times New Roman" w:eastAsia="宋体" w:hAnsi="Times New Roman" w:cs="Times New Roman" w:hint="eastAsia"/>
          <w:sz w:val="24"/>
          <w:szCs w:val="24"/>
        </w:rPr>
        <w:t>号政府令，</w:t>
      </w:r>
      <w:r>
        <w:rPr>
          <w:rFonts w:ascii="Times New Roman" w:eastAsia="宋体" w:hAnsi="Times New Roman" w:cs="Times New Roman" w:hint="eastAsia"/>
          <w:sz w:val="24"/>
          <w:szCs w:val="24"/>
        </w:rPr>
        <w:t>2008</w:t>
      </w:r>
      <w:r>
        <w:rPr>
          <w:rFonts w:ascii="Times New Roman" w:eastAsia="宋体" w:hAnsi="Times New Roman" w:cs="Times New Roman" w:hint="eastAsia"/>
          <w:sz w:val="24"/>
          <w:szCs w:val="24"/>
        </w:rPr>
        <w:t>年</w:t>
      </w:r>
      <w:r>
        <w:rPr>
          <w:rFonts w:ascii="Times New Roman" w:eastAsia="宋体" w:hAnsi="Times New Roman" w:cs="Times New Roman" w:hint="eastAsia"/>
          <w:sz w:val="24"/>
          <w:szCs w:val="24"/>
        </w:rPr>
        <w:t>10</w:t>
      </w:r>
      <w:r>
        <w:rPr>
          <w:rFonts w:ascii="Times New Roman" w:eastAsia="宋体" w:hAnsi="Times New Roman" w:cs="Times New Roman" w:hint="eastAsia"/>
          <w:sz w:val="24"/>
          <w:szCs w:val="24"/>
        </w:rPr>
        <w:t>月</w:t>
      </w:r>
      <w:r>
        <w:rPr>
          <w:rFonts w:ascii="Times New Roman" w:eastAsia="宋体" w:hAnsi="Times New Roman" w:cs="Times New Roman" w:hint="eastAsia"/>
          <w:sz w:val="24"/>
          <w:szCs w:val="24"/>
        </w:rPr>
        <w:t>31</w:t>
      </w:r>
      <w:r>
        <w:rPr>
          <w:rFonts w:ascii="Times New Roman" w:eastAsia="宋体" w:hAnsi="Times New Roman" w:cs="Times New Roman" w:hint="eastAsia"/>
          <w:sz w:val="24"/>
          <w:szCs w:val="24"/>
        </w:rPr>
        <w:t>日起，对外来劳工实行工作许可证制度；同时规定外资企业中外籍工作人员比例不能超过</w:t>
      </w:r>
      <w:r>
        <w:rPr>
          <w:rFonts w:ascii="Times New Roman" w:eastAsia="宋体" w:hAnsi="Times New Roman" w:cs="Times New Roman" w:hint="eastAsia"/>
          <w:sz w:val="24"/>
          <w:szCs w:val="24"/>
        </w:rPr>
        <w:t>30%</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2016</w:t>
      </w:r>
      <w:r>
        <w:rPr>
          <w:rFonts w:ascii="Times New Roman" w:eastAsia="宋体" w:hAnsi="Times New Roman" w:cs="Times New Roman" w:hint="eastAsia"/>
          <w:sz w:val="24"/>
          <w:szCs w:val="24"/>
        </w:rPr>
        <w:t>年以来，对外国工作人员比例进行限制，基本达到</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9</w:t>
      </w:r>
      <w:r>
        <w:rPr>
          <w:rFonts w:ascii="Times New Roman" w:eastAsia="宋体" w:hAnsi="Times New Roman" w:cs="Times New Roman" w:hint="eastAsia"/>
          <w:sz w:val="24"/>
          <w:szCs w:val="24"/>
        </w:rPr>
        <w:t>的用工比例。</w:t>
      </w:r>
    </w:p>
    <w:p w14:paraId="4B841476" w14:textId="77777777" w:rsidR="00FC29FE" w:rsidRDefault="00000000">
      <w:pPr>
        <w:spacing w:afterLines="50" w:after="190" w:line="440" w:lineRule="exact"/>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在塔吉克斯坦工作的中国人多为项目管理人员和投资及工程承包项下的劳务人员。塔吉克斯坦对就业岗位和测试条件无特殊规定。</w:t>
      </w:r>
      <w:r>
        <w:rPr>
          <w:rFonts w:ascii="Times New Roman" w:eastAsia="宋体" w:hAnsi="Times New Roman" w:cs="Times New Roman" w:hint="eastAsia"/>
          <w:sz w:val="24"/>
          <w:szCs w:val="24"/>
        </w:rPr>
        <w:t>2023</w:t>
      </w:r>
      <w:r>
        <w:rPr>
          <w:rFonts w:ascii="Times New Roman" w:eastAsia="宋体" w:hAnsi="Times New Roman" w:cs="Times New Roman" w:hint="eastAsia"/>
          <w:sz w:val="24"/>
          <w:szCs w:val="24"/>
        </w:rPr>
        <w:t>年，塔吉克斯坦政府共发放</w:t>
      </w:r>
      <w:r>
        <w:rPr>
          <w:rFonts w:ascii="Times New Roman" w:eastAsia="宋体" w:hAnsi="Times New Roman" w:cs="Times New Roman" w:hint="eastAsia"/>
          <w:sz w:val="24"/>
          <w:szCs w:val="24"/>
        </w:rPr>
        <w:t>7500</w:t>
      </w:r>
      <w:r>
        <w:rPr>
          <w:rFonts w:ascii="Times New Roman" w:eastAsia="宋体" w:hAnsi="Times New Roman" w:cs="Times New Roman" w:hint="eastAsia"/>
          <w:sz w:val="24"/>
          <w:szCs w:val="24"/>
        </w:rPr>
        <w:t>个外国劳务配额。据塔总统命令，国际协议框架下为实施基础设施项目和工业项目的部分外国劳务不包含在上述外国劳务配额中。</w:t>
      </w:r>
    </w:p>
    <w:sectPr w:rsidR="00FC29FE">
      <w:headerReference w:type="default" r:id="rId8"/>
      <w:footerReference w:type="even" r:id="rId9"/>
      <w:footerReference w:type="default" r:id="rId10"/>
      <w:headerReference w:type="first" r:id="rId11"/>
      <w:footerReference w:type="first" r:id="rId12"/>
      <w:pgSz w:w="11906" w:h="16838"/>
      <w:pgMar w:top="720" w:right="1440" w:bottom="1440" w:left="1440" w:header="680" w:footer="720"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D3680" w14:textId="77777777" w:rsidR="007A237D" w:rsidRDefault="007A237D">
      <w:pPr>
        <w:spacing w:line="240" w:lineRule="auto"/>
        <w:ind w:firstLine="560"/>
      </w:pPr>
      <w:r>
        <w:separator/>
      </w:r>
    </w:p>
  </w:endnote>
  <w:endnote w:type="continuationSeparator" w:id="0">
    <w:p w14:paraId="064BD455" w14:textId="77777777" w:rsidR="007A237D" w:rsidRDefault="007A237D">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微软雅黑"/>
    <w:panose1 w:val="020B0604020202020204"/>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宋体">
    <w:altName w:val="STSong"/>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4CED" w14:textId="77777777" w:rsidR="00FC29FE" w:rsidRDefault="00FC29FE">
    <w:pPr>
      <w:pStyle w:val="a5"/>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78709"/>
    </w:sdtPr>
    <w:sdtContent>
      <w:sdt>
        <w:sdtPr>
          <w:id w:val="360901291"/>
        </w:sdtPr>
        <w:sdtContent>
          <w:p w14:paraId="5BFEBF77" w14:textId="77777777" w:rsidR="00FC29FE" w:rsidRDefault="00000000">
            <w:pPr>
              <w:pStyle w:val="a5"/>
              <w:jc w:val="right"/>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915858"/>
    </w:sdtPr>
    <w:sdtContent>
      <w:sdt>
        <w:sdtPr>
          <w:id w:val="-1"/>
        </w:sdtPr>
        <w:sdtContent>
          <w:p w14:paraId="624DC6E5" w14:textId="77777777" w:rsidR="00FC29FE" w:rsidRDefault="00000000">
            <w:pPr>
              <w:pStyle w:val="a5"/>
              <w:jc w:val="both"/>
              <w:rPr>
                <w:color w:val="7F7F7F" w:themeColor="text1" w:themeTint="80"/>
                <w:szCs w:val="14"/>
              </w:rPr>
            </w:pPr>
            <w:r>
              <w:rPr>
                <w:rFonts w:hint="eastAsia"/>
                <w:color w:val="565A5C"/>
                <w:szCs w:val="14"/>
                <w14:ligatures w14:val="standardContextual"/>
              </w:rPr>
              <w:t xml:space="preserve">Beijing </w:t>
            </w:r>
            <w:proofErr w:type="spellStart"/>
            <w:r>
              <w:rPr>
                <w:rFonts w:hint="eastAsia"/>
                <w:color w:val="565A5C"/>
                <w:szCs w:val="14"/>
                <w14:ligatures w14:val="standardContextual"/>
              </w:rPr>
              <w:t>Dacheng</w:t>
            </w:r>
            <w:proofErr w:type="spellEnd"/>
            <w:r>
              <w:rPr>
                <w:rFonts w:hint="eastAsia"/>
                <w:color w:val="565A5C"/>
                <w:szCs w:val="14"/>
                <w14:ligatures w14:val="standardContextual"/>
              </w:rPr>
              <w:t xml:space="preserve"> Law Offices, LLP (</w:t>
            </w:r>
            <w:r>
              <w:rPr>
                <w:color w:val="565A5C"/>
                <w:szCs w:val="14"/>
                <w14:ligatures w14:val="standardContextual"/>
              </w:rPr>
              <w:t>“</w:t>
            </w:r>
            <w:r>
              <w:rPr>
                <w:rFonts w:hint="eastAsia"/>
                <w:color w:val="565A5C"/>
                <w:szCs w:val="14"/>
                <w14:ligatures w14:val="standardContextual"/>
              </w:rPr>
              <w:t>大成</w:t>
            </w:r>
            <w:r>
              <w:rPr>
                <w:color w:val="565A5C"/>
                <w:szCs w:val="14"/>
                <w14:ligatures w14:val="standardContextual"/>
              </w:rPr>
              <w:t>”</w:t>
            </w:r>
            <w:r>
              <w:rPr>
                <w:rFonts w:hint="eastAsia"/>
                <w:color w:val="565A5C"/>
                <w:szCs w:val="14"/>
                <w14:ligatures w14:val="standardContextual"/>
              </w:rPr>
              <w:t xml:space="preserve">) is an independent law firm, and not a member or affiliate of Dentons. </w:t>
            </w:r>
            <w:r>
              <w:rPr>
                <w:rFonts w:hint="eastAsia"/>
                <w:color w:val="565A5C"/>
                <w:szCs w:val="14"/>
                <w14:ligatures w14:val="standardContextual"/>
              </w:rPr>
              <w:t>大成</w:t>
            </w:r>
            <w:r>
              <w:rPr>
                <w:rFonts w:hint="eastAsia"/>
                <w:color w:val="565A5C"/>
                <w:szCs w:val="14"/>
                <w14:ligatures w14:val="standardContextual"/>
              </w:rPr>
              <w:t xml:space="preserve"> is a partnership law firm organized under the laws of the People</w:t>
            </w:r>
            <w:r>
              <w:rPr>
                <w:color w:val="565A5C"/>
                <w:szCs w:val="14"/>
                <w14:ligatures w14:val="standardContextual"/>
              </w:rPr>
              <w:t>’</w:t>
            </w:r>
            <w:r>
              <w:rPr>
                <w:rFonts w:hint="eastAsia"/>
                <w:color w:val="565A5C"/>
                <w:szCs w:val="14"/>
                <w14:ligatures w14:val="standardContextual"/>
              </w:rPr>
              <w:t>s Republic of China, and is Dentons</w:t>
            </w:r>
            <w:r>
              <w:rPr>
                <w:color w:val="565A5C"/>
                <w:szCs w:val="14"/>
                <w14:ligatures w14:val="standardContextual"/>
              </w:rPr>
              <w:t>’</w:t>
            </w:r>
            <w:r>
              <w:rPr>
                <w:rFonts w:hint="eastAsia"/>
                <w:color w:val="565A5C"/>
                <w:szCs w:val="14"/>
                <w14:ligatures w14:val="standardContextual"/>
              </w:rPr>
              <w:t xml:space="preserve"> Preferred Law Firm in China, with offices</w:t>
            </w:r>
            <w:r>
              <w:rPr>
                <w:color w:val="565A5C"/>
                <w:szCs w:val="14"/>
                <w14:ligatures w14:val="standardContextual"/>
              </w:rPr>
              <w:t xml:space="preserve"> in more than </w:t>
            </w:r>
            <w:r>
              <w:rPr>
                <w:rFonts w:hint="eastAsia"/>
                <w:color w:val="565A5C"/>
                <w:szCs w:val="14"/>
                <w14:ligatures w14:val="standardContextual"/>
              </w:rPr>
              <w:t>5</w:t>
            </w:r>
            <w:r>
              <w:rPr>
                <w:color w:val="565A5C"/>
                <w:szCs w:val="14"/>
                <w14:ligatures w14:val="standardContextual"/>
              </w:rPr>
              <w:t xml:space="preserve">0 locations throughout China. Dentons Group (a Swiss Verein) (“Dentons”) is a separate international law firm with members and affiliates in more than 160 locations around the world, including </w:t>
            </w:r>
            <w:bookmarkStart w:id="0" w:name="_Hlk142309779"/>
            <w:r>
              <w:rPr>
                <w:rStyle w:val="contentpasted0"/>
                <w:rFonts w:cs="Arial"/>
                <w:color w:val="6C6F70"/>
              </w:rPr>
              <w:t>Hong Kong</w:t>
            </w:r>
            <w:bookmarkEnd w:id="0"/>
            <w:r>
              <w:rPr>
                <w:color w:val="565A5C"/>
                <w:szCs w:val="14"/>
                <w14:ligatures w14:val="standardContextual"/>
              </w:rPr>
              <w:t xml:space="preserve"> SAR, China. For more information, please see dacheng.com/dentons.cn.</w:t>
            </w:r>
          </w:p>
          <w:p w14:paraId="5CD42923" w14:textId="77777777" w:rsidR="00FC29FE" w:rsidRDefault="00000000">
            <w:pPr>
              <w:pStyle w:val="a5"/>
              <w:jc w:val="right"/>
            </w:pPr>
            <w: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1</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2FAC4" w14:textId="77777777" w:rsidR="007A237D" w:rsidRDefault="007A237D">
      <w:pPr>
        <w:spacing w:line="240" w:lineRule="auto"/>
        <w:ind w:firstLine="560"/>
      </w:pPr>
      <w:r>
        <w:separator/>
      </w:r>
    </w:p>
  </w:footnote>
  <w:footnote w:type="continuationSeparator" w:id="0">
    <w:p w14:paraId="15FDD809" w14:textId="77777777" w:rsidR="007A237D" w:rsidRDefault="007A237D">
      <w:pPr>
        <w:spacing w:line="240" w:lineRule="auto"/>
        <w:ind w:firstLine="560"/>
      </w:pPr>
      <w:r>
        <w:continuationSeparator/>
      </w:r>
    </w:p>
  </w:footnote>
  <w:footnote w:id="1">
    <w:p w14:paraId="4B6A80B5" w14:textId="342A0C9E" w:rsidR="00706B24" w:rsidRPr="003D2F7C" w:rsidRDefault="00706B24">
      <w:pPr>
        <w:pStyle w:val="af"/>
        <w:ind w:firstLine="360"/>
        <w:rPr>
          <w:rFonts w:ascii="Times New Roman" w:eastAsia="宋体" w:hAnsi="Times New Roman" w:cs="Times New Roman"/>
        </w:rPr>
      </w:pPr>
      <w:r w:rsidRPr="003D2F7C">
        <w:rPr>
          <w:rStyle w:val="af1"/>
          <w:rFonts w:ascii="Times New Roman" w:eastAsia="宋体" w:hAnsi="Times New Roman" w:cs="Times New Roman"/>
        </w:rPr>
        <w:footnoteRef/>
      </w:r>
      <w:r w:rsidRPr="003D2F7C">
        <w:rPr>
          <w:rFonts w:ascii="Times New Roman" w:eastAsia="宋体" w:hAnsi="Times New Roman" w:cs="Times New Roman"/>
        </w:rPr>
        <w:t xml:space="preserve"> </w:t>
      </w:r>
      <w:r w:rsidRPr="003D2F7C">
        <w:rPr>
          <w:rFonts w:ascii="Times New Roman" w:eastAsia="宋体" w:hAnsi="Times New Roman" w:cs="Times New Roman"/>
        </w:rPr>
        <w:t>详见网址：</w:t>
      </w:r>
      <w:r w:rsidRPr="003D2F7C">
        <w:rPr>
          <w:rFonts w:ascii="Times New Roman" w:eastAsia="宋体" w:hAnsi="Times New Roman" w:cs="Times New Roman"/>
        </w:rPr>
        <w:t xml:space="preserve">https://archive.doingbusiness.org/en/data/exploreeconomies/tajikistan </w:t>
      </w:r>
    </w:p>
  </w:footnote>
  <w:footnote w:id="2">
    <w:p w14:paraId="320978C3" w14:textId="523CBC97" w:rsidR="003D2F7C" w:rsidRPr="003D2F7C" w:rsidRDefault="003D2F7C">
      <w:pPr>
        <w:pStyle w:val="af"/>
        <w:ind w:firstLine="360"/>
        <w:rPr>
          <w:rFonts w:ascii="Times New Roman" w:eastAsia="宋体" w:hAnsi="Times New Roman" w:cs="Times New Roman"/>
        </w:rPr>
      </w:pPr>
      <w:r w:rsidRPr="003D2F7C">
        <w:rPr>
          <w:rStyle w:val="af1"/>
          <w:rFonts w:ascii="Times New Roman" w:eastAsia="宋体" w:hAnsi="Times New Roman" w:cs="Times New Roman"/>
        </w:rPr>
        <w:footnoteRef/>
      </w:r>
      <w:r w:rsidRPr="003D2F7C">
        <w:rPr>
          <w:rFonts w:ascii="Times New Roman" w:eastAsia="宋体" w:hAnsi="Times New Roman" w:cs="Times New Roman"/>
        </w:rPr>
        <w:t xml:space="preserve"> </w:t>
      </w:r>
      <w:r w:rsidRPr="003D2F7C">
        <w:rPr>
          <w:rFonts w:ascii="Times New Roman" w:eastAsia="宋体" w:hAnsi="Times New Roman" w:cs="Times New Roman"/>
        </w:rPr>
        <w:t>详见网址：</w:t>
      </w:r>
      <w:r w:rsidRPr="003D2F7C">
        <w:rPr>
          <w:rFonts w:ascii="Times New Roman" w:eastAsia="宋体" w:hAnsi="Times New Roman" w:cs="Times New Roman"/>
        </w:rPr>
        <w:t>http://www.ned.moic.gov.la/Downloads/Enterprise%20Law/Eng_Enterprise%20Law_%20Final.pdf</w:t>
      </w:r>
    </w:p>
  </w:footnote>
  <w:footnote w:id="3">
    <w:p w14:paraId="5EBAADCD" w14:textId="72BFD06D" w:rsidR="003D2F7C" w:rsidRPr="003D2F7C" w:rsidRDefault="003D2F7C">
      <w:pPr>
        <w:pStyle w:val="af"/>
        <w:ind w:firstLine="360"/>
        <w:rPr>
          <w:rFonts w:ascii="Times New Roman" w:eastAsia="宋体" w:hAnsi="Times New Roman" w:cs="Times New Roman"/>
        </w:rPr>
      </w:pPr>
      <w:r w:rsidRPr="003D2F7C">
        <w:rPr>
          <w:rStyle w:val="af1"/>
          <w:rFonts w:ascii="Times New Roman" w:eastAsia="宋体" w:hAnsi="Times New Roman" w:cs="Times New Roman"/>
        </w:rPr>
        <w:footnoteRef/>
      </w:r>
      <w:r w:rsidRPr="003D2F7C">
        <w:rPr>
          <w:rFonts w:ascii="Times New Roman" w:eastAsia="宋体" w:hAnsi="Times New Roman" w:cs="Times New Roman"/>
        </w:rPr>
        <w:t xml:space="preserve"> </w:t>
      </w:r>
      <w:r w:rsidRPr="003D2F7C">
        <w:rPr>
          <w:rFonts w:ascii="Times New Roman" w:eastAsia="宋体" w:hAnsi="Times New Roman" w:cs="Times New Roman"/>
        </w:rPr>
        <w:t>详见网址：</w:t>
      </w:r>
      <w:r w:rsidRPr="003D2F7C">
        <w:rPr>
          <w:rFonts w:ascii="Times New Roman" w:eastAsia="宋体" w:hAnsi="Times New Roman" w:cs="Times New Roman"/>
        </w:rPr>
        <w:t>https://investmentpolicy.unctad.org/investment-laws/laws/638/tajikistan-law-of-the-republic-of-tajikistan-on-capital-and-promotion-of-investment-activity</w:t>
      </w:r>
    </w:p>
  </w:footnote>
  <w:footnote w:id="4">
    <w:p w14:paraId="69ACF92E" w14:textId="44A368AE" w:rsidR="003D2F7C" w:rsidRPr="003D2F7C" w:rsidRDefault="003D2F7C">
      <w:pPr>
        <w:pStyle w:val="af"/>
        <w:ind w:firstLine="360"/>
        <w:rPr>
          <w:rFonts w:ascii="Times New Roman" w:eastAsia="宋体" w:hAnsi="Times New Roman" w:cs="Times New Roman"/>
        </w:rPr>
      </w:pPr>
      <w:r w:rsidRPr="003D2F7C">
        <w:rPr>
          <w:rStyle w:val="af1"/>
          <w:rFonts w:ascii="Times New Roman" w:eastAsia="宋体" w:hAnsi="Times New Roman" w:cs="Times New Roman"/>
        </w:rPr>
        <w:footnoteRef/>
      </w:r>
      <w:r w:rsidRPr="003D2F7C">
        <w:rPr>
          <w:rFonts w:ascii="Times New Roman" w:eastAsia="宋体" w:hAnsi="Times New Roman" w:cs="Times New Roman"/>
        </w:rPr>
        <w:t xml:space="preserve"> </w:t>
      </w:r>
      <w:r w:rsidRPr="003D2F7C">
        <w:rPr>
          <w:rFonts w:ascii="Times New Roman" w:eastAsia="宋体" w:hAnsi="Times New Roman" w:cs="Times New Roman"/>
        </w:rPr>
        <w:t>详见网址：</w:t>
      </w:r>
      <w:r w:rsidRPr="003D2F7C">
        <w:rPr>
          <w:rFonts w:ascii="Times New Roman" w:eastAsia="宋体" w:hAnsi="Times New Roman" w:cs="Times New Roman"/>
        </w:rPr>
        <w:t>https://www.freightamigo.com/sc/blog/logistics/essential-guide-to-tajikistan-customs-navigating-shipping-restrictions-and-regulations/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08"/>
      <w:gridCol w:w="5864"/>
    </w:tblGrid>
    <w:tr w:rsidR="00FC29FE" w14:paraId="3BB2C18E" w14:textId="77777777">
      <w:trPr>
        <w:trHeight w:val="410"/>
      </w:trPr>
      <w:tc>
        <w:tcPr>
          <w:tcW w:w="3208" w:type="dxa"/>
        </w:tcPr>
        <w:p w14:paraId="12DD3FA3" w14:textId="77777777" w:rsidR="00FC29FE" w:rsidRDefault="00000000">
          <w:pPr>
            <w:pStyle w:val="a7"/>
            <w:jc w:val="both"/>
            <w:rPr>
              <w:szCs w:val="14"/>
            </w:rPr>
          </w:pPr>
          <w:r>
            <w:rPr>
              <w:noProof/>
            </w:rPr>
            <w:drawing>
              <wp:inline distT="0" distB="0" distL="0" distR="0" wp14:anchorId="208F545A" wp14:editId="35A3D690">
                <wp:extent cx="1557655" cy="352425"/>
                <wp:effectExtent l="0" t="0" r="444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7655" cy="352425"/>
                        </a:xfrm>
                        <a:prstGeom prst="rect">
                          <a:avLst/>
                        </a:prstGeom>
                        <a:noFill/>
                        <a:ln>
                          <a:noFill/>
                        </a:ln>
                      </pic:spPr>
                    </pic:pic>
                  </a:graphicData>
                </a:graphic>
              </wp:inline>
            </w:drawing>
          </w:r>
        </w:p>
        <w:p w14:paraId="4CDF0EDB" w14:textId="77777777" w:rsidR="00FC29FE" w:rsidRDefault="00FC29FE">
          <w:pPr>
            <w:pStyle w:val="a7"/>
            <w:ind w:firstLine="560"/>
            <w:jc w:val="both"/>
            <w:rPr>
              <w:szCs w:val="14"/>
            </w:rPr>
          </w:pPr>
        </w:p>
      </w:tc>
      <w:tc>
        <w:tcPr>
          <w:tcW w:w="5864" w:type="dxa"/>
        </w:tcPr>
        <w:p w14:paraId="2449BBB5" w14:textId="77777777" w:rsidR="00FC29FE" w:rsidRDefault="00000000">
          <w:pPr>
            <w:pStyle w:val="a7"/>
            <w:rPr>
              <w:szCs w:val="14"/>
            </w:rPr>
          </w:pPr>
          <w:r>
            <w:tab/>
          </w:r>
        </w:p>
      </w:tc>
    </w:tr>
  </w:tbl>
  <w:p w14:paraId="53B84445" w14:textId="77777777" w:rsidR="00FC29FE" w:rsidRDefault="00000000">
    <w:pPr>
      <w:pStyle w:val="a7"/>
      <w:ind w:right="840"/>
      <w:jc w:val="both"/>
    </w:pPr>
    <w:r>
      <w:rPr>
        <w:rFonts w:hint="eastAsia"/>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907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08"/>
      <w:gridCol w:w="2877"/>
      <w:gridCol w:w="2987"/>
    </w:tblGrid>
    <w:tr w:rsidR="00FC29FE" w14:paraId="309DBB76" w14:textId="77777777">
      <w:trPr>
        <w:trHeight w:val="709"/>
      </w:trPr>
      <w:tc>
        <w:tcPr>
          <w:tcW w:w="3208" w:type="dxa"/>
        </w:tcPr>
        <w:p w14:paraId="56801CCF" w14:textId="77777777" w:rsidR="00FC29FE" w:rsidRDefault="00000000">
          <w:pPr>
            <w:pStyle w:val="a7"/>
            <w:jc w:val="both"/>
            <w:rPr>
              <w:szCs w:val="14"/>
            </w:rPr>
          </w:pPr>
          <w:r>
            <w:rPr>
              <w:noProof/>
            </w:rPr>
            <w:drawing>
              <wp:inline distT="0" distB="0" distL="0" distR="0" wp14:anchorId="696B324B" wp14:editId="50755B3C">
                <wp:extent cx="1557655" cy="35242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57655" cy="352425"/>
                        </a:xfrm>
                        <a:prstGeom prst="rect">
                          <a:avLst/>
                        </a:prstGeom>
                        <a:noFill/>
                        <a:ln>
                          <a:noFill/>
                        </a:ln>
                      </pic:spPr>
                    </pic:pic>
                  </a:graphicData>
                </a:graphic>
              </wp:inline>
            </w:drawing>
          </w:r>
        </w:p>
        <w:p w14:paraId="0BDE093E" w14:textId="77777777" w:rsidR="00FC29FE" w:rsidRDefault="00FC29FE">
          <w:pPr>
            <w:pStyle w:val="a7"/>
            <w:ind w:firstLine="560"/>
            <w:jc w:val="both"/>
            <w:rPr>
              <w:szCs w:val="14"/>
            </w:rPr>
          </w:pPr>
        </w:p>
      </w:tc>
      <w:tc>
        <w:tcPr>
          <w:tcW w:w="2877" w:type="dxa"/>
        </w:tcPr>
        <w:p w14:paraId="60155368" w14:textId="77777777" w:rsidR="00FC29FE" w:rsidRDefault="00000000">
          <w:pPr>
            <w:pStyle w:val="a7"/>
          </w:pPr>
          <w:r>
            <w:rPr>
              <w:rFonts w:hint="eastAsia"/>
            </w:rPr>
            <w:t>北京大成（苏州）律师事务所</w:t>
          </w:r>
        </w:p>
        <w:p w14:paraId="2D2DAC5A" w14:textId="77777777" w:rsidR="00FC29FE" w:rsidRDefault="00000000">
          <w:pPr>
            <w:pStyle w:val="a7"/>
          </w:pPr>
          <w:r>
            <w:rPr>
              <w:rFonts w:hint="eastAsia"/>
            </w:rPr>
            <w:t>中国江苏省苏州市</w:t>
          </w:r>
        </w:p>
        <w:p w14:paraId="4C39BDEE" w14:textId="77777777" w:rsidR="00FC29FE" w:rsidRDefault="00000000">
          <w:pPr>
            <w:pStyle w:val="a7"/>
            <w:ind w:leftChars="-10" w:left="-28"/>
          </w:pPr>
          <w:r>
            <w:rPr>
              <w:rFonts w:hint="eastAsia"/>
            </w:rPr>
            <w:t>苏州工业园区旺墩路</w:t>
          </w:r>
          <w:r>
            <w:rPr>
              <w:rFonts w:hint="eastAsia"/>
            </w:rPr>
            <w:t>2</w:t>
          </w:r>
          <w:r>
            <w:t>69</w:t>
          </w:r>
          <w:r>
            <w:rPr>
              <w:rFonts w:hint="eastAsia"/>
            </w:rPr>
            <w:t>号</w:t>
          </w:r>
        </w:p>
        <w:p w14:paraId="5E382701" w14:textId="77777777" w:rsidR="00FC29FE" w:rsidRDefault="00000000">
          <w:pPr>
            <w:pStyle w:val="a7"/>
            <w:ind w:leftChars="-10" w:left="-28"/>
          </w:pPr>
          <w:r>
            <w:rPr>
              <w:rFonts w:hint="eastAsia"/>
            </w:rPr>
            <w:t>星座商务广场</w:t>
          </w:r>
          <w:r>
            <w:rPr>
              <w:rFonts w:hint="eastAsia"/>
            </w:rPr>
            <w:t>1</w:t>
          </w:r>
          <w:r>
            <w:rPr>
              <w:rFonts w:hint="eastAsia"/>
            </w:rPr>
            <w:t>幢</w:t>
          </w:r>
          <w:r>
            <w:rPr>
              <w:rFonts w:hint="eastAsia"/>
            </w:rPr>
            <w:t>2</w:t>
          </w:r>
          <w:r>
            <w:t>902</w:t>
          </w:r>
          <w:r>
            <w:rPr>
              <w:rFonts w:hint="eastAsia"/>
            </w:rPr>
            <w:t>室</w:t>
          </w:r>
        </w:p>
        <w:p w14:paraId="2B3D3F82" w14:textId="77777777" w:rsidR="00FC29FE" w:rsidRDefault="00000000">
          <w:pPr>
            <w:pStyle w:val="a7"/>
            <w:rPr>
              <w:szCs w:val="14"/>
            </w:rPr>
          </w:pPr>
          <w:r>
            <w:rPr>
              <w:rFonts w:hint="eastAsia"/>
            </w:rPr>
            <w:t>邮编</w:t>
          </w:r>
          <w:r>
            <w:t>21502</w:t>
          </w:r>
          <w:r>
            <w:rPr>
              <w:rFonts w:hint="eastAsia"/>
            </w:rPr>
            <w:t>8</w:t>
          </w:r>
        </w:p>
      </w:tc>
      <w:tc>
        <w:tcPr>
          <w:tcW w:w="2987" w:type="dxa"/>
        </w:tcPr>
        <w:p w14:paraId="67BA3883" w14:textId="77777777" w:rsidR="00FC29FE" w:rsidRDefault="00000000">
          <w:pPr>
            <w:pStyle w:val="a7"/>
          </w:pPr>
          <w:r>
            <w:t>B</w:t>
          </w:r>
          <w:r>
            <w:rPr>
              <w:rFonts w:hint="eastAsia"/>
            </w:rPr>
            <w:t>ei</w:t>
          </w:r>
          <w:r>
            <w:t xml:space="preserve">jing </w:t>
          </w:r>
          <w:proofErr w:type="spellStart"/>
          <w:r>
            <w:t>Dacheng</w:t>
          </w:r>
          <w:proofErr w:type="spellEnd"/>
          <w:r>
            <w:t xml:space="preserve"> Law Offices, LLP (Suzhou) </w:t>
          </w:r>
        </w:p>
        <w:p w14:paraId="6E16F512" w14:textId="77777777" w:rsidR="00FC29FE" w:rsidRDefault="00000000">
          <w:pPr>
            <w:pStyle w:val="LetterheadAddress"/>
            <w:spacing w:line="288" w:lineRule="auto"/>
            <w:ind w:firstLine="560"/>
            <w:rPr>
              <w:rFonts w:eastAsia="宋体"/>
            </w:rPr>
          </w:pPr>
          <w:r>
            <w:rPr>
              <w:rFonts w:eastAsia="宋体"/>
            </w:rPr>
            <w:t>29/</w:t>
          </w:r>
          <w:proofErr w:type="gramStart"/>
          <w:r>
            <w:rPr>
              <w:rFonts w:eastAsia="宋体"/>
            </w:rPr>
            <w:t>F  Building</w:t>
          </w:r>
          <w:proofErr w:type="gramEnd"/>
          <w:r>
            <w:rPr>
              <w:rFonts w:eastAsia="宋体"/>
            </w:rPr>
            <w:t xml:space="preserve"> 1</w:t>
          </w:r>
          <w:r>
            <w:rPr>
              <w:rFonts w:eastAsia="宋体"/>
            </w:rPr>
            <w:br/>
            <w:t>Harmony Constellation Plaz</w:t>
          </w:r>
          <w:r>
            <w:rPr>
              <w:rFonts w:eastAsia="宋体" w:hint="eastAsia"/>
              <w:lang w:eastAsia="zh-CN"/>
            </w:rPr>
            <w:t>a</w:t>
          </w:r>
        </w:p>
        <w:p w14:paraId="01C49A92" w14:textId="77777777" w:rsidR="00FC29FE" w:rsidRDefault="00000000">
          <w:pPr>
            <w:pStyle w:val="a7"/>
          </w:pPr>
          <w:r>
            <w:t xml:space="preserve">No.269, Wang Dun Road </w:t>
          </w:r>
          <w:r>
            <w:br/>
            <w:t>SIP, Suzhou, Jiangsu 215028</w:t>
          </w:r>
          <w:r>
            <w:br/>
            <w:t>China</w:t>
          </w:r>
        </w:p>
        <w:p w14:paraId="6E6A7D39" w14:textId="77777777" w:rsidR="00FC29FE" w:rsidRDefault="00FC29FE">
          <w:pPr>
            <w:pStyle w:val="a7"/>
            <w:rPr>
              <w:szCs w:val="14"/>
            </w:rPr>
          </w:pPr>
        </w:p>
        <w:p w14:paraId="0652D7AB" w14:textId="77777777" w:rsidR="00FC29FE" w:rsidRDefault="00000000">
          <w:pPr>
            <w:pStyle w:val="a7"/>
          </w:pPr>
          <w:r>
            <w:t>dacheng.com</w:t>
          </w:r>
        </w:p>
        <w:p w14:paraId="33286B00" w14:textId="77777777" w:rsidR="00FC29FE" w:rsidRDefault="00000000">
          <w:pPr>
            <w:pStyle w:val="a7"/>
            <w:rPr>
              <w:szCs w:val="14"/>
            </w:rPr>
          </w:pPr>
          <w:r>
            <w:t>dentons.cn</w:t>
          </w:r>
        </w:p>
      </w:tc>
    </w:tr>
  </w:tbl>
  <w:p w14:paraId="2E2D7D41" w14:textId="77777777" w:rsidR="00FC29FE" w:rsidRDefault="00FC29FE">
    <w:pPr>
      <w:pStyle w:val="a7"/>
      <w:rPr>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BEE7F1"/>
    <w:multiLevelType w:val="singleLevel"/>
    <w:tmpl w:val="EABEE7F1"/>
    <w:lvl w:ilvl="0">
      <w:start w:val="1"/>
      <w:numFmt w:val="decimal"/>
      <w:suff w:val="space"/>
      <w:lvlText w:val="%1."/>
      <w:lvlJc w:val="left"/>
    </w:lvl>
  </w:abstractNum>
  <w:abstractNum w:abstractNumId="1" w15:restartNumberingAfterBreak="0">
    <w:nsid w:val="F2E6DEA6"/>
    <w:multiLevelType w:val="singleLevel"/>
    <w:tmpl w:val="F2E6DEA6"/>
    <w:lvl w:ilvl="0">
      <w:start w:val="1"/>
      <w:numFmt w:val="chineseCounting"/>
      <w:suff w:val="nothing"/>
      <w:lvlText w:val="%1、"/>
      <w:lvlJc w:val="left"/>
      <w:rPr>
        <w:rFonts w:hint="eastAsia"/>
      </w:rPr>
    </w:lvl>
  </w:abstractNum>
  <w:abstractNum w:abstractNumId="2" w15:restartNumberingAfterBreak="0">
    <w:nsid w:val="FF5F7DB9"/>
    <w:multiLevelType w:val="singleLevel"/>
    <w:tmpl w:val="FF5F7DB9"/>
    <w:lvl w:ilvl="0">
      <w:start w:val="1"/>
      <w:numFmt w:val="decimal"/>
      <w:suff w:val="space"/>
      <w:lvlText w:val="%1."/>
      <w:lvlJc w:val="left"/>
    </w:lvl>
  </w:abstractNum>
  <w:abstractNum w:abstractNumId="3" w15:restartNumberingAfterBreak="0">
    <w:nsid w:val="1B00012B"/>
    <w:multiLevelType w:val="multilevel"/>
    <w:tmpl w:val="F43A0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082388"/>
    <w:multiLevelType w:val="multilevel"/>
    <w:tmpl w:val="C8CC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346917">
    <w:abstractNumId w:val="1"/>
  </w:num>
  <w:num w:numId="2" w16cid:durableId="1489444732">
    <w:abstractNumId w:val="0"/>
  </w:num>
  <w:num w:numId="3" w16cid:durableId="470562310">
    <w:abstractNumId w:val="2"/>
  </w:num>
  <w:num w:numId="4" w16cid:durableId="323969017">
    <w:abstractNumId w:val="3"/>
  </w:num>
  <w:num w:numId="5" w16cid:durableId="1731029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grammar="clean"/>
  <w:attachedTemplate r:id="rId1"/>
  <w:defaultTabStop w:val="420"/>
  <w:drawingGridHorizontalSpacing w:val="140"/>
  <w:drawingGridVerticalSpacing w:val="381"/>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JkZDFlMWQ3ZjAxYTE4YjcyZDA4MmExMzQ3NDAzNTUifQ=="/>
  </w:docVars>
  <w:rsids>
    <w:rsidRoot w:val="00020EBA"/>
    <w:rsid w:val="00004B42"/>
    <w:rsid w:val="00014B67"/>
    <w:rsid w:val="00020042"/>
    <w:rsid w:val="00020EBA"/>
    <w:rsid w:val="00021E75"/>
    <w:rsid w:val="0002331E"/>
    <w:rsid w:val="00052937"/>
    <w:rsid w:val="0006179D"/>
    <w:rsid w:val="000704CC"/>
    <w:rsid w:val="000811F5"/>
    <w:rsid w:val="00095072"/>
    <w:rsid w:val="000960F0"/>
    <w:rsid w:val="000B1D81"/>
    <w:rsid w:val="000B2A67"/>
    <w:rsid w:val="000C0B5A"/>
    <w:rsid w:val="000C38B7"/>
    <w:rsid w:val="000E084D"/>
    <w:rsid w:val="000E4D94"/>
    <w:rsid w:val="000E61B9"/>
    <w:rsid w:val="00101892"/>
    <w:rsid w:val="001077ED"/>
    <w:rsid w:val="00122A03"/>
    <w:rsid w:val="00130DCC"/>
    <w:rsid w:val="0013101D"/>
    <w:rsid w:val="001476C6"/>
    <w:rsid w:val="001640D8"/>
    <w:rsid w:val="0018756C"/>
    <w:rsid w:val="001A73DB"/>
    <w:rsid w:val="0020148B"/>
    <w:rsid w:val="00235738"/>
    <w:rsid w:val="00235FE7"/>
    <w:rsid w:val="00250473"/>
    <w:rsid w:val="00251AC1"/>
    <w:rsid w:val="002556AE"/>
    <w:rsid w:val="002657FE"/>
    <w:rsid w:val="00284FB7"/>
    <w:rsid w:val="002C0028"/>
    <w:rsid w:val="002E0989"/>
    <w:rsid w:val="002E732D"/>
    <w:rsid w:val="00310051"/>
    <w:rsid w:val="0031034A"/>
    <w:rsid w:val="00311995"/>
    <w:rsid w:val="003168CF"/>
    <w:rsid w:val="003204C2"/>
    <w:rsid w:val="00337735"/>
    <w:rsid w:val="00341024"/>
    <w:rsid w:val="00356651"/>
    <w:rsid w:val="00384BA9"/>
    <w:rsid w:val="00394769"/>
    <w:rsid w:val="003A0CD0"/>
    <w:rsid w:val="003A3546"/>
    <w:rsid w:val="003B3328"/>
    <w:rsid w:val="003D2F7C"/>
    <w:rsid w:val="003D73BD"/>
    <w:rsid w:val="003F5647"/>
    <w:rsid w:val="00402C20"/>
    <w:rsid w:val="004218F2"/>
    <w:rsid w:val="00444EBD"/>
    <w:rsid w:val="0044583E"/>
    <w:rsid w:val="00446214"/>
    <w:rsid w:val="0046066D"/>
    <w:rsid w:val="00460AF6"/>
    <w:rsid w:val="00471E54"/>
    <w:rsid w:val="004A16C9"/>
    <w:rsid w:val="004C7FA9"/>
    <w:rsid w:val="004E5082"/>
    <w:rsid w:val="004F4EB3"/>
    <w:rsid w:val="00507ABF"/>
    <w:rsid w:val="005170F2"/>
    <w:rsid w:val="005350BC"/>
    <w:rsid w:val="00553033"/>
    <w:rsid w:val="00582AA3"/>
    <w:rsid w:val="00583E50"/>
    <w:rsid w:val="005B727D"/>
    <w:rsid w:val="005B7ADE"/>
    <w:rsid w:val="005E025F"/>
    <w:rsid w:val="005F33FC"/>
    <w:rsid w:val="006002D0"/>
    <w:rsid w:val="006026B7"/>
    <w:rsid w:val="0061520D"/>
    <w:rsid w:val="006157F3"/>
    <w:rsid w:val="0065138B"/>
    <w:rsid w:val="00662641"/>
    <w:rsid w:val="006B619F"/>
    <w:rsid w:val="006C1B85"/>
    <w:rsid w:val="006C7F2B"/>
    <w:rsid w:val="006F2FAB"/>
    <w:rsid w:val="00704B41"/>
    <w:rsid w:val="00706B24"/>
    <w:rsid w:val="00713680"/>
    <w:rsid w:val="00725C43"/>
    <w:rsid w:val="00736D1C"/>
    <w:rsid w:val="0075740F"/>
    <w:rsid w:val="0076004E"/>
    <w:rsid w:val="00767555"/>
    <w:rsid w:val="00777B78"/>
    <w:rsid w:val="00780C83"/>
    <w:rsid w:val="007A237D"/>
    <w:rsid w:val="007E16B8"/>
    <w:rsid w:val="00814243"/>
    <w:rsid w:val="00816AC3"/>
    <w:rsid w:val="008241E1"/>
    <w:rsid w:val="00844E43"/>
    <w:rsid w:val="00851458"/>
    <w:rsid w:val="00856989"/>
    <w:rsid w:val="00872AF9"/>
    <w:rsid w:val="0088065D"/>
    <w:rsid w:val="00890B5F"/>
    <w:rsid w:val="008916FF"/>
    <w:rsid w:val="008C6FF8"/>
    <w:rsid w:val="008C7603"/>
    <w:rsid w:val="008F5AAA"/>
    <w:rsid w:val="009025BF"/>
    <w:rsid w:val="009218CD"/>
    <w:rsid w:val="00924287"/>
    <w:rsid w:val="0095455B"/>
    <w:rsid w:val="00973C48"/>
    <w:rsid w:val="00974809"/>
    <w:rsid w:val="009A37C6"/>
    <w:rsid w:val="009A7F68"/>
    <w:rsid w:val="009B70D4"/>
    <w:rsid w:val="009C5BCF"/>
    <w:rsid w:val="009D4BA5"/>
    <w:rsid w:val="009E346A"/>
    <w:rsid w:val="00A13D9C"/>
    <w:rsid w:val="00A471F3"/>
    <w:rsid w:val="00A5517A"/>
    <w:rsid w:val="00A719CF"/>
    <w:rsid w:val="00A72898"/>
    <w:rsid w:val="00AA7A7E"/>
    <w:rsid w:val="00AA7C62"/>
    <w:rsid w:val="00AC0A4F"/>
    <w:rsid w:val="00AC1902"/>
    <w:rsid w:val="00AC38BE"/>
    <w:rsid w:val="00AD0155"/>
    <w:rsid w:val="00AE0360"/>
    <w:rsid w:val="00AE6666"/>
    <w:rsid w:val="00AF0160"/>
    <w:rsid w:val="00AF5C3A"/>
    <w:rsid w:val="00B173B6"/>
    <w:rsid w:val="00B62AA9"/>
    <w:rsid w:val="00B72030"/>
    <w:rsid w:val="00B745D7"/>
    <w:rsid w:val="00B90EFD"/>
    <w:rsid w:val="00B935B3"/>
    <w:rsid w:val="00BB79DF"/>
    <w:rsid w:val="00BC4B7C"/>
    <w:rsid w:val="00BC79CE"/>
    <w:rsid w:val="00BD58AA"/>
    <w:rsid w:val="00BF4A7A"/>
    <w:rsid w:val="00BF6D30"/>
    <w:rsid w:val="00C84ED7"/>
    <w:rsid w:val="00C9392E"/>
    <w:rsid w:val="00C96839"/>
    <w:rsid w:val="00C9778F"/>
    <w:rsid w:val="00CB72D6"/>
    <w:rsid w:val="00CC26F0"/>
    <w:rsid w:val="00CC4025"/>
    <w:rsid w:val="00D00E38"/>
    <w:rsid w:val="00D02CC4"/>
    <w:rsid w:val="00D50BD1"/>
    <w:rsid w:val="00D864C6"/>
    <w:rsid w:val="00D909AE"/>
    <w:rsid w:val="00D915F8"/>
    <w:rsid w:val="00DB1B55"/>
    <w:rsid w:val="00DC23A7"/>
    <w:rsid w:val="00DC4683"/>
    <w:rsid w:val="00DC5C8C"/>
    <w:rsid w:val="00DE2D1C"/>
    <w:rsid w:val="00DE50DD"/>
    <w:rsid w:val="00DF0F33"/>
    <w:rsid w:val="00E14824"/>
    <w:rsid w:val="00E16B1E"/>
    <w:rsid w:val="00E220B9"/>
    <w:rsid w:val="00E246A3"/>
    <w:rsid w:val="00E403C9"/>
    <w:rsid w:val="00E40F22"/>
    <w:rsid w:val="00E601DD"/>
    <w:rsid w:val="00E60A20"/>
    <w:rsid w:val="00E76CCA"/>
    <w:rsid w:val="00E854D5"/>
    <w:rsid w:val="00EA4F1D"/>
    <w:rsid w:val="00EC680E"/>
    <w:rsid w:val="00ED5B92"/>
    <w:rsid w:val="00EF297C"/>
    <w:rsid w:val="00F076FF"/>
    <w:rsid w:val="00F602A4"/>
    <w:rsid w:val="00F73BD5"/>
    <w:rsid w:val="00F929C1"/>
    <w:rsid w:val="00FA3368"/>
    <w:rsid w:val="00FB0A6A"/>
    <w:rsid w:val="00FB5703"/>
    <w:rsid w:val="00FC191B"/>
    <w:rsid w:val="00FC29FE"/>
    <w:rsid w:val="00FE0512"/>
    <w:rsid w:val="00FE2642"/>
    <w:rsid w:val="00FE6B13"/>
    <w:rsid w:val="00FF2C58"/>
    <w:rsid w:val="1FBF155B"/>
    <w:rsid w:val="3AED62BC"/>
    <w:rsid w:val="3AFC9FB4"/>
    <w:rsid w:val="3FFF9991"/>
    <w:rsid w:val="4F7F5EE2"/>
    <w:rsid w:val="5FDF39DA"/>
    <w:rsid w:val="6E7D390F"/>
    <w:rsid w:val="71F76CA6"/>
    <w:rsid w:val="7CA7161A"/>
    <w:rsid w:val="7FFFD24A"/>
    <w:rsid w:val="8F5B50A5"/>
    <w:rsid w:val="A7FC450A"/>
    <w:rsid w:val="AC5AF7E4"/>
    <w:rsid w:val="B7FF5E66"/>
    <w:rsid w:val="BFDFE422"/>
    <w:rsid w:val="CBC74C81"/>
    <w:rsid w:val="CF020D17"/>
    <w:rsid w:val="DDEB829F"/>
    <w:rsid w:val="DEF594CE"/>
    <w:rsid w:val="E6EEE5B4"/>
    <w:rsid w:val="F5FFCDEE"/>
    <w:rsid w:val="F7B2CBB5"/>
    <w:rsid w:val="FB5B8F9D"/>
    <w:rsid w:val="FDFE62DC"/>
    <w:rsid w:val="FE2DF709"/>
    <w:rsid w:val="FFEB793D"/>
    <w:rsid w:val="FFF6B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5A40FD"/>
  <w15:docId w15:val="{F21D1244-3F61-1041-A9F1-844AC9FCB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00" w:lineRule="exact"/>
      <w:ind w:firstLineChars="200" w:firstLine="200"/>
      <w:jc w:val="both"/>
    </w:pPr>
    <w:rPr>
      <w:rFonts w:ascii="Arial" w:eastAsia="仿宋_GB2312" w:hAnsi="Arial" w:cstheme="minorBidi"/>
      <w:kern w:val="2"/>
      <w:sz w:val="28"/>
      <w:szCs w:val="21"/>
    </w:rPr>
  </w:style>
  <w:style w:type="paragraph" w:styleId="1">
    <w:name w:val="heading 1"/>
    <w:basedOn w:val="a"/>
    <w:link w:val="10"/>
    <w:uiPriority w:val="9"/>
    <w:qFormat/>
    <w:rsid w:val="00444EBD"/>
    <w:pPr>
      <w:widowControl/>
      <w:spacing w:before="100" w:beforeAutospacing="1" w:after="100" w:afterAutospacing="1" w:line="240" w:lineRule="auto"/>
      <w:ind w:firstLineChars="0" w:firstLine="0"/>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line="240" w:lineRule="auto"/>
    </w:pPr>
    <w:rPr>
      <w:sz w:val="18"/>
      <w:szCs w:val="18"/>
    </w:rPr>
  </w:style>
  <w:style w:type="paragraph" w:styleId="a5">
    <w:name w:val="footer"/>
    <w:link w:val="a6"/>
    <w:uiPriority w:val="99"/>
    <w:unhideWhenUsed/>
    <w:pPr>
      <w:tabs>
        <w:tab w:val="center" w:pos="4153"/>
        <w:tab w:val="right" w:pos="8306"/>
      </w:tabs>
      <w:snapToGrid w:val="0"/>
    </w:pPr>
    <w:rPr>
      <w:rFonts w:ascii="Arial" w:hAnsi="Arial" w:cstheme="minorBidi"/>
      <w:kern w:val="2"/>
      <w:sz w:val="14"/>
      <w:szCs w:val="18"/>
    </w:rPr>
  </w:style>
  <w:style w:type="paragraph" w:styleId="a7">
    <w:name w:val="header"/>
    <w:link w:val="a8"/>
    <w:uiPriority w:val="99"/>
    <w:unhideWhenUsed/>
    <w:pPr>
      <w:tabs>
        <w:tab w:val="center" w:pos="4153"/>
        <w:tab w:val="right" w:pos="8306"/>
      </w:tabs>
      <w:snapToGrid w:val="0"/>
      <w:jc w:val="right"/>
    </w:pPr>
    <w:rPr>
      <w:rFonts w:ascii="Arial" w:hAnsi="Arial" w:cstheme="minorBidi"/>
      <w:kern w:val="2"/>
      <w:sz w:val="14"/>
      <w:szCs w:val="18"/>
    </w:rPr>
  </w:style>
  <w:style w:type="paragraph" w:styleId="a9">
    <w:name w:val="Normal (Web)"/>
    <w:basedOn w:val="a"/>
    <w:uiPriority w:val="99"/>
    <w:semiHidden/>
    <w:unhideWhenUsed/>
    <w:pPr>
      <w:spacing w:beforeAutospacing="1" w:afterAutospacing="1"/>
      <w:jc w:val="left"/>
    </w:pPr>
    <w:rPr>
      <w:rFonts w:cs="Times New Roman"/>
      <w:kern w:val="0"/>
      <w:sz w:val="24"/>
    </w:rPr>
  </w:style>
  <w:style w:type="paragraph" w:styleId="aa">
    <w:name w:val="Title"/>
    <w:next w:val="a"/>
    <w:link w:val="ab"/>
    <w:uiPriority w:val="10"/>
    <w:qFormat/>
    <w:pPr>
      <w:spacing w:before="360" w:after="360" w:line="360" w:lineRule="auto"/>
      <w:jc w:val="center"/>
      <w:outlineLvl w:val="0"/>
    </w:pPr>
    <w:rPr>
      <w:rFonts w:ascii="Arial" w:eastAsia="华文中宋" w:hAnsi="Arial" w:cstheme="majorBidi"/>
      <w:b/>
      <w:bCs/>
      <w:kern w:val="2"/>
      <w:sz w:val="36"/>
      <w:szCs w:val="32"/>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rFonts w:ascii="Arial" w:eastAsia="宋体" w:hAnsi="Arial"/>
      <w:sz w:val="14"/>
      <w:szCs w:val="18"/>
    </w:rPr>
  </w:style>
  <w:style w:type="character" w:customStyle="1" w:styleId="a6">
    <w:name w:val="页脚 字符"/>
    <w:basedOn w:val="a0"/>
    <w:link w:val="a5"/>
    <w:uiPriority w:val="99"/>
    <w:rPr>
      <w:rFonts w:ascii="Arial" w:eastAsia="宋体" w:hAnsi="Arial"/>
      <w:sz w:val="14"/>
      <w:szCs w:val="18"/>
    </w:rPr>
  </w:style>
  <w:style w:type="character" w:customStyle="1" w:styleId="ab">
    <w:name w:val="标题 字符"/>
    <w:basedOn w:val="a0"/>
    <w:link w:val="aa"/>
    <w:uiPriority w:val="10"/>
    <w:rPr>
      <w:rFonts w:ascii="Arial" w:eastAsia="华文中宋" w:hAnsi="Arial" w:cstheme="majorBidi"/>
      <w:b/>
      <w:bCs/>
      <w:sz w:val="36"/>
      <w:szCs w:val="32"/>
    </w:rPr>
  </w:style>
  <w:style w:type="character" w:customStyle="1" w:styleId="a4">
    <w:name w:val="批注框文本 字符"/>
    <w:basedOn w:val="a0"/>
    <w:link w:val="a3"/>
    <w:uiPriority w:val="99"/>
    <w:semiHidden/>
    <w:rPr>
      <w:rFonts w:ascii="Arial" w:eastAsia="仿宋_GB2312" w:hAnsi="Arial"/>
      <w:sz w:val="18"/>
      <w:szCs w:val="18"/>
    </w:rPr>
  </w:style>
  <w:style w:type="paragraph" w:styleId="ad">
    <w:name w:val="List Paragraph"/>
    <w:basedOn w:val="a"/>
    <w:uiPriority w:val="34"/>
    <w:qFormat/>
    <w:pPr>
      <w:ind w:firstLine="420"/>
    </w:pPr>
  </w:style>
  <w:style w:type="character" w:customStyle="1" w:styleId="contentpasted0">
    <w:name w:val="contentpasted0"/>
    <w:basedOn w:val="a0"/>
  </w:style>
  <w:style w:type="paragraph" w:customStyle="1" w:styleId="LetterheadAddress">
    <w:name w:val="Letterhead Address"/>
    <w:basedOn w:val="a"/>
    <w:pPr>
      <w:widowControl/>
      <w:spacing w:line="180" w:lineRule="exact"/>
      <w:ind w:firstLineChars="0" w:firstLine="0"/>
      <w:jc w:val="right"/>
    </w:pPr>
    <w:rPr>
      <w:rFonts w:eastAsia="Times New Roman" w:cs="Arial"/>
      <w:kern w:val="0"/>
      <w:sz w:val="14"/>
      <w:szCs w:val="14"/>
      <w:lang w:eastAsia="en-US"/>
    </w:rPr>
  </w:style>
  <w:style w:type="paragraph" w:customStyle="1" w:styleId="p1">
    <w:name w:val="p1"/>
    <w:basedOn w:val="a"/>
    <w:pPr>
      <w:jc w:val="left"/>
    </w:pPr>
    <w:rPr>
      <w:rFonts w:ascii="华文宋体" w:eastAsia="华文宋体" w:hAnsi="华文宋体" w:cs="Times New Roman"/>
      <w:color w:val="000000"/>
      <w:kern w:val="0"/>
      <w:sz w:val="24"/>
      <w:szCs w:val="24"/>
    </w:rPr>
  </w:style>
  <w:style w:type="character" w:customStyle="1" w:styleId="s1">
    <w:name w:val="s1"/>
    <w:basedOn w:val="a0"/>
    <w:rPr>
      <w:rFonts w:ascii="Times New Roman" w:hAnsi="Times New Roman" w:cs="Times New Roman"/>
      <w:sz w:val="24"/>
      <w:szCs w:val="24"/>
    </w:rPr>
  </w:style>
  <w:style w:type="paragraph" w:customStyle="1" w:styleId="p2">
    <w:name w:val="p2"/>
    <w:basedOn w:val="a"/>
    <w:pPr>
      <w:jc w:val="left"/>
    </w:pPr>
    <w:rPr>
      <w:rFonts w:ascii="Times New Roman" w:hAnsi="Times New Roman" w:cs="Times New Roman"/>
      <w:color w:val="000000"/>
      <w:kern w:val="0"/>
      <w:sz w:val="21"/>
    </w:rPr>
  </w:style>
  <w:style w:type="character" w:customStyle="1" w:styleId="s2">
    <w:name w:val="s2"/>
    <w:basedOn w:val="a0"/>
    <w:rPr>
      <w:rFonts w:ascii="华文宋体" w:eastAsia="华文宋体" w:hAnsi="华文宋体" w:cs="华文宋体" w:hint="eastAsia"/>
      <w:sz w:val="21"/>
      <w:szCs w:val="21"/>
    </w:rPr>
  </w:style>
  <w:style w:type="paragraph" w:styleId="ae">
    <w:name w:val="Revision"/>
    <w:hidden/>
    <w:uiPriority w:val="99"/>
    <w:unhideWhenUsed/>
    <w:rsid w:val="00767555"/>
    <w:rPr>
      <w:rFonts w:ascii="Arial" w:eastAsia="仿宋_GB2312" w:hAnsi="Arial" w:cstheme="minorBidi"/>
      <w:kern w:val="2"/>
      <w:sz w:val="28"/>
      <w:szCs w:val="21"/>
    </w:rPr>
  </w:style>
  <w:style w:type="paragraph" w:styleId="af">
    <w:name w:val="footnote text"/>
    <w:basedOn w:val="a"/>
    <w:link w:val="af0"/>
    <w:uiPriority w:val="99"/>
    <w:semiHidden/>
    <w:unhideWhenUsed/>
    <w:rsid w:val="00706B24"/>
    <w:pPr>
      <w:snapToGrid w:val="0"/>
      <w:jc w:val="left"/>
    </w:pPr>
    <w:rPr>
      <w:sz w:val="18"/>
      <w:szCs w:val="18"/>
    </w:rPr>
  </w:style>
  <w:style w:type="character" w:customStyle="1" w:styleId="af0">
    <w:name w:val="脚注文本 字符"/>
    <w:basedOn w:val="a0"/>
    <w:link w:val="af"/>
    <w:uiPriority w:val="99"/>
    <w:semiHidden/>
    <w:rsid w:val="00706B24"/>
    <w:rPr>
      <w:rFonts w:ascii="Arial" w:eastAsia="仿宋_GB2312" w:hAnsi="Arial" w:cstheme="minorBidi"/>
      <w:kern w:val="2"/>
      <w:sz w:val="18"/>
      <w:szCs w:val="18"/>
    </w:rPr>
  </w:style>
  <w:style w:type="character" w:styleId="af1">
    <w:name w:val="footnote reference"/>
    <w:basedOn w:val="a0"/>
    <w:uiPriority w:val="99"/>
    <w:semiHidden/>
    <w:unhideWhenUsed/>
    <w:rsid w:val="00706B24"/>
    <w:rPr>
      <w:vertAlign w:val="superscript"/>
    </w:rPr>
  </w:style>
  <w:style w:type="paragraph" w:customStyle="1" w:styleId="ds-markdown-paragraph">
    <w:name w:val="ds-markdown-paragraph"/>
    <w:basedOn w:val="a"/>
    <w:rsid w:val="00BF6D30"/>
    <w:pPr>
      <w:widowControl/>
      <w:spacing w:before="100" w:beforeAutospacing="1" w:after="100" w:afterAutospacing="1" w:line="240" w:lineRule="auto"/>
      <w:ind w:firstLineChars="0" w:firstLine="0"/>
      <w:jc w:val="left"/>
    </w:pPr>
    <w:rPr>
      <w:rFonts w:ascii="宋体" w:eastAsia="宋体" w:hAnsi="宋体" w:cs="宋体"/>
      <w:kern w:val="0"/>
      <w:sz w:val="24"/>
      <w:szCs w:val="24"/>
    </w:rPr>
  </w:style>
  <w:style w:type="character" w:styleId="af2">
    <w:name w:val="Strong"/>
    <w:basedOn w:val="a0"/>
    <w:uiPriority w:val="22"/>
    <w:qFormat/>
    <w:rsid w:val="00BF6D30"/>
    <w:rPr>
      <w:b/>
      <w:bCs/>
    </w:rPr>
  </w:style>
  <w:style w:type="character" w:customStyle="1" w:styleId="10">
    <w:name w:val="标题 1 字符"/>
    <w:basedOn w:val="a0"/>
    <w:link w:val="1"/>
    <w:uiPriority w:val="9"/>
    <w:rsid w:val="00444EBD"/>
    <w:rPr>
      <w:rFonts w:ascii="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eiqi/Library/Containers/com.kingsoft.wpsoffice.mac/Data/C:\Users\zheng.xu\Desktop\&#32852;&#30431;\LOGO&#20351;&#29992;&#35268;&#33539;\&#20013;&#22269;&#21306;&#26032;&#26631;&#35782;&#25351;&#21335;&#25991;&#20214;\&#20449;&#22836;&#32440;&#65288;&#20013;&#25991;&#29256;&#12289;&#33521;&#25991;&#29256;&#65289;&#65288;20230807&#26356;&#26032;&#29256;&#65289;\&#20449;&#22836;&#32440;&#65288;&#20013;&#25991;&#29256;&#12289;&#33521;&#25991;&#29256;&#65289;&#65288;20230807&#26356;&#26032;&#29256;&#65289;\&#20449;&#22836;&#32440;-&#33521;&#25991;&#29256;&#65288;20230807&#26356;&#26032;&#29256;&#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36617-9935-D14E-B417-4AB7CC2E5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C:\Users\zheng.xu\Desktop\联盟\LOGO使用规范\中国区新标识指南文件\信头纸（中文版、英文版）（20230807更新版）\信头纸（中文版、英文版）（20230807更新版）\信头纸-英文版（20230807更新版）.dotx</Template>
  <TotalTime>13</TotalTime>
  <Pages>9</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徐峥</dc:creator>
  <cp:lastModifiedBy>沈靖城 Shen, Linton</cp:lastModifiedBy>
  <cp:revision>19</cp:revision>
  <cp:lastPrinted>2023-08-07T02:57:00Z</cp:lastPrinted>
  <dcterms:created xsi:type="dcterms:W3CDTF">2023-11-08T01:59:00Z</dcterms:created>
  <dcterms:modified xsi:type="dcterms:W3CDTF">2026-04-15T06:46:00Z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87A5FE71EB758B9AD7F81566D74AEEE7_42</vt:lpwstr>
  </property>
</Properties>
</file>