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A45" w:rsidRPr="007A1C76" w:rsidRDefault="00994553" w:rsidP="007A1C76">
      <w:pPr>
        <w:pStyle w:val="Title"/>
        <w:spacing w:before="0" w:after="0" w:line="480" w:lineRule="auto"/>
        <w:rPr>
          <w:rFonts w:ascii="Times New Roman" w:hAnsi="Times New Roman" w:cs="Times New Roman"/>
          <w:b w:val="0"/>
          <w:color w:val="auto"/>
          <w:sz w:val="24"/>
          <w:szCs w:val="24"/>
        </w:rPr>
      </w:pPr>
      <w:r w:rsidRPr="007A1C76">
        <w:rPr>
          <w:rFonts w:ascii="Times New Roman" w:hAnsi="Times New Roman" w:cs="Times New Roman"/>
          <w:b w:val="0"/>
          <w:color w:val="auto"/>
          <w:sz w:val="24"/>
          <w:szCs w:val="24"/>
        </w:rPr>
        <w:t>Quiz 6</w:t>
      </w:r>
    </w:p>
    <w:p w:rsidR="00577A45" w:rsidRPr="00E4473A" w:rsidRDefault="00994553" w:rsidP="007A1C76">
      <w:pPr>
        <w:pStyle w:val="Author"/>
        <w:spacing w:after="0" w:line="480" w:lineRule="auto"/>
        <w:rPr>
          <w:rFonts w:ascii="Times New Roman" w:hAnsi="Times New Roman" w:cs="Times New Roman"/>
        </w:rPr>
      </w:pPr>
      <w:r w:rsidRPr="00E4473A">
        <w:rPr>
          <w:rFonts w:ascii="Times New Roman" w:hAnsi="Times New Roman" w:cs="Times New Roman"/>
        </w:rPr>
        <w:t>Brooke Charbonneau</w:t>
      </w:r>
    </w:p>
    <w:p w:rsidR="00577A45" w:rsidRPr="00E4473A" w:rsidRDefault="00994553" w:rsidP="007A1C76">
      <w:pPr>
        <w:pStyle w:val="Date"/>
        <w:spacing w:after="0" w:line="480" w:lineRule="auto"/>
        <w:rPr>
          <w:rFonts w:ascii="Times New Roman" w:hAnsi="Times New Roman" w:cs="Times New Roman"/>
        </w:rPr>
      </w:pPr>
      <w:r w:rsidRPr="00E4473A">
        <w:rPr>
          <w:rFonts w:ascii="Times New Roman" w:hAnsi="Times New Roman" w:cs="Times New Roman"/>
        </w:rPr>
        <w:t>November 22, 2016</w:t>
      </w:r>
    </w:p>
    <w:p w:rsidR="00577A45" w:rsidRPr="00E4473A" w:rsidRDefault="00994553" w:rsidP="007A1C76">
      <w:pPr>
        <w:pStyle w:val="FirstParagraph"/>
        <w:spacing w:before="0" w:after="0" w:line="480" w:lineRule="auto"/>
        <w:ind w:firstLine="720"/>
        <w:rPr>
          <w:rFonts w:ascii="Times New Roman" w:hAnsi="Times New Roman" w:cs="Times New Roman"/>
        </w:rPr>
      </w:pPr>
      <w:bookmarkStart w:id="0" w:name="a"/>
      <w:bookmarkEnd w:id="0"/>
      <w:r w:rsidRPr="00E4473A">
        <w:rPr>
          <w:rFonts w:ascii="Times New Roman" w:hAnsi="Times New Roman" w:cs="Times New Roman"/>
        </w:rPr>
        <w:t xml:space="preserve">I examined the extent to which exam grades (E) were predicted by anxiety (A) and preparation (P). As indicated in Table 1, when the predictors were examined individually, there was a strong positive relation between anxiety and exam grades, </w:t>
      </w:r>
      <w:r w:rsidRPr="00E4473A">
        <w:rPr>
          <w:rFonts w:ascii="Times New Roman" w:hAnsi="Times New Roman" w:cs="Times New Roman"/>
          <w:i/>
        </w:rPr>
        <w:t>r</w:t>
      </w:r>
      <w:r w:rsidRPr="00E4473A">
        <w:rPr>
          <w:rFonts w:ascii="Times New Roman" w:hAnsi="Times New Roman" w:cs="Times New Roman"/>
        </w:rPr>
        <w:t xml:space="preserve"> = .69, 95% </w:t>
      </w:r>
      <w:proofErr w:type="gramStart"/>
      <w:r w:rsidRPr="00E4473A">
        <w:rPr>
          <w:rFonts w:ascii="Times New Roman" w:hAnsi="Times New Roman" w:cs="Times New Roman"/>
        </w:rPr>
        <w:t>CI[</w:t>
      </w:r>
      <w:proofErr w:type="gramEnd"/>
      <w:r w:rsidRPr="00E4473A">
        <w:rPr>
          <w:rFonts w:ascii="Times New Roman" w:hAnsi="Times New Roman" w:cs="Times New Roman"/>
        </w:rPr>
        <w:t>.64, .73], such that as a</w:t>
      </w:r>
      <w:r w:rsidR="00434EF5">
        <w:rPr>
          <w:rFonts w:ascii="Times New Roman" w:hAnsi="Times New Roman" w:cs="Times New Roman"/>
        </w:rPr>
        <w:t>nxiety increased exam grades in</w:t>
      </w:r>
      <w:r w:rsidRPr="00E4473A">
        <w:rPr>
          <w:rFonts w:ascii="Times New Roman" w:hAnsi="Times New Roman" w:cs="Times New Roman"/>
        </w:rPr>
        <w:t xml:space="preserve">creased. In addition, there was a strong positive relation between preparation and exam grades, </w:t>
      </w:r>
      <w:r w:rsidRPr="00E4473A">
        <w:rPr>
          <w:rFonts w:ascii="Times New Roman" w:hAnsi="Times New Roman" w:cs="Times New Roman"/>
          <w:i/>
        </w:rPr>
        <w:t>r</w:t>
      </w:r>
      <w:r w:rsidRPr="00E4473A">
        <w:rPr>
          <w:rFonts w:ascii="Times New Roman" w:hAnsi="Times New Roman" w:cs="Times New Roman"/>
        </w:rPr>
        <w:t xml:space="preserve"> = .49, 95% </w:t>
      </w:r>
      <w:proofErr w:type="gramStart"/>
      <w:r w:rsidRPr="00E4473A">
        <w:rPr>
          <w:rFonts w:ascii="Times New Roman" w:hAnsi="Times New Roman" w:cs="Times New Roman"/>
        </w:rPr>
        <w:t>CI[</w:t>
      </w:r>
      <w:proofErr w:type="gramEnd"/>
      <w:r w:rsidRPr="00E4473A">
        <w:rPr>
          <w:rFonts w:ascii="Times New Roman" w:hAnsi="Times New Roman" w:cs="Times New Roman"/>
        </w:rPr>
        <w:t>.42, .56], such that as preparation increased so did exam grades.</w:t>
      </w:r>
    </w:p>
    <w:p w:rsidR="00577A45" w:rsidRPr="00E4473A" w:rsidRDefault="00994553" w:rsidP="007A1C76">
      <w:pPr>
        <w:pStyle w:val="BodyText"/>
        <w:spacing w:before="0" w:after="0" w:line="480" w:lineRule="auto"/>
        <w:ind w:firstLine="720"/>
        <w:rPr>
          <w:rFonts w:ascii="Times New Roman" w:hAnsi="Times New Roman" w:cs="Times New Roman"/>
        </w:rPr>
      </w:pPr>
      <w:r w:rsidRPr="00E4473A">
        <w:rPr>
          <w:rFonts w:ascii="Times New Roman" w:hAnsi="Times New Roman" w:cs="Times New Roman"/>
        </w:rPr>
        <w:t>I used moderated multiple regression to test the extent to which the relation between anxiety and exam grades depended on the amount of exam preparation. I assessed this moderation by examining the interaction between anxiety and preparation using centered predictors (consistent with the recommendations of Cohen, Cohen, West, and Aiken (2003)), see Table 2. Together the predictors (anxiety, preparation, and their product) accounted for a substantial variance in exam grades</w:t>
      </w:r>
      <w:proofErr w:type="gramStart"/>
      <w:r w:rsidRPr="00E4473A">
        <w:rPr>
          <w:rFonts w:ascii="Times New Roman" w:hAnsi="Times New Roman" w:cs="Times New Roman"/>
        </w:rPr>
        <w:t xml:space="preserve">, </w:t>
      </w:r>
      <m:oMath>
        <w:proofErr w:type="gramEnd"/>
        <m:sSup>
          <m:sSupPr>
            <m:ctrlPr>
              <w:rPr>
                <w:rFonts w:ascii="Cambria Math" w:hAnsi="Times New Roman" w:cs="Times New Roman"/>
              </w:rPr>
            </m:ctrlPr>
          </m:sSupPr>
          <m:e>
            <m:r>
              <w:rPr>
                <w:rFonts w:ascii="Cambria Math" w:hAnsi="Cambria Math" w:cs="Times New Roman"/>
              </w:rPr>
              <m:t>R</m:t>
            </m:r>
          </m:e>
          <m:sup>
            <m:r>
              <w:rPr>
                <w:rFonts w:hAnsi="Times New Roman" w:cs="Times New Roman"/>
              </w:rPr>
              <m:t>2</m:t>
            </m:r>
          </m:sup>
        </m:sSup>
        <m:r>
          <w:rPr>
            <w:rFonts w:hAnsi="Times New Roman" w:cs="Times New Roman"/>
          </w:rPr>
          <m:t>=.62</m:t>
        </m:r>
      </m:oMath>
      <w:r w:rsidRPr="00E4473A">
        <w:rPr>
          <w:rFonts w:ascii="Times New Roman" w:hAnsi="Times New Roman" w:cs="Times New Roman"/>
        </w:rPr>
        <w:t xml:space="preserve">, 95% CI[.57, .66], </w:t>
      </w:r>
      <w:r w:rsidRPr="00E4473A">
        <w:rPr>
          <w:rFonts w:ascii="Times New Roman" w:hAnsi="Times New Roman" w:cs="Times New Roman"/>
          <w:i/>
        </w:rPr>
        <w:t>p</w:t>
      </w:r>
      <w:r w:rsidRPr="00E4473A">
        <w:rPr>
          <w:rFonts w:ascii="Times New Roman" w:hAnsi="Times New Roman" w:cs="Times New Roman"/>
        </w:rPr>
        <w:t xml:space="preserve"> &lt; .01. Results for the product term in this analysis were positive. Specifically, the </w:t>
      </w:r>
      <w:r w:rsidRPr="00E4473A">
        <w:rPr>
          <w:rFonts w:ascii="Times New Roman" w:hAnsi="Times New Roman" w:cs="Times New Roman"/>
          <w:i/>
        </w:rPr>
        <w:t>p</w:t>
      </w:r>
      <w:r w:rsidRPr="00E4473A">
        <w:rPr>
          <w:rFonts w:ascii="Times New Roman" w:hAnsi="Times New Roman" w:cs="Times New Roman"/>
        </w:rPr>
        <w:t xml:space="preserve">-value for the anxiety by preparation product term was less than .001, </w:t>
      </w:r>
      <w:proofErr w:type="gramStart"/>
      <w:r w:rsidRPr="00E4473A">
        <w:rPr>
          <w:rFonts w:ascii="Times New Roman" w:hAnsi="Times New Roman" w:cs="Times New Roman"/>
          <w:i/>
        </w:rPr>
        <w:t>t</w:t>
      </w:r>
      <w:r w:rsidRPr="00E4473A">
        <w:rPr>
          <w:rFonts w:ascii="Times New Roman" w:hAnsi="Times New Roman" w:cs="Times New Roman"/>
        </w:rPr>
        <w:t>(</w:t>
      </w:r>
      <w:proofErr w:type="gramEnd"/>
      <w:r w:rsidRPr="00E4473A">
        <w:rPr>
          <w:rFonts w:ascii="Times New Roman" w:hAnsi="Times New Roman" w:cs="Times New Roman"/>
        </w:rPr>
        <w:t xml:space="preserve">496) = 6.06, </w:t>
      </w:r>
      <w:r w:rsidRPr="00E4473A">
        <w:rPr>
          <w:rFonts w:ascii="Times New Roman" w:hAnsi="Times New Roman" w:cs="Times New Roman"/>
          <w:i/>
        </w:rPr>
        <w:t>p</w:t>
      </w:r>
      <w:r w:rsidRPr="00E4473A">
        <w:rPr>
          <w:rFonts w:ascii="Times New Roman" w:hAnsi="Times New Roman" w:cs="Times New Roman"/>
        </w:rPr>
        <w:t xml:space="preserve"> &lt; .001, which suggests the presence of an interaction. However, an inspection of squared semi-partial correlation for the product term indicated the proportion of variance accounted for was small</w:t>
      </w:r>
      <w:proofErr w:type="gramStart"/>
      <w:r w:rsidRPr="00E4473A">
        <w:rPr>
          <w:rFonts w:ascii="Times New Roman" w:hAnsi="Times New Roman" w:cs="Times New Roman"/>
        </w:rPr>
        <w:t xml:space="preserve">, </w:t>
      </w:r>
      <m:oMath>
        <w:proofErr w:type="gramEnd"/>
        <m:r>
          <w:rPr>
            <w:rFonts w:ascii="Cambria Math" w:hAnsi="Cambria Math" w:cs="Times New Roman"/>
          </w:rPr>
          <m:t>s</m:t>
        </m:r>
        <m:sSup>
          <m:sSupPr>
            <m:ctrlPr>
              <w:rPr>
                <w:rFonts w:ascii="Cambria Math" w:hAnsi="Times New Roman" w:cs="Times New Roman"/>
              </w:rPr>
            </m:ctrlPr>
          </m:sSupPr>
          <m:e>
            <m:r>
              <w:rPr>
                <w:rFonts w:ascii="Cambria Math" w:cs="Times New Roman"/>
              </w:rPr>
              <m:t>r</m:t>
            </m:r>
          </m:e>
          <m:sup>
            <m:r>
              <w:rPr>
                <w:rFonts w:hAnsi="Times New Roman" w:cs="Times New Roman"/>
              </w:rPr>
              <m:t>2</m:t>
            </m:r>
          </m:sup>
        </m:sSup>
        <m:r>
          <w:rPr>
            <w:rFonts w:hAnsi="Times New Roman" w:cs="Times New Roman"/>
          </w:rPr>
          <m:t>=.03</m:t>
        </m:r>
      </m:oMath>
      <w:r w:rsidRPr="00E4473A">
        <w:rPr>
          <w:rFonts w:ascii="Times New Roman" w:hAnsi="Times New Roman" w:cs="Times New Roman"/>
        </w:rPr>
        <w:t xml:space="preserve">, 95% CI[.01, .05]. As this information suggested the presence of an interaction, albeit one which </w:t>
      </w:r>
      <w:r w:rsidR="002C75D3">
        <w:rPr>
          <w:rFonts w:ascii="Times New Roman" w:hAnsi="Times New Roman" w:cs="Times New Roman"/>
        </w:rPr>
        <w:t xml:space="preserve">only </w:t>
      </w:r>
      <w:r w:rsidRPr="00E4473A">
        <w:rPr>
          <w:rFonts w:ascii="Times New Roman" w:hAnsi="Times New Roman" w:cs="Times New Roman"/>
        </w:rPr>
        <w:t>contributes slightly to the variance in exam grades, I explored the regression surface with simple-slope analyses.</w:t>
      </w:r>
    </w:p>
    <w:p w:rsidR="00577A45" w:rsidRPr="00E4473A" w:rsidRDefault="00994553" w:rsidP="007A1C76">
      <w:pPr>
        <w:pStyle w:val="BodyText"/>
        <w:spacing w:before="0" w:after="0" w:line="480" w:lineRule="auto"/>
        <w:ind w:firstLine="720"/>
        <w:rPr>
          <w:rFonts w:ascii="Times New Roman" w:hAnsi="Times New Roman" w:cs="Times New Roman"/>
        </w:rPr>
      </w:pPr>
      <w:r w:rsidRPr="00E4473A">
        <w:rPr>
          <w:rFonts w:ascii="Times New Roman" w:hAnsi="Times New Roman" w:cs="Times New Roman"/>
        </w:rPr>
        <w:lastRenderedPageBreak/>
        <w:t>The regression surface is presented in Figure 1 and the simple-slope cross-sections are presented in Figure 2. When preparation was high (i.e., +1 SD) there was a strong positive relation between anxiety and exam grades such that as a</w:t>
      </w:r>
      <w:r w:rsidR="00A87640">
        <w:rPr>
          <w:rFonts w:ascii="Times New Roman" w:hAnsi="Times New Roman" w:cs="Times New Roman"/>
        </w:rPr>
        <w:t>nxiety increased exam grades in</w:t>
      </w:r>
      <w:r w:rsidRPr="00E4473A">
        <w:rPr>
          <w:rFonts w:ascii="Times New Roman" w:hAnsi="Times New Roman" w:cs="Times New Roman"/>
        </w:rPr>
        <w:t xml:space="preserve">creased, </w:t>
      </w:r>
      <m:oMath>
        <m:r>
          <w:rPr>
            <w:rFonts w:ascii="Cambria Math" w:hAnsi="Cambria Math" w:cs="Times New Roman"/>
          </w:rPr>
          <m:t>b</m:t>
        </m:r>
        <m:r>
          <w:rPr>
            <w:rFonts w:hAnsi="Times New Roman" w:cs="Times New Roman"/>
          </w:rPr>
          <m:t>=19.49</m:t>
        </m:r>
      </m:oMath>
      <w:r w:rsidRPr="00E4473A">
        <w:rPr>
          <w:rFonts w:ascii="Times New Roman" w:hAnsi="Times New Roman" w:cs="Times New Roman"/>
        </w:rPr>
        <w:t xml:space="preserve">, 95% CI[17.50, 21.48], t(496) = 19.25, </w:t>
      </w:r>
      <w:r w:rsidRPr="00E4473A">
        <w:rPr>
          <w:rFonts w:ascii="Times New Roman" w:hAnsi="Times New Roman" w:cs="Times New Roman"/>
          <w:i/>
        </w:rPr>
        <w:t>p</w:t>
      </w:r>
      <w:r w:rsidRPr="00E4473A">
        <w:rPr>
          <w:rFonts w:ascii="Times New Roman" w:hAnsi="Times New Roman" w:cs="Times New Roman"/>
        </w:rPr>
        <w:t xml:space="preserve"> &lt; .001, see Equation 1 below. </w:t>
      </w:r>
      <w:r w:rsidR="00A87640">
        <w:rPr>
          <w:rFonts w:ascii="Times New Roman" w:hAnsi="Times New Roman" w:cs="Times New Roman"/>
        </w:rPr>
        <w:t>W</w:t>
      </w:r>
      <w:r w:rsidRPr="00E4473A">
        <w:rPr>
          <w:rFonts w:ascii="Times New Roman" w:hAnsi="Times New Roman" w:cs="Times New Roman"/>
        </w:rPr>
        <w:t xml:space="preserve">hen preparation was low (i.e., -1 SD), there was a weaker positive relation between anxiety and exam grades, such that as anxiety increased exam grades increased, </w:t>
      </w:r>
      <m:oMath>
        <m:r>
          <w:rPr>
            <w:rFonts w:ascii="Cambria Math" w:hAnsi="Cambria Math" w:cs="Times New Roman"/>
          </w:rPr>
          <m:t>b</m:t>
        </m:r>
        <m:r>
          <w:rPr>
            <w:rFonts w:hAnsi="Times New Roman" w:cs="Times New Roman"/>
          </w:rPr>
          <m:t>=11.02</m:t>
        </m:r>
      </m:oMath>
      <w:r w:rsidRPr="00E4473A">
        <w:rPr>
          <w:rFonts w:ascii="Times New Roman" w:hAnsi="Times New Roman" w:cs="Times New Roman"/>
        </w:rPr>
        <w:t xml:space="preserve">, 95% CI[9.08, 12.96], t(496) = 11.16, </w:t>
      </w:r>
      <w:r w:rsidRPr="00E4473A">
        <w:rPr>
          <w:rFonts w:ascii="Times New Roman" w:hAnsi="Times New Roman" w:cs="Times New Roman"/>
          <w:i/>
        </w:rPr>
        <w:t>p</w:t>
      </w:r>
      <w:r w:rsidRPr="00E4473A">
        <w:rPr>
          <w:rFonts w:ascii="Times New Roman" w:hAnsi="Times New Roman" w:cs="Times New Roman"/>
        </w:rPr>
        <w:t xml:space="preserve"> &lt; .001, see Equation 2 below.</w:t>
      </w:r>
    </w:p>
    <w:p w:rsidR="00577A45" w:rsidRPr="00E4473A" w:rsidRDefault="007A1C76" w:rsidP="007A1C76">
      <w:pPr>
        <w:pStyle w:val="BodyText"/>
        <w:spacing w:before="0" w:after="0" w:line="480" w:lineRule="auto"/>
        <w:rPr>
          <w:rFonts w:ascii="Times New Roman" w:hAnsi="Times New Roman" w:cs="Times New Roman"/>
        </w:rPr>
      </w:pPr>
      <m:oMath>
        <m:r>
          <w:rPr>
            <w:rFonts w:ascii="Cambria Math" w:hAnsi="Cambria Math" w:cs="Times New Roman"/>
          </w:rPr>
          <m:t>Ȇ</m:t>
        </m:r>
        <m:r>
          <w:rPr>
            <w:rFonts w:hAnsi="Times New Roman" w:cs="Times New Roman"/>
          </w:rPr>
          <m:t>=19.</m:t>
        </m:r>
        <m:r>
          <w:rPr>
            <w:rFonts w:ascii="Cambria Math" w:hAnsi="Times New Roman" w:cs="Times New Roman"/>
          </w:rPr>
          <m:t>49</m:t>
        </m:r>
        <m:r>
          <w:rPr>
            <w:rFonts w:ascii="Cambria Math" w:hAnsi="Cambria Math" w:cs="Times New Roman"/>
          </w:rPr>
          <m:t>A</m:t>
        </m:r>
        <m:r>
          <w:rPr>
            <w:rFonts w:hAnsi="Times New Roman" w:cs="Times New Roman"/>
          </w:rPr>
          <m:t>+55.90</m:t>
        </m:r>
      </m:oMath>
      <w:r w:rsidR="00994553" w:rsidRPr="00E4473A">
        <w:rPr>
          <w:rFonts w:ascii="Times New Roman" w:hAnsi="Times New Roman" w:cs="Times New Roman"/>
        </w:rPr>
        <w:t xml:space="preserve"> (1)</w:t>
      </w:r>
    </w:p>
    <w:p w:rsidR="00577A45" w:rsidRPr="00E4473A" w:rsidRDefault="007A1C76" w:rsidP="007A1C76">
      <w:pPr>
        <w:pStyle w:val="BodyText"/>
        <w:spacing w:before="0" w:after="0" w:line="480" w:lineRule="auto"/>
        <w:rPr>
          <w:rFonts w:ascii="Times New Roman" w:hAnsi="Times New Roman" w:cs="Times New Roman"/>
        </w:rPr>
      </w:pPr>
      <m:oMath>
        <m:r>
          <w:rPr>
            <w:rFonts w:ascii="Cambria Math" w:hAnsi="Cambria Math" w:cs="Times New Roman"/>
          </w:rPr>
          <m:t>Ȇ</m:t>
        </m:r>
        <m:r>
          <w:rPr>
            <w:rFonts w:hAnsi="Times New Roman" w:cs="Times New Roman"/>
          </w:rPr>
          <m:t>=11.02</m:t>
        </m:r>
        <m:r>
          <w:rPr>
            <w:rFonts w:ascii="Cambria Math" w:hAnsi="Cambria Math" w:cs="Times New Roman"/>
          </w:rPr>
          <m:t>A</m:t>
        </m:r>
        <m:r>
          <w:rPr>
            <w:rFonts w:hAnsi="Times New Roman" w:cs="Times New Roman"/>
          </w:rPr>
          <m:t>+42.53</m:t>
        </m:r>
      </m:oMath>
      <w:r w:rsidR="00994553" w:rsidRPr="00E4473A">
        <w:rPr>
          <w:rFonts w:ascii="Times New Roman" w:hAnsi="Times New Roman" w:cs="Times New Roman"/>
        </w:rPr>
        <w:t xml:space="preserve"> (2)</w:t>
      </w:r>
    </w:p>
    <w:p w:rsidR="00577A45" w:rsidRDefault="00994553" w:rsidP="00153665">
      <w:pPr>
        <w:pStyle w:val="BodyText"/>
        <w:spacing w:before="0" w:after="0" w:line="480" w:lineRule="auto"/>
        <w:ind w:firstLine="720"/>
        <w:rPr>
          <w:rFonts w:ascii="Times New Roman" w:hAnsi="Times New Roman" w:cs="Times New Roman"/>
        </w:rPr>
      </w:pPr>
      <w:r w:rsidRPr="00E4473A">
        <w:rPr>
          <w:rFonts w:ascii="Times New Roman" w:hAnsi="Times New Roman" w:cs="Times New Roman"/>
        </w:rPr>
        <w:t xml:space="preserve">Thus, the relation between anxiety and exam grades appears to be moderated by the extent to which students prepared for the exam. If students prepared extensively for the exam, high anxiety levels positively impacted exam performance. If students did not prepare extensively for the exam, high anxiety levels also </w:t>
      </w:r>
      <w:r w:rsidR="00C26B45">
        <w:rPr>
          <w:rFonts w:ascii="Times New Roman" w:hAnsi="Times New Roman" w:cs="Times New Roman"/>
        </w:rPr>
        <w:t>predicted</w:t>
      </w:r>
      <w:r w:rsidR="00E61A5D">
        <w:rPr>
          <w:rFonts w:ascii="Times New Roman" w:hAnsi="Times New Roman" w:cs="Times New Roman"/>
        </w:rPr>
        <w:t xml:space="preserve"> </w:t>
      </w:r>
      <w:r w:rsidRPr="00E4473A">
        <w:rPr>
          <w:rFonts w:ascii="Times New Roman" w:hAnsi="Times New Roman" w:cs="Times New Roman"/>
        </w:rPr>
        <w:t>increased exam performance. However, the increase in exam performance was not as strong for students who prepared little for the exam as for those who prepared extensively.</w:t>
      </w: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F83F85">
      <w:pPr>
        <w:pStyle w:val="BodyText"/>
        <w:spacing w:before="0" w:after="0" w:line="480" w:lineRule="auto"/>
        <w:jc w:val="center"/>
        <w:rPr>
          <w:rFonts w:ascii="Times New Roman" w:hAnsi="Times New Roman" w:cs="Times New Roman"/>
        </w:rPr>
      </w:pPr>
      <w:r>
        <w:rPr>
          <w:rFonts w:ascii="Times New Roman" w:hAnsi="Times New Roman" w:cs="Times New Roman"/>
        </w:rPr>
        <w:lastRenderedPageBreak/>
        <w:t>Appendix</w:t>
      </w:r>
    </w:p>
    <w:p w:rsidR="00F83F85" w:rsidRDefault="00F83F85" w:rsidP="00F83F85">
      <w:pPr>
        <w:pStyle w:val="BodyText"/>
        <w:spacing w:before="0" w:after="0" w:line="480" w:lineRule="auto"/>
        <w:jc w:val="center"/>
        <w:rPr>
          <w:rFonts w:ascii="Times New Roman" w:hAnsi="Times New Roman" w:cs="Times New Roman"/>
        </w:rPr>
      </w:pPr>
      <w:r>
        <w:rPr>
          <w:rFonts w:ascii="Times New Roman" w:hAnsi="Times New Roman" w:cs="Times New Roman"/>
        </w:rPr>
        <w:t>Tables and Figures</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Table 1 </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rsidR="00F83F85" w:rsidRDefault="00F83F85" w:rsidP="00F83F85">
      <w:pPr>
        <w:widowControl w:val="0"/>
        <w:autoSpaceDE w:val="0"/>
        <w:autoSpaceDN w:val="0"/>
        <w:adjustRightInd w:val="0"/>
        <w:spacing w:after="0"/>
        <w:rPr>
          <w:rFonts w:ascii="Times New Roman" w:hAnsi="Times New Roman" w:cs="Times New Roman"/>
          <w:i/>
          <w:iCs/>
        </w:rPr>
      </w:pPr>
      <w:r>
        <w:rPr>
          <w:rFonts w:ascii="Times New Roman" w:hAnsi="Times New Roman" w:cs="Times New Roman"/>
          <w:i/>
          <w:iCs/>
        </w:rPr>
        <w:t>Means, standard deviations, and correlations with confidence intervals</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bl>
      <w:tblPr>
        <w:tblW w:w="0" w:type="auto"/>
        <w:tblInd w:w="100" w:type="dxa"/>
        <w:tblLayout w:type="fixed"/>
        <w:tblCellMar>
          <w:left w:w="100" w:type="dxa"/>
          <w:right w:w="100" w:type="dxa"/>
        </w:tblCellMar>
        <w:tblLook w:val="0000"/>
      </w:tblPr>
      <w:tblGrid>
        <w:gridCol w:w="1835"/>
        <w:gridCol w:w="1225"/>
        <w:gridCol w:w="1224"/>
        <w:gridCol w:w="1224"/>
        <w:gridCol w:w="1224"/>
      </w:tblGrid>
      <w:tr w:rsidR="00F83F85" w:rsidTr="003B3C55">
        <w:tc>
          <w:tcPr>
            <w:tcW w:w="1835"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Variable</w:t>
            </w:r>
          </w:p>
        </w:tc>
        <w:tc>
          <w:tcPr>
            <w:tcW w:w="1225"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M</w:t>
            </w:r>
          </w:p>
        </w:tc>
        <w:tc>
          <w:tcPr>
            <w:tcW w:w="1224"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SD</w:t>
            </w:r>
          </w:p>
        </w:tc>
        <w:tc>
          <w:tcPr>
            <w:tcW w:w="1224"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w:t>
            </w:r>
          </w:p>
        </w:tc>
        <w:tc>
          <w:tcPr>
            <w:tcW w:w="1224"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w:t>
            </w:r>
          </w:p>
        </w:tc>
      </w:tr>
      <w:tr w:rsidR="00F83F85" w:rsidTr="003B3C55">
        <w:tc>
          <w:tcPr>
            <w:tcW w:w="1835"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p>
        </w:tc>
        <w:tc>
          <w:tcPr>
            <w:tcW w:w="1225" w:type="dxa"/>
            <w:tcBorders>
              <w:top w:val="single" w:sz="6" w:space="0" w:color="auto"/>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1. exam</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50.00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20.00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2. anxiety</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4.10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0.80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.69**</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[.64, .73]</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3. preparation</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3.90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0.70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.49**</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.23**</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[.42, .56]</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[.15, .31]</w:t>
            </w:r>
          </w:p>
        </w:tc>
      </w:tr>
      <w:tr w:rsidR="00F83F85" w:rsidTr="003B3C55">
        <w:tc>
          <w:tcPr>
            <w:tcW w:w="1835" w:type="dxa"/>
            <w:tcBorders>
              <w:top w:val="nil"/>
              <w:left w:val="nil"/>
              <w:bottom w:val="single" w:sz="6" w:space="0" w:color="auto"/>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single" w:sz="6" w:space="0" w:color="auto"/>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bl>
    <w:p w:rsidR="00F83F85" w:rsidRDefault="00F83F85" w:rsidP="00F83F85">
      <w:pPr>
        <w:widowControl w:val="0"/>
        <w:autoSpaceDE w:val="0"/>
        <w:autoSpaceDN w:val="0"/>
        <w:adjustRightInd w:val="0"/>
        <w:spacing w:after="0"/>
        <w:rPr>
          <w:rFonts w:ascii="Times New Roman" w:hAnsi="Times New Roman" w:cs="Times New Roman"/>
        </w:rPr>
      </w:pP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 indicates </w:t>
      </w:r>
      <w:r>
        <w:rPr>
          <w:rFonts w:ascii="Times New Roman" w:hAnsi="Times New Roman" w:cs="Times New Roman"/>
          <w:i/>
          <w:iCs/>
        </w:rPr>
        <w:t>p</w:t>
      </w:r>
      <w:r>
        <w:rPr>
          <w:rFonts w:ascii="Times New Roman" w:hAnsi="Times New Roman" w:cs="Times New Roman"/>
        </w:rPr>
        <w:t xml:space="preserve"> &lt; .05; ** indicates </w:t>
      </w:r>
      <w:r>
        <w:rPr>
          <w:rFonts w:ascii="Times New Roman" w:hAnsi="Times New Roman" w:cs="Times New Roman"/>
          <w:i/>
          <w:iCs/>
        </w:rPr>
        <w:t>p</w:t>
      </w:r>
      <w:r>
        <w:rPr>
          <w:rFonts w:ascii="Times New Roman" w:hAnsi="Times New Roman" w:cs="Times New Roman"/>
        </w:rPr>
        <w:t xml:space="preserve"> &lt; .01. </w:t>
      </w:r>
      <w:r>
        <w:rPr>
          <w:rFonts w:ascii="Times New Roman" w:hAnsi="Times New Roman" w:cs="Times New Roman"/>
          <w:i/>
          <w:iCs/>
        </w:rPr>
        <w:t>M</w:t>
      </w:r>
      <w:r>
        <w:rPr>
          <w:rFonts w:ascii="Times New Roman" w:hAnsi="Times New Roman" w:cs="Times New Roman"/>
        </w:rPr>
        <w:t xml:space="preserve"> and </w:t>
      </w:r>
      <w:r>
        <w:rPr>
          <w:rFonts w:ascii="Times New Roman" w:hAnsi="Times New Roman" w:cs="Times New Roman"/>
          <w:i/>
          <w:iCs/>
        </w:rPr>
        <w:t>SD</w:t>
      </w:r>
      <w:r>
        <w:rPr>
          <w:rFonts w:ascii="Times New Roman" w:hAnsi="Times New Roman" w:cs="Times New Roman"/>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w:t>
      </w:r>
    </w:p>
    <w:p w:rsidR="007173A0" w:rsidRDefault="007173A0" w:rsidP="00F83F85">
      <w:pPr>
        <w:pStyle w:val="BodyText"/>
        <w:spacing w:before="0" w:after="0" w:line="480" w:lineRule="auto"/>
        <w:jc w:val="center"/>
        <w:rPr>
          <w:rFonts w:ascii="Times New Roman" w:hAnsi="Times New Roman" w:cs="Times New Roman"/>
        </w:rPr>
      </w:pP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Table 2 </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rsidR="00F83F85" w:rsidRDefault="00F83F85" w:rsidP="00F83F85">
      <w:pPr>
        <w:widowControl w:val="0"/>
        <w:autoSpaceDE w:val="0"/>
        <w:autoSpaceDN w:val="0"/>
        <w:adjustRightInd w:val="0"/>
        <w:spacing w:after="0"/>
        <w:rPr>
          <w:rFonts w:ascii="Times New Roman" w:hAnsi="Times New Roman" w:cs="Times New Roman"/>
          <w:i/>
          <w:iCs/>
        </w:rPr>
      </w:pPr>
      <w:r>
        <w:rPr>
          <w:rFonts w:ascii="Times New Roman" w:hAnsi="Times New Roman" w:cs="Times New Roman"/>
          <w:i/>
          <w:iCs/>
        </w:rPr>
        <w:t>Regression results using exam as the criterion</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bl>
      <w:tblPr>
        <w:tblW w:w="10711" w:type="dxa"/>
        <w:tblInd w:w="-184" w:type="dxa"/>
        <w:tblLayout w:type="fixed"/>
        <w:tblCellMar>
          <w:left w:w="100" w:type="dxa"/>
          <w:right w:w="100" w:type="dxa"/>
        </w:tblCellMar>
        <w:tblLook w:val="0000"/>
      </w:tblPr>
      <w:tblGrid>
        <w:gridCol w:w="1560"/>
        <w:gridCol w:w="992"/>
        <w:gridCol w:w="1701"/>
        <w:gridCol w:w="709"/>
        <w:gridCol w:w="1418"/>
        <w:gridCol w:w="567"/>
        <w:gridCol w:w="1134"/>
        <w:gridCol w:w="851"/>
        <w:gridCol w:w="1779"/>
      </w:tblGrid>
      <w:tr w:rsidR="005D3FFF" w:rsidTr="005D3FFF">
        <w:tc>
          <w:tcPr>
            <w:tcW w:w="1560"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Predictor</w:t>
            </w:r>
          </w:p>
        </w:tc>
        <w:tc>
          <w:tcPr>
            <w:tcW w:w="992"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tc>
        <w:tc>
          <w:tcPr>
            <w:tcW w:w="1701"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709"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tc>
        <w:tc>
          <w:tcPr>
            <w:tcW w:w="1418"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567"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tc>
        <w:tc>
          <w:tcPr>
            <w:tcW w:w="1134"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851"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r</w:t>
            </w:r>
          </w:p>
        </w:tc>
        <w:tc>
          <w:tcPr>
            <w:tcW w:w="1779"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Fit</w:t>
            </w:r>
          </w:p>
        </w:tc>
      </w:tr>
      <w:tr w:rsidR="005D3FFF" w:rsidTr="005D3FFF">
        <w:tc>
          <w:tcPr>
            <w:tcW w:w="1560"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(Intercept)</w:t>
            </w:r>
          </w:p>
        </w:tc>
        <w:tc>
          <w:tcPr>
            <w:tcW w:w="992" w:type="dxa"/>
            <w:tcBorders>
              <w:top w:val="single" w:sz="6" w:space="0" w:color="auto"/>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49.21**</w:t>
            </w:r>
          </w:p>
        </w:tc>
        <w:tc>
          <w:tcPr>
            <w:tcW w:w="1701" w:type="dxa"/>
            <w:tcBorders>
              <w:top w:val="single" w:sz="6" w:space="0" w:color="auto"/>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[48.09, 50.33]</w:t>
            </w:r>
          </w:p>
        </w:tc>
        <w:tc>
          <w:tcPr>
            <w:tcW w:w="709" w:type="dxa"/>
            <w:tcBorders>
              <w:top w:val="single" w:sz="6" w:space="0" w:color="auto"/>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418" w:type="dxa"/>
            <w:tcBorders>
              <w:top w:val="single" w:sz="6" w:space="0" w:color="auto"/>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567" w:type="dxa"/>
            <w:tcBorders>
              <w:top w:val="single" w:sz="6" w:space="0" w:color="auto"/>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134" w:type="dxa"/>
            <w:tcBorders>
              <w:top w:val="single" w:sz="6" w:space="0" w:color="auto"/>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851" w:type="dxa"/>
            <w:tcBorders>
              <w:top w:val="single" w:sz="6" w:space="0" w:color="auto"/>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single" w:sz="6" w:space="0" w:color="auto"/>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proofErr w:type="spellStart"/>
            <w:r>
              <w:rPr>
                <w:rFonts w:ascii="Times New Roman" w:hAnsi="Times New Roman" w:cs="Times New Roman"/>
              </w:rPr>
              <w:t>x.centered</w:t>
            </w:r>
            <w:proofErr w:type="spellEnd"/>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15.25**</w:t>
            </w: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[13.85, 16.66]</w:t>
            </w: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0.61</w:t>
            </w: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[0.55, 0.67]</w:t>
            </w: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.35</w:t>
            </w: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[.29, .41]</w:t>
            </w: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.69**</w:t>
            </w: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proofErr w:type="spellStart"/>
            <w:r>
              <w:rPr>
                <w:rFonts w:ascii="Times New Roman" w:hAnsi="Times New Roman" w:cs="Times New Roman"/>
              </w:rPr>
              <w:t>z.centered</w:t>
            </w:r>
            <w:proofErr w:type="spellEnd"/>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9.55**</w:t>
            </w: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[7.94, 11.16]</w:t>
            </w: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0.33</w:t>
            </w: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[0.28, 0.39]</w:t>
            </w: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.10</w:t>
            </w: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[.07, .14]</w:t>
            </w: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.49**</w:t>
            </w: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I(</w:t>
            </w:r>
            <w:proofErr w:type="spellStart"/>
            <w:r>
              <w:rPr>
                <w:rFonts w:ascii="Times New Roman" w:hAnsi="Times New Roman" w:cs="Times New Roman"/>
              </w:rPr>
              <w:t>x.centered</w:t>
            </w:r>
            <w:proofErr w:type="spellEnd"/>
            <w:r>
              <w:rPr>
                <w:rFonts w:ascii="Times New Roman" w:hAnsi="Times New Roman" w:cs="Times New Roman"/>
              </w:rPr>
              <w:t xml:space="preserve"> * </w:t>
            </w:r>
            <w:proofErr w:type="spellStart"/>
            <w:r>
              <w:rPr>
                <w:rFonts w:ascii="Times New Roman" w:hAnsi="Times New Roman" w:cs="Times New Roman"/>
              </w:rPr>
              <w:t>z.centered</w:t>
            </w:r>
            <w:proofErr w:type="spellEnd"/>
            <w:r>
              <w:rPr>
                <w:rFonts w:ascii="Times New Roman" w:hAnsi="Times New Roman" w:cs="Times New Roman"/>
              </w:rPr>
              <w:t>)</w:t>
            </w:r>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6.05**</w:t>
            </w: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[4.09, 8.01]</w:t>
            </w: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0.17</w:t>
            </w: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[0.11, 0.22]</w:t>
            </w: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.03</w:t>
            </w: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 .05]</w:t>
            </w: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i/>
                <w:iCs/>
              </w:rPr>
              <w:t>R</w:t>
            </w:r>
            <w:r>
              <w:rPr>
                <w:rFonts w:ascii="Times New Roman" w:hAnsi="Times New Roman" w:cs="Times New Roman"/>
                <w:i/>
                <w:iCs/>
                <w:vertAlign w:val="superscript"/>
              </w:rPr>
              <w:t xml:space="preserve">2 </w:t>
            </w:r>
            <w:r>
              <w:rPr>
                <w:rFonts w:ascii="Times New Roman" w:hAnsi="Times New Roman" w:cs="Times New Roman"/>
              </w:rPr>
              <w:t xml:space="preserve">  = .617**</w:t>
            </w: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rPr>
              <w:t>95% CI[.57,.66]</w:t>
            </w:r>
          </w:p>
        </w:tc>
      </w:tr>
      <w:tr w:rsidR="005D3FFF" w:rsidTr="005D3FFF">
        <w:tc>
          <w:tcPr>
            <w:tcW w:w="1560" w:type="dxa"/>
            <w:tcBorders>
              <w:top w:val="nil"/>
              <w:left w:val="nil"/>
              <w:bottom w:val="single" w:sz="6" w:space="0" w:color="auto"/>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p>
        </w:tc>
        <w:tc>
          <w:tcPr>
            <w:tcW w:w="992" w:type="dxa"/>
            <w:tcBorders>
              <w:top w:val="nil"/>
              <w:left w:val="nil"/>
              <w:bottom w:val="single" w:sz="6" w:space="0" w:color="auto"/>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p>
        </w:tc>
        <w:tc>
          <w:tcPr>
            <w:tcW w:w="1701" w:type="dxa"/>
            <w:tcBorders>
              <w:top w:val="nil"/>
              <w:left w:val="nil"/>
              <w:bottom w:val="single" w:sz="6" w:space="0" w:color="auto"/>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p>
        </w:tc>
        <w:tc>
          <w:tcPr>
            <w:tcW w:w="709" w:type="dxa"/>
            <w:tcBorders>
              <w:top w:val="nil"/>
              <w:left w:val="nil"/>
              <w:bottom w:val="single" w:sz="6" w:space="0" w:color="auto"/>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418" w:type="dxa"/>
            <w:tcBorders>
              <w:top w:val="nil"/>
              <w:left w:val="nil"/>
              <w:bottom w:val="single" w:sz="6" w:space="0" w:color="auto"/>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567" w:type="dxa"/>
            <w:tcBorders>
              <w:top w:val="nil"/>
              <w:left w:val="nil"/>
              <w:bottom w:val="single" w:sz="6" w:space="0" w:color="auto"/>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134" w:type="dxa"/>
            <w:tcBorders>
              <w:top w:val="nil"/>
              <w:left w:val="nil"/>
              <w:bottom w:val="single" w:sz="6" w:space="0" w:color="auto"/>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851" w:type="dxa"/>
            <w:tcBorders>
              <w:top w:val="nil"/>
              <w:left w:val="nil"/>
              <w:bottom w:val="single" w:sz="6" w:space="0" w:color="auto"/>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single" w:sz="6" w:space="0" w:color="auto"/>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bl>
    <w:p w:rsidR="00F83F85" w:rsidRDefault="00F83F85" w:rsidP="00F83F85">
      <w:pPr>
        <w:widowControl w:val="0"/>
        <w:autoSpaceDE w:val="0"/>
        <w:autoSpaceDN w:val="0"/>
        <w:adjustRightInd w:val="0"/>
        <w:spacing w:after="0"/>
        <w:rPr>
          <w:rFonts w:ascii="Times New Roman" w:hAnsi="Times New Roman" w:cs="Times New Roman"/>
        </w:rPr>
      </w:pP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 indicates </w:t>
      </w:r>
      <w:r>
        <w:rPr>
          <w:rFonts w:ascii="Times New Roman" w:hAnsi="Times New Roman" w:cs="Times New Roman"/>
          <w:i/>
          <w:iCs/>
        </w:rPr>
        <w:t>p</w:t>
      </w:r>
      <w:r>
        <w:rPr>
          <w:rFonts w:ascii="Times New Roman" w:hAnsi="Times New Roman" w:cs="Times New Roman"/>
        </w:rPr>
        <w:t xml:space="preserve"> &lt; .05; ** indicates </w:t>
      </w:r>
      <w:r>
        <w:rPr>
          <w:rFonts w:ascii="Times New Roman" w:hAnsi="Times New Roman" w:cs="Times New Roman"/>
          <w:i/>
          <w:iCs/>
        </w:rPr>
        <w:t>p</w:t>
      </w:r>
      <w:r>
        <w:rPr>
          <w:rFonts w:ascii="Times New Roman" w:hAnsi="Times New Roman" w:cs="Times New Roman"/>
        </w:rPr>
        <w:t xml:space="preserve"> &lt; .01. A significant </w:t>
      </w:r>
      <w:r>
        <w:rPr>
          <w:rFonts w:ascii="Times New Roman" w:hAnsi="Times New Roman" w:cs="Times New Roman"/>
          <w:i/>
          <w:iCs/>
        </w:rPr>
        <w:t>b</w:t>
      </w:r>
      <w:r>
        <w:rPr>
          <w:rFonts w:ascii="Times New Roman" w:hAnsi="Times New Roman" w:cs="Times New Roman"/>
        </w:rPr>
        <w:t xml:space="preserve">-weight indicates the beta-weight and semi-partial correlation are also significant. </w:t>
      </w:r>
      <w:proofErr w:type="gramStart"/>
      <w:r>
        <w:rPr>
          <w:rFonts w:ascii="Times New Roman" w:hAnsi="Times New Roman" w:cs="Times New Roman"/>
          <w:i/>
          <w:iCs/>
        </w:rPr>
        <w:t>b</w:t>
      </w:r>
      <w:proofErr w:type="gramEnd"/>
      <w:r>
        <w:rPr>
          <w:rFonts w:ascii="Times New Roman" w:hAnsi="Times New Roman" w:cs="Times New Roman"/>
        </w:rPr>
        <w:t xml:space="preserve"> represents </w:t>
      </w:r>
      <w:proofErr w:type="spellStart"/>
      <w:r>
        <w:rPr>
          <w:rFonts w:ascii="Times New Roman" w:hAnsi="Times New Roman" w:cs="Times New Roman"/>
        </w:rPr>
        <w:t>unstandardized</w:t>
      </w:r>
      <w:proofErr w:type="spellEnd"/>
      <w:r>
        <w:rPr>
          <w:rFonts w:ascii="Times New Roman" w:hAnsi="Times New Roman" w:cs="Times New Roman"/>
        </w:rPr>
        <w:t xml:space="preserve"> regression weights; </w:t>
      </w:r>
      <w:r>
        <w:rPr>
          <w:rFonts w:ascii="Times New Roman" w:hAnsi="Times New Roman" w:cs="Times New Roman"/>
          <w:i/>
          <w:iCs/>
        </w:rPr>
        <w:t>beta</w:t>
      </w:r>
      <w:r>
        <w:rPr>
          <w:rFonts w:ascii="Times New Roman" w:hAnsi="Times New Roman" w:cs="Times New Roman"/>
        </w:rPr>
        <w:t xml:space="preserve"> indicates the standardized regression weights; </w:t>
      </w:r>
      <w:r>
        <w:rPr>
          <w:rFonts w:ascii="Times New Roman" w:hAnsi="Times New Roman" w:cs="Times New Roman"/>
          <w:i/>
          <w:iCs/>
        </w:rPr>
        <w:t>sr</w:t>
      </w:r>
      <w:r>
        <w:rPr>
          <w:rFonts w:ascii="Times New Roman" w:hAnsi="Times New Roman" w:cs="Times New Roman"/>
          <w:i/>
          <w:iCs/>
          <w:vertAlign w:val="superscript"/>
        </w:rPr>
        <w:t>2</w:t>
      </w:r>
      <w:r>
        <w:rPr>
          <w:rFonts w:ascii="Times New Roman" w:hAnsi="Times New Roman" w:cs="Times New Roman"/>
        </w:rPr>
        <w:t xml:space="preserve"> represents the semi-partial correlation squared; </w:t>
      </w:r>
      <w:r>
        <w:rPr>
          <w:rFonts w:ascii="Times New Roman" w:hAnsi="Times New Roman" w:cs="Times New Roman"/>
          <w:i/>
          <w:iCs/>
        </w:rPr>
        <w:t>r</w:t>
      </w:r>
      <w:r>
        <w:rPr>
          <w:rFonts w:ascii="Times New Roman" w:hAnsi="Times New Roman" w:cs="Times New Roman"/>
        </w:rPr>
        <w:t xml:space="preserve"> represents the zero-order correlation. </w:t>
      </w:r>
      <w:r>
        <w:rPr>
          <w:rFonts w:ascii="Times New Roman" w:hAnsi="Times New Roman" w:cs="Times New Roman"/>
          <w:i/>
          <w:iCs/>
        </w:rPr>
        <w:t>LL</w:t>
      </w:r>
      <w:r>
        <w:rPr>
          <w:rFonts w:ascii="Times New Roman" w:hAnsi="Times New Roman" w:cs="Times New Roman"/>
        </w:rPr>
        <w:t xml:space="preserve"> and </w:t>
      </w:r>
      <w:r>
        <w:rPr>
          <w:rFonts w:ascii="Times New Roman" w:hAnsi="Times New Roman" w:cs="Times New Roman"/>
          <w:i/>
          <w:iCs/>
        </w:rPr>
        <w:t>UL</w:t>
      </w:r>
      <w:r>
        <w:rPr>
          <w:rFonts w:ascii="Times New Roman" w:hAnsi="Times New Roman" w:cs="Times New Roman"/>
        </w:rPr>
        <w:t xml:space="preserve"> indicate the lower and upper limits of a confidence interval, respectively.</w:t>
      </w:r>
    </w:p>
    <w:p w:rsidR="00F83F85" w:rsidRDefault="00904563" w:rsidP="00B933A6">
      <w:pPr>
        <w:pStyle w:val="BodyText"/>
        <w:spacing w:before="0" w:after="0"/>
        <w:rPr>
          <w:rFonts w:ascii="Times New Roman" w:hAnsi="Times New Roman" w:cs="Times New Roman"/>
        </w:rPr>
      </w:pPr>
      <w:r>
        <w:rPr>
          <w:rFonts w:ascii="Times New Roman" w:hAnsi="Times New Roman" w:cs="Times New Roman"/>
          <w:noProof/>
          <w:lang w:val="en-CA" w:eastAsia="en-CA"/>
        </w:rPr>
        <w:lastRenderedPageBreak/>
        <w:drawing>
          <wp:inline distT="0" distB="0" distL="0" distR="0">
            <wp:extent cx="5125625" cy="3767559"/>
            <wp:effectExtent l="19050" t="0" r="0" b="0"/>
            <wp:docPr id="1" name="Picture 1" descr="C:\Users\Brooke\Documents\PSYC 6060\quiz_6\Figur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ooke\Documents\PSYC 6060\quiz_6\Figure 1.jpeg"/>
                    <pic:cNvPicPr>
                      <a:picLocks noChangeAspect="1" noChangeArrowheads="1"/>
                    </pic:cNvPicPr>
                  </pic:nvPicPr>
                  <pic:blipFill>
                    <a:blip r:embed="rId7" cstate="print"/>
                    <a:srcRect t="3821"/>
                    <a:stretch>
                      <a:fillRect/>
                    </a:stretch>
                  </pic:blipFill>
                  <pic:spPr bwMode="auto">
                    <a:xfrm>
                      <a:off x="0" y="0"/>
                      <a:ext cx="5129156" cy="3770154"/>
                    </a:xfrm>
                    <a:prstGeom prst="rect">
                      <a:avLst/>
                    </a:prstGeom>
                    <a:noFill/>
                    <a:ln w="9525">
                      <a:noFill/>
                      <a:miter lim="800000"/>
                      <a:headEnd/>
                      <a:tailEnd/>
                    </a:ln>
                  </pic:spPr>
                </pic:pic>
              </a:graphicData>
            </a:graphic>
          </wp:inline>
        </w:drawing>
      </w:r>
    </w:p>
    <w:p w:rsidR="00904563" w:rsidRPr="00904563" w:rsidRDefault="00904563" w:rsidP="00B933A6">
      <w:pPr>
        <w:pStyle w:val="BodyText"/>
        <w:spacing w:before="0" w:after="0"/>
        <w:rPr>
          <w:rFonts w:ascii="Times New Roman" w:hAnsi="Times New Roman" w:cs="Times New Roman"/>
        </w:rPr>
      </w:pPr>
      <w:proofErr w:type="gramStart"/>
      <w:r w:rsidRPr="00904563">
        <w:rPr>
          <w:rFonts w:ascii="Times New Roman" w:hAnsi="Times New Roman" w:cs="Times New Roman"/>
          <w:i/>
        </w:rPr>
        <w:t>Figure 1.</w:t>
      </w:r>
      <w:proofErr w:type="gramEnd"/>
      <w:r w:rsidRPr="00904563">
        <w:rPr>
          <w:rFonts w:ascii="Times New Roman" w:hAnsi="Times New Roman" w:cs="Times New Roman"/>
          <w:i/>
        </w:rPr>
        <w:t xml:space="preserve"> </w:t>
      </w:r>
      <w:proofErr w:type="gramStart"/>
      <w:r>
        <w:rPr>
          <w:rFonts w:ascii="Times New Roman" w:hAnsi="Times New Roman" w:cs="Times New Roman"/>
        </w:rPr>
        <w:t>Regression surface.</w:t>
      </w:r>
      <w:proofErr w:type="gramEnd"/>
    </w:p>
    <w:p w:rsidR="00904563" w:rsidRDefault="00904563" w:rsidP="00B933A6">
      <w:pPr>
        <w:pStyle w:val="BodyText"/>
        <w:spacing w:before="0" w:after="0"/>
        <w:rPr>
          <w:rFonts w:ascii="Times New Roman" w:hAnsi="Times New Roman" w:cs="Times New Roman"/>
        </w:rPr>
      </w:pPr>
    </w:p>
    <w:p w:rsidR="00B933A6" w:rsidRDefault="00B933A6" w:rsidP="00B933A6">
      <w:pPr>
        <w:pStyle w:val="BodyText"/>
        <w:spacing w:before="0" w:after="0"/>
        <w:rPr>
          <w:rFonts w:ascii="Times New Roman" w:hAnsi="Times New Roman" w:cs="Times New Roman"/>
        </w:rPr>
      </w:pPr>
    </w:p>
    <w:p w:rsidR="00904563" w:rsidRDefault="00904563" w:rsidP="00B933A6">
      <w:pPr>
        <w:pStyle w:val="BodyText"/>
        <w:spacing w:before="0" w:after="0"/>
        <w:rPr>
          <w:rFonts w:ascii="Times New Roman" w:hAnsi="Times New Roman" w:cs="Times New Roman"/>
        </w:rPr>
      </w:pPr>
      <w:r>
        <w:rPr>
          <w:rFonts w:ascii="Times New Roman" w:hAnsi="Times New Roman" w:cs="Times New Roman"/>
          <w:noProof/>
          <w:lang w:val="en-CA" w:eastAsia="en-CA"/>
        </w:rPr>
        <w:drawing>
          <wp:inline distT="0" distB="0" distL="0" distR="0">
            <wp:extent cx="4980304" cy="3698111"/>
            <wp:effectExtent l="19050" t="0" r="0" b="0"/>
            <wp:docPr id="2" name="Picture 2" descr="C:\Users\Brooke\Documents\PSYC 6060\quiz_6\Figur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ooke\Documents\PSYC 6060\quiz_6\Figure 2.jpeg"/>
                    <pic:cNvPicPr>
                      <a:picLocks noChangeAspect="1" noChangeArrowheads="1"/>
                    </pic:cNvPicPr>
                  </pic:nvPicPr>
                  <pic:blipFill>
                    <a:blip r:embed="rId8" cstate="print"/>
                    <a:srcRect t="3156" r="1523" b="1163"/>
                    <a:stretch>
                      <a:fillRect/>
                    </a:stretch>
                  </pic:blipFill>
                  <pic:spPr bwMode="auto">
                    <a:xfrm>
                      <a:off x="0" y="0"/>
                      <a:ext cx="4986600" cy="3702786"/>
                    </a:xfrm>
                    <a:prstGeom prst="rect">
                      <a:avLst/>
                    </a:prstGeom>
                    <a:noFill/>
                    <a:ln w="9525">
                      <a:noFill/>
                      <a:miter lim="800000"/>
                      <a:headEnd/>
                      <a:tailEnd/>
                    </a:ln>
                  </pic:spPr>
                </pic:pic>
              </a:graphicData>
            </a:graphic>
          </wp:inline>
        </w:drawing>
      </w:r>
    </w:p>
    <w:p w:rsidR="00904563" w:rsidRPr="00E4473A" w:rsidRDefault="00904563" w:rsidP="00B933A6">
      <w:pPr>
        <w:pStyle w:val="BodyText"/>
        <w:spacing w:before="0" w:after="0"/>
        <w:rPr>
          <w:rFonts w:ascii="Times New Roman" w:hAnsi="Times New Roman" w:cs="Times New Roman"/>
        </w:rPr>
      </w:pPr>
      <w:proofErr w:type="gramStart"/>
      <w:r w:rsidRPr="00904563">
        <w:rPr>
          <w:rFonts w:ascii="Times New Roman" w:hAnsi="Times New Roman" w:cs="Times New Roman"/>
          <w:i/>
        </w:rPr>
        <w:t>Figure 2.</w:t>
      </w:r>
      <w:proofErr w:type="gramEnd"/>
      <w:r w:rsidRPr="00904563">
        <w:rPr>
          <w:rFonts w:ascii="Times New Roman" w:hAnsi="Times New Roman" w:cs="Times New Roman"/>
          <w:i/>
        </w:rPr>
        <w:t xml:space="preserve"> </w:t>
      </w:r>
      <w:proofErr w:type="gramStart"/>
      <w:r w:rsidRPr="00904563">
        <w:rPr>
          <w:rFonts w:ascii="Times New Roman" w:hAnsi="Times New Roman" w:cs="Times New Roman"/>
        </w:rPr>
        <w:t>Simple-slope cross-sections of regression.</w:t>
      </w:r>
      <w:proofErr w:type="gramEnd"/>
    </w:p>
    <w:sectPr w:rsidR="00904563" w:rsidRPr="00E4473A" w:rsidSect="00577A4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17B" w:rsidRDefault="00E0617B" w:rsidP="00577A45">
      <w:pPr>
        <w:spacing w:after="0"/>
      </w:pPr>
      <w:r>
        <w:separator/>
      </w:r>
    </w:p>
  </w:endnote>
  <w:endnote w:type="continuationSeparator" w:id="0">
    <w:p w:rsidR="00E0617B" w:rsidRDefault="00E0617B" w:rsidP="00577A4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17B" w:rsidRDefault="00E0617B">
      <w:r>
        <w:separator/>
      </w:r>
    </w:p>
  </w:footnote>
  <w:footnote w:type="continuationSeparator" w:id="0">
    <w:p w:rsidR="00E0617B" w:rsidRDefault="00E061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1CEE2D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E400030"/>
    <w:multiLevelType w:val="multilevel"/>
    <w:tmpl w:val="477E0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C1EF3"/>
    <w:rsid w:val="00153665"/>
    <w:rsid w:val="002C75D3"/>
    <w:rsid w:val="00341AAE"/>
    <w:rsid w:val="0040443C"/>
    <w:rsid w:val="00434EF5"/>
    <w:rsid w:val="00445B08"/>
    <w:rsid w:val="004E29B3"/>
    <w:rsid w:val="00523EE2"/>
    <w:rsid w:val="00577A45"/>
    <w:rsid w:val="00590D07"/>
    <w:rsid w:val="005D3FFF"/>
    <w:rsid w:val="007173A0"/>
    <w:rsid w:val="00730856"/>
    <w:rsid w:val="00784D58"/>
    <w:rsid w:val="007A1C76"/>
    <w:rsid w:val="007F3247"/>
    <w:rsid w:val="00822EBF"/>
    <w:rsid w:val="008D6863"/>
    <w:rsid w:val="00904563"/>
    <w:rsid w:val="00994553"/>
    <w:rsid w:val="00A87640"/>
    <w:rsid w:val="00B86B75"/>
    <w:rsid w:val="00B933A6"/>
    <w:rsid w:val="00B96D04"/>
    <w:rsid w:val="00BC48D5"/>
    <w:rsid w:val="00C26B45"/>
    <w:rsid w:val="00C36279"/>
    <w:rsid w:val="00C50D96"/>
    <w:rsid w:val="00E0617B"/>
    <w:rsid w:val="00E315A3"/>
    <w:rsid w:val="00E4473A"/>
    <w:rsid w:val="00E61A5D"/>
    <w:rsid w:val="00F83F85"/>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577A45"/>
  </w:style>
  <w:style w:type="paragraph" w:styleId="Heading1">
    <w:name w:val="heading 1"/>
    <w:basedOn w:val="Normal"/>
    <w:next w:val="BodyText"/>
    <w:uiPriority w:val="9"/>
    <w:qFormat/>
    <w:rsid w:val="00577A4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77A45"/>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77A45"/>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77A45"/>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77A45"/>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77A45"/>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77A45"/>
    <w:pPr>
      <w:spacing w:before="180" w:after="180"/>
    </w:pPr>
  </w:style>
  <w:style w:type="paragraph" w:customStyle="1" w:styleId="FirstParagraph">
    <w:name w:val="First Paragraph"/>
    <w:basedOn w:val="BodyText"/>
    <w:next w:val="BodyText"/>
    <w:qFormat/>
    <w:rsid w:val="00577A45"/>
  </w:style>
  <w:style w:type="paragraph" w:customStyle="1" w:styleId="Compact">
    <w:name w:val="Compact"/>
    <w:basedOn w:val="BodyText"/>
    <w:qFormat/>
    <w:rsid w:val="00577A45"/>
    <w:pPr>
      <w:spacing w:before="36" w:after="36"/>
    </w:pPr>
  </w:style>
  <w:style w:type="paragraph" w:styleId="Title">
    <w:name w:val="Title"/>
    <w:basedOn w:val="Normal"/>
    <w:next w:val="BodyText"/>
    <w:qFormat/>
    <w:rsid w:val="00577A4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77A45"/>
    <w:pPr>
      <w:spacing w:before="240"/>
    </w:pPr>
    <w:rPr>
      <w:sz w:val="30"/>
      <w:szCs w:val="30"/>
    </w:rPr>
  </w:style>
  <w:style w:type="paragraph" w:customStyle="1" w:styleId="Author">
    <w:name w:val="Author"/>
    <w:next w:val="BodyText"/>
    <w:qFormat/>
    <w:rsid w:val="00577A45"/>
    <w:pPr>
      <w:keepNext/>
      <w:keepLines/>
      <w:jc w:val="center"/>
    </w:pPr>
  </w:style>
  <w:style w:type="paragraph" w:styleId="Date">
    <w:name w:val="Date"/>
    <w:next w:val="BodyText"/>
    <w:qFormat/>
    <w:rsid w:val="00577A45"/>
    <w:pPr>
      <w:keepNext/>
      <w:keepLines/>
      <w:jc w:val="center"/>
    </w:pPr>
  </w:style>
  <w:style w:type="paragraph" w:customStyle="1" w:styleId="Abstract">
    <w:name w:val="Abstract"/>
    <w:basedOn w:val="Normal"/>
    <w:next w:val="BodyText"/>
    <w:qFormat/>
    <w:rsid w:val="00577A45"/>
    <w:pPr>
      <w:keepNext/>
      <w:keepLines/>
      <w:spacing w:before="300" w:after="300"/>
    </w:pPr>
    <w:rPr>
      <w:sz w:val="20"/>
      <w:szCs w:val="20"/>
    </w:rPr>
  </w:style>
  <w:style w:type="paragraph" w:styleId="Bibliography">
    <w:name w:val="Bibliography"/>
    <w:basedOn w:val="Normal"/>
    <w:qFormat/>
    <w:rsid w:val="00577A45"/>
  </w:style>
  <w:style w:type="paragraph" w:styleId="BlockText">
    <w:name w:val="Block Text"/>
    <w:basedOn w:val="BodyText"/>
    <w:next w:val="BodyText"/>
    <w:uiPriority w:val="9"/>
    <w:unhideWhenUsed/>
    <w:qFormat/>
    <w:rsid w:val="00577A45"/>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77A45"/>
  </w:style>
  <w:style w:type="paragraph" w:customStyle="1" w:styleId="DefinitionTerm">
    <w:name w:val="Definition Term"/>
    <w:basedOn w:val="Normal"/>
    <w:next w:val="Definition"/>
    <w:rsid w:val="00577A45"/>
    <w:pPr>
      <w:keepNext/>
      <w:keepLines/>
      <w:spacing w:after="0"/>
    </w:pPr>
    <w:rPr>
      <w:b/>
    </w:rPr>
  </w:style>
  <w:style w:type="paragraph" w:customStyle="1" w:styleId="Definition">
    <w:name w:val="Definition"/>
    <w:basedOn w:val="Normal"/>
    <w:rsid w:val="00577A45"/>
  </w:style>
  <w:style w:type="paragraph" w:styleId="Caption">
    <w:name w:val="caption"/>
    <w:basedOn w:val="Normal"/>
    <w:link w:val="BodyTextChar"/>
    <w:rsid w:val="00577A45"/>
    <w:pPr>
      <w:spacing w:after="120"/>
    </w:pPr>
    <w:rPr>
      <w:i/>
    </w:rPr>
  </w:style>
  <w:style w:type="paragraph" w:customStyle="1" w:styleId="TableCaption">
    <w:name w:val="Table Caption"/>
    <w:basedOn w:val="Caption"/>
    <w:rsid w:val="00577A45"/>
    <w:pPr>
      <w:keepNext/>
    </w:pPr>
  </w:style>
  <w:style w:type="paragraph" w:customStyle="1" w:styleId="ImageCaption">
    <w:name w:val="Image Caption"/>
    <w:basedOn w:val="Caption"/>
    <w:rsid w:val="00577A45"/>
  </w:style>
  <w:style w:type="paragraph" w:customStyle="1" w:styleId="Figure">
    <w:name w:val="Figure"/>
    <w:basedOn w:val="Normal"/>
    <w:rsid w:val="00577A45"/>
  </w:style>
  <w:style w:type="paragraph" w:customStyle="1" w:styleId="FigurewithCaption">
    <w:name w:val="Figure with Caption"/>
    <w:basedOn w:val="Figure"/>
    <w:rsid w:val="00577A45"/>
    <w:pPr>
      <w:keepNext/>
    </w:pPr>
  </w:style>
  <w:style w:type="character" w:customStyle="1" w:styleId="BodyTextChar">
    <w:name w:val="Body Text Char"/>
    <w:basedOn w:val="DefaultParagraphFont"/>
    <w:link w:val="Caption"/>
    <w:rsid w:val="00577A45"/>
  </w:style>
  <w:style w:type="character" w:customStyle="1" w:styleId="VerbatimChar">
    <w:name w:val="Verbatim Char"/>
    <w:basedOn w:val="BodyTextChar"/>
    <w:link w:val="SourceCode"/>
    <w:rsid w:val="00577A45"/>
    <w:rPr>
      <w:rFonts w:ascii="Consolas" w:hAnsi="Consolas"/>
      <w:sz w:val="22"/>
    </w:rPr>
  </w:style>
  <w:style w:type="character" w:styleId="FootnoteReference">
    <w:name w:val="footnote reference"/>
    <w:basedOn w:val="BodyTextChar"/>
    <w:rsid w:val="00577A45"/>
    <w:rPr>
      <w:vertAlign w:val="superscript"/>
    </w:rPr>
  </w:style>
  <w:style w:type="character" w:styleId="Hyperlink">
    <w:name w:val="Hyperlink"/>
    <w:basedOn w:val="BodyTextChar"/>
    <w:rsid w:val="00577A45"/>
    <w:rPr>
      <w:color w:val="4F81BD" w:themeColor="accent1"/>
    </w:rPr>
  </w:style>
  <w:style w:type="paragraph" w:styleId="TOCHeading">
    <w:name w:val="TOC Heading"/>
    <w:basedOn w:val="Heading1"/>
    <w:next w:val="BodyText"/>
    <w:uiPriority w:val="39"/>
    <w:unhideWhenUsed/>
    <w:qFormat/>
    <w:rsid w:val="00577A45"/>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77A45"/>
    <w:pPr>
      <w:shd w:val="clear" w:color="auto" w:fill="F8F8F8"/>
      <w:wordWrap w:val="0"/>
    </w:pPr>
  </w:style>
  <w:style w:type="character" w:customStyle="1" w:styleId="KeywordTok">
    <w:name w:val="KeywordTok"/>
    <w:basedOn w:val="VerbatimChar"/>
    <w:rsid w:val="00577A45"/>
    <w:rPr>
      <w:b/>
      <w:color w:val="204A87"/>
      <w:shd w:val="clear" w:color="auto" w:fill="F8F8F8"/>
    </w:rPr>
  </w:style>
  <w:style w:type="character" w:customStyle="1" w:styleId="DataTypeTok">
    <w:name w:val="DataTypeTok"/>
    <w:basedOn w:val="VerbatimChar"/>
    <w:rsid w:val="00577A45"/>
    <w:rPr>
      <w:color w:val="204A87"/>
      <w:shd w:val="clear" w:color="auto" w:fill="F8F8F8"/>
    </w:rPr>
  </w:style>
  <w:style w:type="character" w:customStyle="1" w:styleId="DecValTok">
    <w:name w:val="DecValTok"/>
    <w:basedOn w:val="VerbatimChar"/>
    <w:rsid w:val="00577A45"/>
    <w:rPr>
      <w:color w:val="0000CF"/>
      <w:shd w:val="clear" w:color="auto" w:fill="F8F8F8"/>
    </w:rPr>
  </w:style>
  <w:style w:type="character" w:customStyle="1" w:styleId="BaseNTok">
    <w:name w:val="BaseNTok"/>
    <w:basedOn w:val="VerbatimChar"/>
    <w:rsid w:val="00577A45"/>
    <w:rPr>
      <w:color w:val="0000CF"/>
      <w:shd w:val="clear" w:color="auto" w:fill="F8F8F8"/>
    </w:rPr>
  </w:style>
  <w:style w:type="character" w:customStyle="1" w:styleId="FloatTok">
    <w:name w:val="FloatTok"/>
    <w:basedOn w:val="VerbatimChar"/>
    <w:rsid w:val="00577A45"/>
    <w:rPr>
      <w:color w:val="0000CF"/>
      <w:shd w:val="clear" w:color="auto" w:fill="F8F8F8"/>
    </w:rPr>
  </w:style>
  <w:style w:type="character" w:customStyle="1" w:styleId="ConstantTok">
    <w:name w:val="ConstantTok"/>
    <w:basedOn w:val="VerbatimChar"/>
    <w:rsid w:val="00577A45"/>
    <w:rPr>
      <w:color w:val="000000"/>
      <w:shd w:val="clear" w:color="auto" w:fill="F8F8F8"/>
    </w:rPr>
  </w:style>
  <w:style w:type="character" w:customStyle="1" w:styleId="CharTok">
    <w:name w:val="CharTok"/>
    <w:basedOn w:val="VerbatimChar"/>
    <w:rsid w:val="00577A45"/>
    <w:rPr>
      <w:color w:val="4E9A06"/>
      <w:shd w:val="clear" w:color="auto" w:fill="F8F8F8"/>
    </w:rPr>
  </w:style>
  <w:style w:type="character" w:customStyle="1" w:styleId="SpecialCharTok">
    <w:name w:val="SpecialCharTok"/>
    <w:basedOn w:val="VerbatimChar"/>
    <w:rsid w:val="00577A45"/>
    <w:rPr>
      <w:color w:val="000000"/>
      <w:shd w:val="clear" w:color="auto" w:fill="F8F8F8"/>
    </w:rPr>
  </w:style>
  <w:style w:type="character" w:customStyle="1" w:styleId="StringTok">
    <w:name w:val="StringTok"/>
    <w:basedOn w:val="VerbatimChar"/>
    <w:rsid w:val="00577A45"/>
    <w:rPr>
      <w:color w:val="4E9A06"/>
      <w:shd w:val="clear" w:color="auto" w:fill="F8F8F8"/>
    </w:rPr>
  </w:style>
  <w:style w:type="character" w:customStyle="1" w:styleId="VerbatimStringTok">
    <w:name w:val="VerbatimStringTok"/>
    <w:basedOn w:val="VerbatimChar"/>
    <w:rsid w:val="00577A45"/>
    <w:rPr>
      <w:color w:val="4E9A06"/>
      <w:shd w:val="clear" w:color="auto" w:fill="F8F8F8"/>
    </w:rPr>
  </w:style>
  <w:style w:type="character" w:customStyle="1" w:styleId="SpecialStringTok">
    <w:name w:val="SpecialStringTok"/>
    <w:basedOn w:val="VerbatimChar"/>
    <w:rsid w:val="00577A45"/>
    <w:rPr>
      <w:color w:val="4E9A06"/>
      <w:shd w:val="clear" w:color="auto" w:fill="F8F8F8"/>
    </w:rPr>
  </w:style>
  <w:style w:type="character" w:customStyle="1" w:styleId="ImportTok">
    <w:name w:val="ImportTok"/>
    <w:basedOn w:val="VerbatimChar"/>
    <w:rsid w:val="00577A45"/>
    <w:rPr>
      <w:shd w:val="clear" w:color="auto" w:fill="F8F8F8"/>
    </w:rPr>
  </w:style>
  <w:style w:type="character" w:customStyle="1" w:styleId="CommentTok">
    <w:name w:val="CommentTok"/>
    <w:basedOn w:val="VerbatimChar"/>
    <w:rsid w:val="00577A45"/>
    <w:rPr>
      <w:i/>
      <w:color w:val="8F5902"/>
      <w:shd w:val="clear" w:color="auto" w:fill="F8F8F8"/>
    </w:rPr>
  </w:style>
  <w:style w:type="character" w:customStyle="1" w:styleId="DocumentationTok">
    <w:name w:val="DocumentationTok"/>
    <w:basedOn w:val="VerbatimChar"/>
    <w:rsid w:val="00577A45"/>
    <w:rPr>
      <w:b/>
      <w:i/>
      <w:color w:val="8F5902"/>
      <w:shd w:val="clear" w:color="auto" w:fill="F8F8F8"/>
    </w:rPr>
  </w:style>
  <w:style w:type="character" w:customStyle="1" w:styleId="AnnotationTok">
    <w:name w:val="AnnotationTok"/>
    <w:basedOn w:val="VerbatimChar"/>
    <w:rsid w:val="00577A45"/>
    <w:rPr>
      <w:b/>
      <w:i/>
      <w:color w:val="8F5902"/>
      <w:shd w:val="clear" w:color="auto" w:fill="F8F8F8"/>
    </w:rPr>
  </w:style>
  <w:style w:type="character" w:customStyle="1" w:styleId="CommentVarTok">
    <w:name w:val="CommentVarTok"/>
    <w:basedOn w:val="VerbatimChar"/>
    <w:rsid w:val="00577A45"/>
    <w:rPr>
      <w:b/>
      <w:i/>
      <w:color w:val="8F5902"/>
      <w:shd w:val="clear" w:color="auto" w:fill="F8F8F8"/>
    </w:rPr>
  </w:style>
  <w:style w:type="character" w:customStyle="1" w:styleId="OtherTok">
    <w:name w:val="OtherTok"/>
    <w:basedOn w:val="VerbatimChar"/>
    <w:rsid w:val="00577A45"/>
    <w:rPr>
      <w:color w:val="8F5902"/>
      <w:shd w:val="clear" w:color="auto" w:fill="F8F8F8"/>
    </w:rPr>
  </w:style>
  <w:style w:type="character" w:customStyle="1" w:styleId="FunctionTok">
    <w:name w:val="FunctionTok"/>
    <w:basedOn w:val="VerbatimChar"/>
    <w:rsid w:val="00577A45"/>
    <w:rPr>
      <w:color w:val="000000"/>
      <w:shd w:val="clear" w:color="auto" w:fill="F8F8F8"/>
    </w:rPr>
  </w:style>
  <w:style w:type="character" w:customStyle="1" w:styleId="VariableTok">
    <w:name w:val="VariableTok"/>
    <w:basedOn w:val="VerbatimChar"/>
    <w:rsid w:val="00577A45"/>
    <w:rPr>
      <w:color w:val="000000"/>
      <w:shd w:val="clear" w:color="auto" w:fill="F8F8F8"/>
    </w:rPr>
  </w:style>
  <w:style w:type="character" w:customStyle="1" w:styleId="ControlFlowTok">
    <w:name w:val="ControlFlowTok"/>
    <w:basedOn w:val="VerbatimChar"/>
    <w:rsid w:val="00577A45"/>
    <w:rPr>
      <w:b/>
      <w:color w:val="204A87"/>
      <w:shd w:val="clear" w:color="auto" w:fill="F8F8F8"/>
    </w:rPr>
  </w:style>
  <w:style w:type="character" w:customStyle="1" w:styleId="OperatorTok">
    <w:name w:val="OperatorTok"/>
    <w:basedOn w:val="VerbatimChar"/>
    <w:rsid w:val="00577A45"/>
    <w:rPr>
      <w:b/>
      <w:color w:val="CE5C00"/>
      <w:shd w:val="clear" w:color="auto" w:fill="F8F8F8"/>
    </w:rPr>
  </w:style>
  <w:style w:type="character" w:customStyle="1" w:styleId="BuiltInTok">
    <w:name w:val="BuiltInTok"/>
    <w:basedOn w:val="VerbatimChar"/>
    <w:rsid w:val="00577A45"/>
    <w:rPr>
      <w:shd w:val="clear" w:color="auto" w:fill="F8F8F8"/>
    </w:rPr>
  </w:style>
  <w:style w:type="character" w:customStyle="1" w:styleId="ExtensionTok">
    <w:name w:val="ExtensionTok"/>
    <w:basedOn w:val="VerbatimChar"/>
    <w:rsid w:val="00577A45"/>
    <w:rPr>
      <w:shd w:val="clear" w:color="auto" w:fill="F8F8F8"/>
    </w:rPr>
  </w:style>
  <w:style w:type="character" w:customStyle="1" w:styleId="PreprocessorTok">
    <w:name w:val="PreprocessorTok"/>
    <w:basedOn w:val="VerbatimChar"/>
    <w:rsid w:val="00577A45"/>
    <w:rPr>
      <w:i/>
      <w:color w:val="8F5902"/>
      <w:shd w:val="clear" w:color="auto" w:fill="F8F8F8"/>
    </w:rPr>
  </w:style>
  <w:style w:type="character" w:customStyle="1" w:styleId="AttributeTok">
    <w:name w:val="AttributeTok"/>
    <w:basedOn w:val="VerbatimChar"/>
    <w:rsid w:val="00577A45"/>
    <w:rPr>
      <w:color w:val="C4A000"/>
      <w:shd w:val="clear" w:color="auto" w:fill="F8F8F8"/>
    </w:rPr>
  </w:style>
  <w:style w:type="character" w:customStyle="1" w:styleId="RegionMarkerTok">
    <w:name w:val="RegionMarkerTok"/>
    <w:basedOn w:val="VerbatimChar"/>
    <w:rsid w:val="00577A45"/>
    <w:rPr>
      <w:shd w:val="clear" w:color="auto" w:fill="F8F8F8"/>
    </w:rPr>
  </w:style>
  <w:style w:type="character" w:customStyle="1" w:styleId="InformationTok">
    <w:name w:val="InformationTok"/>
    <w:basedOn w:val="VerbatimChar"/>
    <w:rsid w:val="00577A45"/>
    <w:rPr>
      <w:b/>
      <w:i/>
      <w:color w:val="8F5902"/>
      <w:shd w:val="clear" w:color="auto" w:fill="F8F8F8"/>
    </w:rPr>
  </w:style>
  <w:style w:type="character" w:customStyle="1" w:styleId="WarningTok">
    <w:name w:val="WarningTok"/>
    <w:basedOn w:val="VerbatimChar"/>
    <w:rsid w:val="00577A45"/>
    <w:rPr>
      <w:b/>
      <w:i/>
      <w:color w:val="8F5902"/>
      <w:shd w:val="clear" w:color="auto" w:fill="F8F8F8"/>
    </w:rPr>
  </w:style>
  <w:style w:type="character" w:customStyle="1" w:styleId="AlertTok">
    <w:name w:val="AlertTok"/>
    <w:basedOn w:val="VerbatimChar"/>
    <w:rsid w:val="00577A45"/>
    <w:rPr>
      <w:color w:val="EF2929"/>
      <w:shd w:val="clear" w:color="auto" w:fill="F8F8F8"/>
    </w:rPr>
  </w:style>
  <w:style w:type="character" w:customStyle="1" w:styleId="ErrorTok">
    <w:name w:val="ErrorTok"/>
    <w:basedOn w:val="VerbatimChar"/>
    <w:rsid w:val="00577A45"/>
    <w:rPr>
      <w:b/>
      <w:color w:val="A40000"/>
      <w:shd w:val="clear" w:color="auto" w:fill="F8F8F8"/>
    </w:rPr>
  </w:style>
  <w:style w:type="character" w:customStyle="1" w:styleId="NormalTok">
    <w:name w:val="NormalTok"/>
    <w:basedOn w:val="VerbatimChar"/>
    <w:rsid w:val="00577A45"/>
    <w:rPr>
      <w:shd w:val="clear" w:color="auto" w:fill="F8F8F8"/>
    </w:rPr>
  </w:style>
  <w:style w:type="paragraph" w:styleId="BalloonText">
    <w:name w:val="Balloon Text"/>
    <w:basedOn w:val="Normal"/>
    <w:link w:val="BalloonTextChar"/>
    <w:rsid w:val="00E4473A"/>
    <w:pPr>
      <w:spacing w:after="0"/>
    </w:pPr>
    <w:rPr>
      <w:rFonts w:ascii="Tahoma" w:hAnsi="Tahoma" w:cs="Tahoma"/>
      <w:sz w:val="16"/>
      <w:szCs w:val="16"/>
    </w:rPr>
  </w:style>
  <w:style w:type="character" w:customStyle="1" w:styleId="BalloonTextChar">
    <w:name w:val="Balloon Text Char"/>
    <w:basedOn w:val="DefaultParagraphFont"/>
    <w:link w:val="BalloonText"/>
    <w:rsid w:val="00E447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6</dc:title>
  <dc:creator>Brooke Charbonneau</dc:creator>
  <cp:lastModifiedBy>Brooke</cp:lastModifiedBy>
  <cp:revision>2</cp:revision>
  <dcterms:created xsi:type="dcterms:W3CDTF">2016-12-05T18:09:00Z</dcterms:created>
  <dcterms:modified xsi:type="dcterms:W3CDTF">2016-12-05T18:09:00Z</dcterms:modified>
</cp:coreProperties>
</file>