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C30E" w14:textId="7C73755F" w:rsidR="00A96663" w:rsidRDefault="0060566A" w:rsidP="00664C6C">
      <w:pPr>
        <w:pStyle w:val="Title"/>
      </w:pPr>
      <w:r>
        <w:t xml:space="preserve">AI </w:t>
      </w:r>
      <w:r w:rsidR="00664C6C">
        <w:t>for</w:t>
      </w:r>
      <w:r>
        <w:t xml:space="preserve"> Wellbeing (Non</w:t>
      </w:r>
      <w:r>
        <w:rPr>
          <w:rFonts w:ascii="Cambria Math" w:hAnsi="Cambria Math" w:cs="Cambria Math"/>
        </w:rPr>
        <w:t>‑</w:t>
      </w:r>
      <w:r>
        <w:t>Clinical)</w:t>
      </w:r>
    </w:p>
    <w:p w14:paraId="024721D6" w14:textId="5A38B666" w:rsidR="00664C6C" w:rsidRDefault="00664C6C" w:rsidP="00664C6C">
      <w:pPr>
        <w:pStyle w:val="Subtitle"/>
      </w:pPr>
      <w:r>
        <w:t xml:space="preserve">Avanade Challenge Question B: </w:t>
      </w:r>
    </w:p>
    <w:p w14:paraId="2F5BB253" w14:textId="0F1ACEAC" w:rsidR="00A96663" w:rsidRPr="00664C6C" w:rsidRDefault="0060566A">
      <w:pPr>
        <w:rPr>
          <w:rFonts w:ascii="Segoe UI" w:hAnsi="Segoe UI" w:cs="Segoe UI"/>
          <w:b/>
          <w:bCs/>
          <w:sz w:val="28"/>
          <w:szCs w:val="28"/>
        </w:rPr>
      </w:pPr>
      <w:r>
        <w:rPr>
          <w:b/>
        </w:rPr>
        <w:br/>
      </w:r>
      <w:r w:rsidRPr="00664C6C">
        <w:rPr>
          <w:rFonts w:ascii="Segoe UI" w:hAnsi="Segoe UI" w:cs="Segoe UI"/>
          <w:b/>
          <w:bCs/>
          <w:sz w:val="28"/>
          <w:szCs w:val="28"/>
        </w:rPr>
        <w:t>How might we use AI to support wellbeing for students OR tech‑industry workers by enabling healthier work‑ or school‑life balance—while clearly avoiding AI as a replacement for professional mental health care?</w:t>
      </w:r>
    </w:p>
    <w:p w14:paraId="2F083479" w14:textId="3F260B96" w:rsidR="00664C6C" w:rsidRPr="00664C6C" w:rsidRDefault="0060566A" w:rsidP="00664C6C">
      <w:pPr>
        <w:rPr>
          <w:rFonts w:ascii="Segoe UI" w:hAnsi="Segoe UI" w:cs="Segoe UI"/>
        </w:rPr>
      </w:pPr>
      <w:r w:rsidRPr="00664C6C">
        <w:rPr>
          <w:rFonts w:ascii="Segoe UI" w:hAnsi="Segoe UI" w:cs="Segoe UI"/>
          <w:bCs/>
        </w:rPr>
        <w:t xml:space="preserve">Required </w:t>
      </w:r>
      <w:r w:rsidR="00664C6C" w:rsidRPr="00664C6C">
        <w:rPr>
          <w:rFonts w:ascii="Segoe UI" w:hAnsi="Segoe UI" w:cs="Segoe UI"/>
          <w:bCs/>
        </w:rPr>
        <w:t xml:space="preserve">Constraints </w:t>
      </w:r>
      <w:r w:rsidRPr="00664C6C">
        <w:rPr>
          <w:rFonts w:ascii="Segoe UI" w:hAnsi="Segoe UI" w:cs="Segoe UI"/>
          <w:bCs/>
        </w:rPr>
        <w:t>(choose one population)</w:t>
      </w:r>
      <w:r w:rsidRPr="00664C6C">
        <w:rPr>
          <w:rFonts w:ascii="Segoe UI" w:hAnsi="Segoe UI" w:cs="Segoe UI"/>
          <w:b/>
        </w:rPr>
        <w:br/>
      </w:r>
      <w:r w:rsidR="00664C6C">
        <w:rPr>
          <w:rFonts w:ascii="Segoe UI" w:hAnsi="Segoe UI" w:cs="Segoe UI"/>
          <w:b/>
          <w:bCs/>
        </w:rPr>
        <w:t xml:space="preserve">1. </w:t>
      </w:r>
      <w:r w:rsidRPr="00664C6C">
        <w:rPr>
          <w:rFonts w:ascii="Segoe UI" w:hAnsi="Segoe UI" w:cs="Segoe UI"/>
          <w:b/>
          <w:bCs/>
        </w:rPr>
        <w:t>Student Wellbeing</w:t>
      </w:r>
      <w:r w:rsidRPr="00664C6C">
        <w:rPr>
          <w:rFonts w:ascii="Segoe UI" w:hAnsi="Segoe UI" w:cs="Segoe UI"/>
        </w:rPr>
        <w:t xml:space="preserve"> – academic load, time management, financial pressure, transitions into academic life, social stress</w:t>
      </w:r>
      <w:r w:rsidRPr="00664C6C">
        <w:rPr>
          <w:rFonts w:ascii="Segoe UI" w:hAnsi="Segoe UI" w:cs="Segoe UI"/>
        </w:rPr>
        <w:br/>
      </w:r>
      <w:r w:rsidR="00664C6C">
        <w:rPr>
          <w:rFonts w:ascii="Segoe UI" w:hAnsi="Segoe UI" w:cs="Segoe UI"/>
          <w:b/>
          <w:bCs/>
        </w:rPr>
        <w:t>2. T</w:t>
      </w:r>
      <w:r w:rsidRPr="00664C6C">
        <w:rPr>
          <w:rFonts w:ascii="Segoe UI" w:hAnsi="Segoe UI" w:cs="Segoe UI"/>
          <w:b/>
          <w:bCs/>
        </w:rPr>
        <w:t>ech Industry Wellbeing</w:t>
      </w:r>
      <w:r w:rsidRPr="00664C6C">
        <w:rPr>
          <w:rFonts w:ascii="Segoe UI" w:hAnsi="Segoe UI" w:cs="Segoe UI"/>
        </w:rPr>
        <w:t xml:space="preserve"> – burnout risk, boundary‑setting, meeting overload, on‑call fatigue, hybrid or remote work strain, sustainable work habits</w:t>
      </w:r>
    </w:p>
    <w:p w14:paraId="2291B28A" w14:textId="1704D265" w:rsidR="00664C6C" w:rsidRPr="00664C6C" w:rsidRDefault="00664C6C" w:rsidP="00664C6C">
      <w:pPr>
        <w:pStyle w:val="Heading1"/>
      </w:pPr>
      <w:r w:rsidRPr="00664C6C">
        <w:t>Safety &amp; Ethics Guardrails (important for a hackathon brief)</w:t>
      </w:r>
    </w:p>
    <w:p w14:paraId="4A7B2E60" w14:textId="77777777" w:rsidR="00664C6C" w:rsidRPr="00664C6C" w:rsidRDefault="00664C6C" w:rsidP="00664C6C">
      <w:pPr>
        <w:rPr>
          <w:rFonts w:ascii="Segoe UI" w:hAnsi="Segoe UI" w:cs="Segoe UI"/>
        </w:rPr>
      </w:pPr>
      <w:r w:rsidRPr="00664C6C">
        <w:rPr>
          <w:rFonts w:ascii="Segoe UI" w:hAnsi="Segoe UI" w:cs="Segoe UI"/>
        </w:rPr>
        <w:t>Solutions must include explicit guardrails to ensure AI is not positioned as therapy or mental health treatment. Designs should focus on preventive, supportive, or awareness</w:t>
      </w:r>
      <w:r w:rsidRPr="00664C6C">
        <w:rPr>
          <w:rFonts w:ascii="Segoe UI" w:hAnsi="Segoe UI" w:cs="Segoe UI"/>
        </w:rPr>
        <w:noBreakHyphen/>
        <w:t>based approaches, rather than diagnosis, crisis response, or treatment.</w:t>
      </w:r>
    </w:p>
    <w:p w14:paraId="3D06C3A0" w14:textId="1D1217C1" w:rsidR="00664C6C" w:rsidRPr="00664C6C" w:rsidRDefault="00664C6C" w:rsidP="00664C6C">
      <w:pPr>
        <w:rPr>
          <w:rFonts w:ascii="Segoe UI" w:hAnsi="Segoe UI" w:cs="Segoe UI"/>
        </w:rPr>
      </w:pPr>
      <w:r w:rsidRPr="00664C6C">
        <w:rPr>
          <w:rFonts w:ascii="Segoe UI" w:hAnsi="Segoe UI" w:cs="Segoe UI"/>
        </w:rPr>
        <w:t>The American Psychological Association has cautioned that generative AI chatbots and wellness tools should not be used as substitutes for professional mental health care, particularly given safety limitations and unpredictability in crisis contexts. Teams should clearly reflect this guidance in their designs.</w:t>
      </w:r>
    </w:p>
    <w:p w14:paraId="478BB3CE" w14:textId="77777777" w:rsidR="00664C6C" w:rsidRPr="00664C6C" w:rsidRDefault="00664C6C" w:rsidP="00664C6C">
      <w:pPr>
        <w:rPr>
          <w:rFonts w:ascii="Segoe UI" w:hAnsi="Segoe UI" w:cs="Segoe UI"/>
          <w:b/>
          <w:bCs/>
        </w:rPr>
      </w:pPr>
      <w:r w:rsidRPr="00664C6C">
        <w:rPr>
          <w:rFonts w:ascii="Segoe UI" w:hAnsi="Segoe UI" w:cs="Segoe UI"/>
          <w:b/>
          <w:bCs/>
        </w:rPr>
        <w:t>Key Design Principles</w:t>
      </w:r>
      <w:r w:rsidRPr="00664C6C">
        <w:rPr>
          <w:rFonts w:ascii="Segoe UI" w:hAnsi="Segoe UI" w:cs="Segoe UI"/>
          <w:b/>
          <w:bCs/>
        </w:rPr>
        <w:br/>
        <w:t>Strong submissions will demonstrate:</w:t>
      </w:r>
    </w:p>
    <w:p w14:paraId="557DC824" w14:textId="77777777" w:rsidR="00664C6C" w:rsidRPr="00664C6C" w:rsidRDefault="00664C6C" w:rsidP="00664C6C">
      <w:pPr>
        <w:numPr>
          <w:ilvl w:val="0"/>
          <w:numId w:val="11"/>
        </w:numPr>
        <w:spacing w:after="160" w:line="259" w:lineRule="auto"/>
        <w:rPr>
          <w:rFonts w:ascii="Segoe UI" w:hAnsi="Segoe UI" w:cs="Segoe UI"/>
        </w:rPr>
      </w:pPr>
      <w:r w:rsidRPr="00664C6C">
        <w:rPr>
          <w:rFonts w:ascii="Segoe UI" w:hAnsi="Segoe UI" w:cs="Segoe UI"/>
        </w:rPr>
        <w:t>A clear understanding of the selected population’s wellbeing challenges</w:t>
      </w:r>
    </w:p>
    <w:p w14:paraId="5573F2E8" w14:textId="77777777" w:rsidR="00664C6C" w:rsidRPr="00664C6C" w:rsidRDefault="00664C6C" w:rsidP="00664C6C">
      <w:pPr>
        <w:numPr>
          <w:ilvl w:val="0"/>
          <w:numId w:val="11"/>
        </w:numPr>
        <w:spacing w:after="160" w:line="259" w:lineRule="auto"/>
        <w:rPr>
          <w:rFonts w:ascii="Segoe UI" w:hAnsi="Segoe UI" w:cs="Segoe UI"/>
        </w:rPr>
      </w:pPr>
      <w:r w:rsidRPr="00664C6C">
        <w:rPr>
          <w:rFonts w:ascii="Segoe UI" w:hAnsi="Segoe UI" w:cs="Segoe UI"/>
        </w:rPr>
        <w:t>Thoughtful, ethical use of AI to support healthier habits, boundaries, or environments</w:t>
      </w:r>
    </w:p>
    <w:p w14:paraId="5C3A8259" w14:textId="77777777" w:rsidR="00664C6C" w:rsidRPr="00664C6C" w:rsidRDefault="00664C6C" w:rsidP="00664C6C">
      <w:pPr>
        <w:numPr>
          <w:ilvl w:val="0"/>
          <w:numId w:val="11"/>
        </w:numPr>
        <w:spacing w:after="160" w:line="259" w:lineRule="auto"/>
        <w:rPr>
          <w:rFonts w:ascii="Segoe UI" w:hAnsi="Segoe UI" w:cs="Segoe UI"/>
        </w:rPr>
      </w:pPr>
      <w:r w:rsidRPr="00664C6C">
        <w:rPr>
          <w:rFonts w:ascii="Segoe UI" w:hAnsi="Segoe UI" w:cs="Segoe UI"/>
        </w:rPr>
        <w:t>Explicit consideration of safety, inclusion, and non</w:t>
      </w:r>
      <w:r w:rsidRPr="00664C6C">
        <w:rPr>
          <w:rFonts w:ascii="Segoe UI" w:hAnsi="Segoe UI" w:cs="Segoe UI"/>
        </w:rPr>
        <w:noBreakHyphen/>
        <w:t>therapeutic design</w:t>
      </w:r>
    </w:p>
    <w:p w14:paraId="4BA788E4" w14:textId="77777777" w:rsidR="00664C6C" w:rsidRPr="00664C6C" w:rsidRDefault="00664C6C" w:rsidP="00664C6C">
      <w:pPr>
        <w:ind w:left="720"/>
        <w:rPr>
          <w:rFonts w:ascii="Segoe UI" w:hAnsi="Segoe UI" w:cs="Segoe UI"/>
        </w:rPr>
      </w:pPr>
    </w:p>
    <w:p w14:paraId="753B76A1" w14:textId="7DAC68CB" w:rsidR="00664C6C" w:rsidRPr="00664C6C" w:rsidRDefault="00664C6C" w:rsidP="00664C6C">
      <w:pPr>
        <w:rPr>
          <w:rFonts w:ascii="Segoe UI" w:hAnsi="Segoe UI" w:cs="Segoe UI"/>
          <w:b/>
          <w:bCs/>
        </w:rPr>
      </w:pPr>
      <w:r w:rsidRPr="00664C6C">
        <w:rPr>
          <w:rFonts w:ascii="Segoe UI" w:hAnsi="Segoe UI" w:cs="Segoe UI"/>
          <w:b/>
          <w:bCs/>
        </w:rPr>
        <w:t>Design Boundaries</w:t>
      </w:r>
      <w:r>
        <w:rPr>
          <w:rFonts w:ascii="Segoe UI" w:hAnsi="Segoe UI" w:cs="Segoe UI"/>
          <w:b/>
          <w:bCs/>
        </w:rPr>
        <w:t xml:space="preserve"> </w:t>
      </w:r>
      <w:r w:rsidRPr="00664C6C">
        <w:rPr>
          <w:rFonts w:ascii="Segoe UI" w:hAnsi="Segoe UI" w:cs="Segoe UI"/>
          <w:b/>
          <w:bCs/>
        </w:rPr>
        <w:t>Solutions should not:</w:t>
      </w:r>
    </w:p>
    <w:p w14:paraId="0542FC99" w14:textId="77777777" w:rsidR="00664C6C" w:rsidRPr="00664C6C" w:rsidRDefault="00664C6C" w:rsidP="00664C6C">
      <w:pPr>
        <w:numPr>
          <w:ilvl w:val="0"/>
          <w:numId w:val="12"/>
        </w:numPr>
        <w:spacing w:after="160" w:line="259" w:lineRule="auto"/>
        <w:rPr>
          <w:rFonts w:ascii="Segoe UI" w:hAnsi="Segoe UI" w:cs="Segoe UI"/>
        </w:rPr>
      </w:pPr>
      <w:proofErr w:type="gramStart"/>
      <w:r w:rsidRPr="00664C6C">
        <w:rPr>
          <w:rFonts w:ascii="Segoe UI" w:hAnsi="Segoe UI" w:cs="Segoe UI"/>
        </w:rPr>
        <w:lastRenderedPageBreak/>
        <w:t>Diagnose</w:t>
      </w:r>
      <w:proofErr w:type="gramEnd"/>
      <w:r w:rsidRPr="00664C6C">
        <w:rPr>
          <w:rFonts w:ascii="Segoe UI" w:hAnsi="Segoe UI" w:cs="Segoe UI"/>
        </w:rPr>
        <w:t xml:space="preserve"> mental health conditions</w:t>
      </w:r>
    </w:p>
    <w:p w14:paraId="75E121AA" w14:textId="77777777" w:rsidR="00664C6C" w:rsidRPr="00664C6C" w:rsidRDefault="00664C6C" w:rsidP="00664C6C">
      <w:pPr>
        <w:numPr>
          <w:ilvl w:val="0"/>
          <w:numId w:val="12"/>
        </w:numPr>
        <w:spacing w:after="160" w:line="259" w:lineRule="auto"/>
        <w:rPr>
          <w:rFonts w:ascii="Segoe UI" w:hAnsi="Segoe UI" w:cs="Segoe UI"/>
        </w:rPr>
      </w:pPr>
      <w:r w:rsidRPr="00664C6C">
        <w:rPr>
          <w:rFonts w:ascii="Segoe UI" w:hAnsi="Segoe UI" w:cs="Segoe UI"/>
        </w:rPr>
        <w:t>Provide counseling, therapy, or crisis intervention</w:t>
      </w:r>
    </w:p>
    <w:p w14:paraId="0CA081FB" w14:textId="3A3E9E21" w:rsidR="00664C6C" w:rsidRPr="00664C6C" w:rsidRDefault="00664C6C" w:rsidP="00664C6C">
      <w:pPr>
        <w:numPr>
          <w:ilvl w:val="0"/>
          <w:numId w:val="12"/>
        </w:numPr>
        <w:spacing w:after="160" w:line="259" w:lineRule="auto"/>
        <w:rPr>
          <w:rFonts w:ascii="Segoe UI" w:hAnsi="Segoe UI" w:cs="Segoe UI"/>
        </w:rPr>
      </w:pPr>
      <w:r w:rsidRPr="00664C6C">
        <w:rPr>
          <w:rFonts w:ascii="Segoe UI" w:hAnsi="Segoe UI" w:cs="Segoe UI"/>
        </w:rPr>
        <w:t>Position AI as a replacement for professional mental health support</w:t>
      </w:r>
    </w:p>
    <w:p w14:paraId="70D9F5D0" w14:textId="77777777" w:rsidR="00664C6C" w:rsidRPr="00664C6C" w:rsidRDefault="00664C6C" w:rsidP="00664C6C">
      <w:pPr>
        <w:rPr>
          <w:rFonts w:ascii="Segoe UI" w:hAnsi="Segoe UI" w:cs="Segoe UI"/>
        </w:rPr>
      </w:pPr>
      <w:r w:rsidRPr="00664C6C">
        <w:rPr>
          <w:rFonts w:ascii="Segoe UI" w:hAnsi="Segoe UI" w:cs="Segoe UI"/>
          <w:b/>
          <w:bCs/>
        </w:rPr>
        <w:t>Example Solution Directions (non</w:t>
      </w:r>
      <w:r w:rsidRPr="00664C6C">
        <w:rPr>
          <w:rFonts w:ascii="Segoe UI" w:hAnsi="Segoe UI" w:cs="Segoe UI"/>
          <w:b/>
          <w:bCs/>
        </w:rPr>
        <w:noBreakHyphen/>
        <w:t>exhaustive)</w:t>
      </w:r>
      <w:r w:rsidRPr="00664C6C">
        <w:rPr>
          <w:rFonts w:ascii="Segoe UI" w:hAnsi="Segoe UI" w:cs="Segoe UI"/>
        </w:rPr>
        <w:br/>
        <w:t>Teams might explore solutions such as:</w:t>
      </w:r>
    </w:p>
    <w:p w14:paraId="74B814A3" w14:textId="77777777" w:rsidR="00664C6C" w:rsidRPr="00664C6C" w:rsidRDefault="00664C6C" w:rsidP="00664C6C">
      <w:pPr>
        <w:numPr>
          <w:ilvl w:val="0"/>
          <w:numId w:val="13"/>
        </w:numPr>
        <w:spacing w:after="160" w:line="259" w:lineRule="auto"/>
        <w:rPr>
          <w:rFonts w:ascii="Segoe UI" w:hAnsi="Segoe UI" w:cs="Segoe UI"/>
        </w:rPr>
      </w:pPr>
      <w:r w:rsidRPr="00664C6C">
        <w:rPr>
          <w:rFonts w:ascii="Segoe UI" w:hAnsi="Segoe UI" w:cs="Segoe UI"/>
        </w:rPr>
        <w:t>AI</w:t>
      </w:r>
      <w:r w:rsidRPr="00664C6C">
        <w:rPr>
          <w:rFonts w:ascii="Segoe UI" w:hAnsi="Segoe UI" w:cs="Segoe UI"/>
        </w:rPr>
        <w:noBreakHyphen/>
        <w:t>enabled tools that help individuals or teams better understand time use, focus patterns, or workload distribution</w:t>
      </w:r>
    </w:p>
    <w:p w14:paraId="54FC9698" w14:textId="77777777" w:rsidR="00664C6C" w:rsidRPr="00664C6C" w:rsidRDefault="00664C6C" w:rsidP="00664C6C">
      <w:pPr>
        <w:numPr>
          <w:ilvl w:val="0"/>
          <w:numId w:val="13"/>
        </w:numPr>
        <w:spacing w:after="160" w:line="259" w:lineRule="auto"/>
        <w:rPr>
          <w:rFonts w:ascii="Segoe UI" w:hAnsi="Segoe UI" w:cs="Segoe UI"/>
        </w:rPr>
      </w:pPr>
      <w:r w:rsidRPr="00664C6C">
        <w:rPr>
          <w:rFonts w:ascii="Segoe UI" w:hAnsi="Segoe UI" w:cs="Segoe UI"/>
        </w:rPr>
        <w:t>Systems that encourage healthy routines, sustainable work or study habits, and boundary</w:t>
      </w:r>
      <w:r w:rsidRPr="00664C6C">
        <w:rPr>
          <w:rFonts w:ascii="Segoe UI" w:hAnsi="Segoe UI" w:cs="Segoe UI"/>
        </w:rPr>
        <w:noBreakHyphen/>
        <w:t>setting</w:t>
      </w:r>
    </w:p>
    <w:p w14:paraId="792A15EA" w14:textId="77777777" w:rsidR="00664C6C" w:rsidRPr="00664C6C" w:rsidRDefault="00664C6C" w:rsidP="00664C6C">
      <w:pPr>
        <w:numPr>
          <w:ilvl w:val="0"/>
          <w:numId w:val="13"/>
        </w:numPr>
        <w:spacing w:after="160" w:line="259" w:lineRule="auto"/>
        <w:rPr>
          <w:rFonts w:ascii="Segoe UI" w:hAnsi="Segoe UI" w:cs="Segoe UI"/>
        </w:rPr>
      </w:pPr>
      <w:r w:rsidRPr="00664C6C">
        <w:rPr>
          <w:rFonts w:ascii="Segoe UI" w:hAnsi="Segoe UI" w:cs="Segoe UI"/>
        </w:rPr>
        <w:t>Insight</w:t>
      </w:r>
      <w:r w:rsidRPr="00664C6C">
        <w:rPr>
          <w:rFonts w:ascii="Segoe UI" w:hAnsi="Segoe UI" w:cs="Segoe UI"/>
        </w:rPr>
        <w:noBreakHyphen/>
        <w:t>driven approaches that surface early signals of burnout risk without diagnosing, labeling, or providing treatment</w:t>
      </w:r>
    </w:p>
    <w:p w14:paraId="5E97A3E6" w14:textId="77777777" w:rsidR="00664C6C" w:rsidRPr="00664C6C" w:rsidRDefault="00664C6C" w:rsidP="00664C6C">
      <w:pPr>
        <w:rPr>
          <w:rFonts w:ascii="Segoe UI" w:hAnsi="Segoe UI" w:cs="Segoe UI"/>
        </w:rPr>
      </w:pPr>
      <w:r w:rsidRPr="00664C6C">
        <w:rPr>
          <w:rFonts w:ascii="Segoe UI" w:eastAsia="Times New Roman" w:hAnsi="Segoe UI" w:cs="Segoe UI"/>
          <w:b/>
          <w:bCs/>
        </w:rPr>
        <w:t>Accessibility &amp; Inclusion</w:t>
      </w:r>
      <w:r w:rsidRPr="00664C6C">
        <w:rPr>
          <w:rFonts w:ascii="Segoe UI" w:eastAsia="Times New Roman" w:hAnsi="Segoe UI" w:cs="Segoe UI"/>
        </w:rPr>
        <w:br/>
        <w:t>Teams are encouraged to design with accessibility and inclusion in mind, considering a wide range of abilities, backgrounds, and user needs.</w:t>
      </w:r>
    </w:p>
    <w:p w14:paraId="7A337162" w14:textId="77777777" w:rsidR="00664C6C" w:rsidRPr="00664C6C" w:rsidRDefault="00664C6C">
      <w:pPr>
        <w:rPr>
          <w:rFonts w:ascii="Segoe UI" w:hAnsi="Segoe UI" w:cs="Segoe UI"/>
        </w:rPr>
      </w:pPr>
    </w:p>
    <w:p w14:paraId="2D56EA4E" w14:textId="77777777" w:rsidR="0060566A" w:rsidRDefault="0060566A">
      <w:pPr>
        <w:rPr>
          <w:rFonts w:asciiTheme="majorHAnsi" w:eastAsiaTheme="majorEastAsia" w:hAnsiTheme="majorHAnsi" w:cstheme="majorBidi"/>
          <w:b/>
          <w:bCs/>
          <w:color w:val="365F91" w:themeColor="accent1" w:themeShade="BF"/>
          <w:sz w:val="28"/>
          <w:szCs w:val="28"/>
        </w:rPr>
      </w:pPr>
      <w:r>
        <w:br w:type="page"/>
      </w:r>
    </w:p>
    <w:p w14:paraId="1DF37AF0" w14:textId="2E81318E" w:rsidR="00664C6C" w:rsidRDefault="00664C6C" w:rsidP="0060566A">
      <w:pPr>
        <w:pStyle w:val="Heading1"/>
      </w:pPr>
      <w:r>
        <w:lastRenderedPageBreak/>
        <w:t>Student Resource Guide &amp; Design Considerations*</w:t>
      </w:r>
    </w:p>
    <w:p w14:paraId="7429A581" w14:textId="65342EC7" w:rsidR="00A96663" w:rsidRPr="00664C6C" w:rsidRDefault="0060566A" w:rsidP="00664C6C">
      <w:pPr>
        <w:rPr>
          <w:rFonts w:ascii="Segoe UI" w:hAnsi="Segoe UI" w:cs="Segoe UI"/>
          <w:sz w:val="18"/>
          <w:szCs w:val="18"/>
        </w:rPr>
      </w:pPr>
      <w:r w:rsidRPr="00664C6C">
        <w:rPr>
          <w:rFonts w:ascii="Segoe UI" w:hAnsi="Segoe UI" w:cs="Segoe UI"/>
          <w:sz w:val="18"/>
          <w:szCs w:val="18"/>
        </w:rPr>
        <w:t xml:space="preserve"> (US‑First, Global Where Relevant)</w:t>
      </w:r>
    </w:p>
    <w:p w14:paraId="7CBF42B1" w14:textId="77777777" w:rsidR="00A96663" w:rsidRPr="00664C6C" w:rsidRDefault="0060566A">
      <w:pPr>
        <w:pStyle w:val="Heading3"/>
        <w:rPr>
          <w:rFonts w:ascii="Segoe UI" w:hAnsi="Segoe UI" w:cs="Segoe UI"/>
        </w:rPr>
      </w:pPr>
      <w:r w:rsidRPr="00664C6C">
        <w:rPr>
          <w:rFonts w:ascii="Segoe UI" w:hAnsi="Segoe UI" w:cs="Segoe UI"/>
        </w:rPr>
        <w:t>1. Time Use, Workload, and Routines</w:t>
      </w:r>
    </w:p>
    <w:p w14:paraId="4F4CBA7A" w14:textId="77777777" w:rsidR="00664C6C" w:rsidRDefault="0060566A" w:rsidP="00664C6C">
      <w:pPr>
        <w:pStyle w:val="ListParagraph"/>
        <w:numPr>
          <w:ilvl w:val="0"/>
          <w:numId w:val="14"/>
        </w:numPr>
      </w:pPr>
      <w:r w:rsidRPr="00664C6C">
        <w:t xml:space="preserve">American Time Use Survey (ATUS – U.S. Bureau of Labor Statistics): </w:t>
      </w:r>
      <w:hyperlink r:id="rId8" w:history="1">
        <w:r w:rsidR="00664C6C" w:rsidRPr="00664C6C">
          <w:rPr>
            <w:rStyle w:val="Hyperlink"/>
            <w:rFonts w:ascii="Segoe UI" w:hAnsi="Segoe UI" w:cs="Segoe UI"/>
          </w:rPr>
          <w:t>https://www.bls.gov/tus/</w:t>
        </w:r>
      </w:hyperlink>
      <w:r w:rsidR="00664C6C">
        <w:t xml:space="preserve"> </w:t>
      </w:r>
    </w:p>
    <w:p w14:paraId="3D8A5D78" w14:textId="77777777" w:rsidR="00664C6C" w:rsidRDefault="0060566A" w:rsidP="00664C6C">
      <w:pPr>
        <w:pStyle w:val="ListParagraph"/>
        <w:numPr>
          <w:ilvl w:val="0"/>
          <w:numId w:val="14"/>
        </w:numPr>
      </w:pPr>
      <w:r w:rsidRPr="00664C6C">
        <w:t>Nationally representative data on how people allocate time across work, education, sleep, caregiving, exercise, and leisure.</w:t>
      </w:r>
      <w:r w:rsidRPr="00664C6C">
        <w:br/>
      </w:r>
    </w:p>
    <w:p w14:paraId="0A056C95" w14:textId="77777777" w:rsidR="00664C6C" w:rsidRDefault="0060566A" w:rsidP="00664C6C">
      <w:pPr>
        <w:pStyle w:val="ListParagraph"/>
        <w:numPr>
          <w:ilvl w:val="0"/>
          <w:numId w:val="14"/>
        </w:numPr>
      </w:pPr>
      <w:r w:rsidRPr="00664C6C">
        <w:t xml:space="preserve">IPUMS ATUS Extract Builder: </w:t>
      </w:r>
      <w:hyperlink r:id="rId9" w:history="1">
        <w:r w:rsidR="00664C6C" w:rsidRPr="00664C6C">
          <w:rPr>
            <w:rStyle w:val="Hyperlink"/>
            <w:rFonts w:ascii="Segoe UI" w:hAnsi="Segoe UI" w:cs="Segoe UI"/>
          </w:rPr>
          <w:t>https://www.atusdata.org/</w:t>
        </w:r>
      </w:hyperlink>
      <w:r w:rsidR="00664C6C">
        <w:t xml:space="preserve"> </w:t>
      </w:r>
      <w:r w:rsidRPr="00664C6C">
        <w:br/>
        <w:t xml:space="preserve">  Simplified access to ATUS microdata with custom extracts and harmonized</w:t>
      </w:r>
      <w:r w:rsidR="00664C6C">
        <w:t xml:space="preserve"> </w:t>
      </w:r>
      <w:r w:rsidRPr="00664C6C">
        <w:t>variables.</w:t>
      </w:r>
    </w:p>
    <w:p w14:paraId="506E71D1" w14:textId="7CA967F0" w:rsidR="00A96663" w:rsidRPr="00664C6C" w:rsidRDefault="0060566A" w:rsidP="00664C6C">
      <w:pPr>
        <w:pStyle w:val="ListParagraph"/>
        <w:numPr>
          <w:ilvl w:val="0"/>
          <w:numId w:val="14"/>
        </w:numPr>
      </w:pPr>
      <w:r w:rsidRPr="00664C6C">
        <w:t xml:space="preserve">Multinational Time Use Study (MTUS): </w:t>
      </w:r>
      <w:hyperlink r:id="rId10" w:history="1">
        <w:r w:rsidR="00664C6C" w:rsidRPr="00664C6C">
          <w:rPr>
            <w:rStyle w:val="Hyperlink"/>
            <w:rFonts w:ascii="Segoe UI" w:hAnsi="Segoe UI" w:cs="Segoe UI"/>
          </w:rPr>
          <w:t>https://timeuse.ipums.org/</w:t>
        </w:r>
      </w:hyperlink>
      <w:r w:rsidR="00664C6C">
        <w:t xml:space="preserve"> </w:t>
      </w:r>
      <w:r w:rsidRPr="00664C6C">
        <w:br/>
        <w:t xml:space="preserve">  Harmonized international time‑use data for global comparisons.</w:t>
      </w:r>
    </w:p>
    <w:p w14:paraId="38113FF5" w14:textId="77777777" w:rsidR="00A96663" w:rsidRPr="00664C6C" w:rsidRDefault="0060566A">
      <w:pPr>
        <w:pStyle w:val="Heading3"/>
        <w:rPr>
          <w:rFonts w:ascii="Segoe UI" w:hAnsi="Segoe UI" w:cs="Segoe UI"/>
        </w:rPr>
      </w:pPr>
      <w:r w:rsidRPr="00664C6C">
        <w:rPr>
          <w:rFonts w:ascii="Segoe UI" w:hAnsi="Segoe UI" w:cs="Segoe UI"/>
        </w:rPr>
        <w:t>2. Student Wellbeing‑Relevant Datasets</w:t>
      </w:r>
    </w:p>
    <w:p w14:paraId="4A863AF2" w14:textId="77777777" w:rsidR="00664C6C" w:rsidRPr="00664C6C" w:rsidRDefault="0060566A" w:rsidP="00664C6C">
      <w:pPr>
        <w:pStyle w:val="ListParagraph"/>
        <w:numPr>
          <w:ilvl w:val="0"/>
          <w:numId w:val="15"/>
        </w:numPr>
      </w:pPr>
      <w:r w:rsidRPr="00664C6C">
        <w:rPr>
          <w:rFonts w:ascii="Segoe UI" w:hAnsi="Segoe UI" w:cs="Segoe UI"/>
        </w:rPr>
        <w:t xml:space="preserve">University Student Stress &amp; Lifestyle Survey Datasets (example – Mendeley Data): </w:t>
      </w:r>
      <w:hyperlink r:id="rId11" w:history="1">
        <w:r w:rsidR="00664C6C" w:rsidRPr="00664C6C">
          <w:rPr>
            <w:rStyle w:val="Hyperlink"/>
            <w:rFonts w:ascii="Segoe UI" w:hAnsi="Segoe UI" w:cs="Segoe UI"/>
          </w:rPr>
          <w:t>https://data.mendeley.com/</w:t>
        </w:r>
      </w:hyperlink>
      <w:r w:rsidR="00664C6C" w:rsidRPr="00664C6C">
        <w:rPr>
          <w:rFonts w:ascii="Segoe UI" w:hAnsi="Segoe UI" w:cs="Segoe UI"/>
        </w:rPr>
        <w:t xml:space="preserve"> </w:t>
      </w:r>
      <w:r w:rsidRPr="00664C6C">
        <w:rPr>
          <w:rFonts w:ascii="Segoe UI" w:hAnsi="Segoe UI" w:cs="Segoe UI"/>
        </w:rPr>
        <w:br/>
        <w:t xml:space="preserve">  Public academic survey datasets including study hours, sleep, screen time, physical activity, and perceived workload.</w:t>
      </w:r>
    </w:p>
    <w:p w14:paraId="05C952F0" w14:textId="10A2A450" w:rsidR="00664C6C" w:rsidRPr="00664C6C" w:rsidRDefault="0060566A" w:rsidP="00664C6C">
      <w:pPr>
        <w:pStyle w:val="ListParagraph"/>
        <w:numPr>
          <w:ilvl w:val="0"/>
          <w:numId w:val="15"/>
        </w:numPr>
      </w:pPr>
      <w:r w:rsidRPr="00664C6C">
        <w:rPr>
          <w:rFonts w:ascii="Segoe UI" w:hAnsi="Segoe UI" w:cs="Segoe UI"/>
        </w:rPr>
        <w:t xml:space="preserve">NCES IPEDS (U.S. higher education data): </w:t>
      </w:r>
      <w:hyperlink r:id="rId12" w:history="1">
        <w:r w:rsidR="00664C6C" w:rsidRPr="00664C6C">
          <w:rPr>
            <w:rStyle w:val="Hyperlink"/>
            <w:rFonts w:ascii="Segoe UI" w:hAnsi="Segoe UI" w:cs="Segoe UI"/>
          </w:rPr>
          <w:t>https://nces.ed.gov/ipeds/</w:t>
        </w:r>
      </w:hyperlink>
    </w:p>
    <w:p w14:paraId="036C20BC" w14:textId="77777777" w:rsidR="00664C6C" w:rsidRPr="00664C6C" w:rsidRDefault="0060566A" w:rsidP="00664C6C">
      <w:pPr>
        <w:pStyle w:val="ListParagraph"/>
        <w:numPr>
          <w:ilvl w:val="0"/>
          <w:numId w:val="15"/>
        </w:numPr>
      </w:pPr>
      <w:r w:rsidRPr="00664C6C">
        <w:rPr>
          <w:rFonts w:ascii="Segoe UI" w:hAnsi="Segoe UI" w:cs="Segoe UI"/>
        </w:rPr>
        <w:t>Institution‑level data on enrollment, graduation rates, staffing, and costs.</w:t>
      </w:r>
      <w:r w:rsidRPr="00664C6C">
        <w:rPr>
          <w:rFonts w:ascii="Segoe UI" w:hAnsi="Segoe UI" w:cs="Segoe UI"/>
        </w:rPr>
        <w:br/>
      </w:r>
      <w:r w:rsidRPr="00664C6C">
        <w:rPr>
          <w:rFonts w:ascii="Segoe UI" w:hAnsi="Segoe UI" w:cs="Segoe UI"/>
        </w:rPr>
        <w:t>Persistence &amp; Retention Indicators (U.S.):</w:t>
      </w:r>
      <w:r w:rsidR="00664C6C">
        <w:rPr>
          <w:rFonts w:ascii="Segoe UI" w:hAnsi="Segoe UI" w:cs="Segoe UI"/>
        </w:rPr>
        <w:t xml:space="preserve"> </w:t>
      </w:r>
      <w:hyperlink r:id="rId13" w:history="1">
        <w:r w:rsidR="00664C6C" w:rsidRPr="00A4125C">
          <w:rPr>
            <w:rStyle w:val="Hyperlink"/>
            <w:rFonts w:ascii="Segoe UI" w:hAnsi="Segoe UI" w:cs="Segoe UI"/>
          </w:rPr>
          <w:t>https://nscresearchcenter.org/persistence-retention/</w:t>
        </w:r>
      </w:hyperlink>
      <w:r w:rsidR="00664C6C" w:rsidRPr="00664C6C">
        <w:rPr>
          <w:rFonts w:ascii="Segoe UI" w:hAnsi="Segoe UI" w:cs="Segoe UI"/>
        </w:rPr>
        <w:t xml:space="preserve"> </w:t>
      </w:r>
    </w:p>
    <w:p w14:paraId="0D825A51" w14:textId="77777777" w:rsidR="00664C6C" w:rsidRPr="00664C6C" w:rsidRDefault="0060566A" w:rsidP="00664C6C">
      <w:pPr>
        <w:pStyle w:val="ListParagraph"/>
        <w:numPr>
          <w:ilvl w:val="1"/>
          <w:numId w:val="15"/>
        </w:numPr>
      </w:pPr>
      <w:r w:rsidRPr="00664C6C">
        <w:rPr>
          <w:rFonts w:ascii="Segoe UI" w:hAnsi="Segoe UI" w:cs="Segoe UI"/>
        </w:rPr>
        <w:t>Aggregate indicators highlighting student transition points</w:t>
      </w:r>
      <w:r w:rsidR="00664C6C">
        <w:rPr>
          <w:rFonts w:ascii="Segoe UI" w:hAnsi="Segoe UI" w:cs="Segoe UI"/>
        </w:rPr>
        <w:t>.</w:t>
      </w:r>
    </w:p>
    <w:p w14:paraId="08CF7C77" w14:textId="5CCF7BF0" w:rsidR="00A96663" w:rsidRPr="00664C6C" w:rsidRDefault="0060566A" w:rsidP="00664C6C">
      <w:pPr>
        <w:pStyle w:val="ListParagraph"/>
        <w:numPr>
          <w:ilvl w:val="0"/>
          <w:numId w:val="16"/>
        </w:numPr>
      </w:pPr>
      <w:r w:rsidRPr="00664C6C">
        <w:rPr>
          <w:rFonts w:ascii="Segoe UI" w:hAnsi="Segoe UI" w:cs="Segoe UI"/>
        </w:rPr>
        <w:t xml:space="preserve">OECD PISA Wellbeing Indicators (Global): </w:t>
      </w:r>
      <w:hyperlink r:id="rId14" w:history="1">
        <w:r w:rsidR="00664C6C" w:rsidRPr="00664C6C">
          <w:rPr>
            <w:rStyle w:val="Hyperlink"/>
            <w:rFonts w:ascii="Segoe UI" w:hAnsi="Segoe UI" w:cs="Segoe UI"/>
          </w:rPr>
          <w:t>https://www.oecd.org/pisa/innovation/global-competence/</w:t>
        </w:r>
      </w:hyperlink>
      <w:r w:rsidR="00664C6C">
        <w:t xml:space="preserve"> </w:t>
      </w:r>
      <w:r w:rsidRPr="00664C6C">
        <w:br/>
        <w:t xml:space="preserve">  Published indicators on belonging, school climate, and study‑life balance.</w:t>
      </w:r>
    </w:p>
    <w:p w14:paraId="1AE68845" w14:textId="77777777" w:rsidR="00A96663" w:rsidRPr="00664C6C" w:rsidRDefault="0060566A">
      <w:pPr>
        <w:pStyle w:val="Heading3"/>
        <w:rPr>
          <w:rFonts w:ascii="Segoe UI" w:hAnsi="Segoe UI" w:cs="Segoe UI"/>
        </w:rPr>
      </w:pPr>
      <w:r w:rsidRPr="00664C6C">
        <w:rPr>
          <w:rFonts w:ascii="Segoe UI" w:hAnsi="Segoe UI" w:cs="Segoe UI"/>
        </w:rPr>
        <w:t>3. Tech &amp; Knowledge‑Worker Wellbeing Datasets</w:t>
      </w:r>
    </w:p>
    <w:p w14:paraId="4A9D3621" w14:textId="5E01661C" w:rsidR="00664C6C" w:rsidRPr="00664C6C" w:rsidRDefault="0060566A" w:rsidP="0060566A">
      <w:pPr>
        <w:pStyle w:val="ListParagraph"/>
        <w:numPr>
          <w:ilvl w:val="0"/>
          <w:numId w:val="15"/>
        </w:numPr>
        <w:rPr>
          <w:rFonts w:ascii="Segoe UI" w:hAnsi="Segoe UI" w:cs="Segoe UI"/>
        </w:rPr>
      </w:pPr>
      <w:r w:rsidRPr="00664C6C">
        <w:rPr>
          <w:rFonts w:ascii="Segoe UI" w:hAnsi="Segoe UI" w:cs="Segoe UI"/>
        </w:rPr>
        <w:t xml:space="preserve">Stack Overflow Developer Survey: </w:t>
      </w:r>
      <w:hyperlink r:id="rId15" w:history="1">
        <w:r w:rsidR="00664C6C" w:rsidRPr="0060566A">
          <w:t>https://survey.stackoverflow.co/</w:t>
        </w:r>
      </w:hyperlink>
      <w:r>
        <w:rPr>
          <w:rFonts w:ascii="Segoe UI" w:hAnsi="Segoe UI" w:cs="Segoe UI"/>
        </w:rPr>
        <w:t xml:space="preserve">  </w:t>
      </w:r>
      <w:r w:rsidR="00664C6C" w:rsidRPr="00664C6C">
        <w:rPr>
          <w:rFonts w:ascii="Segoe UI" w:hAnsi="Segoe UI" w:cs="Segoe UI"/>
        </w:rPr>
        <w:t xml:space="preserve"> </w:t>
      </w:r>
    </w:p>
    <w:p w14:paraId="075D214F" w14:textId="77777777" w:rsidR="00664C6C" w:rsidRPr="00664C6C" w:rsidRDefault="0060566A" w:rsidP="0060566A">
      <w:pPr>
        <w:pStyle w:val="ListParagraph"/>
        <w:numPr>
          <w:ilvl w:val="1"/>
          <w:numId w:val="15"/>
        </w:numPr>
        <w:rPr>
          <w:rFonts w:ascii="Segoe UI" w:hAnsi="Segoe UI" w:cs="Segoe UI"/>
        </w:rPr>
      </w:pPr>
      <w:r w:rsidRPr="00664C6C">
        <w:rPr>
          <w:rFonts w:ascii="Segoe UI" w:hAnsi="Segoe UI" w:cs="Segoe UI"/>
        </w:rPr>
        <w:t>Annual global survey covering work patterns, remote work, learning load, and job satisfaction.</w:t>
      </w:r>
    </w:p>
    <w:p w14:paraId="4062D61B" w14:textId="32A16A96" w:rsidR="00664C6C" w:rsidRPr="00664C6C" w:rsidRDefault="0060566A" w:rsidP="0060566A">
      <w:pPr>
        <w:pStyle w:val="ListParagraph"/>
        <w:numPr>
          <w:ilvl w:val="0"/>
          <w:numId w:val="15"/>
        </w:numPr>
        <w:rPr>
          <w:rFonts w:ascii="Segoe UI" w:hAnsi="Segoe UI" w:cs="Segoe UI"/>
        </w:rPr>
      </w:pPr>
      <w:r w:rsidRPr="00664C6C">
        <w:rPr>
          <w:rFonts w:ascii="Segoe UI" w:hAnsi="Segoe UI" w:cs="Segoe UI"/>
        </w:rPr>
        <w:t>Microsoft Viva Insights – Sample Datasets &amp; Schemas:</w:t>
      </w:r>
      <w:r w:rsidR="00664C6C" w:rsidRPr="00664C6C">
        <w:rPr>
          <w:rFonts w:ascii="Segoe UI" w:hAnsi="Segoe UI" w:cs="Segoe UI"/>
        </w:rPr>
        <w:t xml:space="preserve"> </w:t>
      </w:r>
      <w:hyperlink r:id="rId16" w:history="1">
        <w:r w:rsidR="00664C6C" w:rsidRPr="0060566A">
          <w:t>https://learn.microsoft.com/en-us/viva/insights/advanced/analyst/meeting-query/</w:t>
        </w:r>
      </w:hyperlink>
      <w:r>
        <w:rPr>
          <w:rFonts w:ascii="Segoe UI" w:hAnsi="Segoe UI" w:cs="Segoe UI"/>
        </w:rPr>
        <w:t xml:space="preserve"> </w:t>
      </w:r>
    </w:p>
    <w:p w14:paraId="0DB23065" w14:textId="77777777" w:rsidR="00664C6C" w:rsidRDefault="0060566A" w:rsidP="0060566A">
      <w:pPr>
        <w:pStyle w:val="ListParagraph"/>
        <w:numPr>
          <w:ilvl w:val="1"/>
          <w:numId w:val="15"/>
        </w:numPr>
        <w:rPr>
          <w:rFonts w:ascii="Segoe UI" w:hAnsi="Segoe UI" w:cs="Segoe UI"/>
        </w:rPr>
      </w:pPr>
      <w:r w:rsidRPr="00664C6C">
        <w:rPr>
          <w:rFonts w:ascii="Segoe UI" w:hAnsi="Segoe UI" w:cs="Segoe UI"/>
        </w:rPr>
        <w:t>Public documentation and sample meeting‑query datasets illustrating meeting hours and after‑hours collaboration.</w:t>
      </w:r>
      <w:r w:rsidR="00664C6C">
        <w:rPr>
          <w:rFonts w:ascii="Segoe UI" w:hAnsi="Segoe UI" w:cs="Segoe UI"/>
        </w:rPr>
        <w:t xml:space="preserve"> </w:t>
      </w:r>
    </w:p>
    <w:p w14:paraId="4D0543A8" w14:textId="77777777" w:rsidR="0060566A" w:rsidRDefault="0060566A" w:rsidP="0060566A">
      <w:pPr>
        <w:pStyle w:val="ListParagraph"/>
        <w:numPr>
          <w:ilvl w:val="0"/>
          <w:numId w:val="15"/>
        </w:numPr>
        <w:rPr>
          <w:rFonts w:ascii="Segoe UI" w:hAnsi="Segoe UI" w:cs="Segoe UI"/>
        </w:rPr>
      </w:pPr>
      <w:r w:rsidRPr="00664C6C">
        <w:rPr>
          <w:rFonts w:ascii="Segoe UI" w:hAnsi="Segoe UI" w:cs="Segoe UI"/>
        </w:rPr>
        <w:t xml:space="preserve">UK Office for National Statistics (ONS) Personal Wellbeing Data: </w:t>
      </w:r>
      <w:hyperlink r:id="rId17" w:history="1">
        <w:r w:rsidR="00664C6C" w:rsidRPr="0060566A">
          <w:t>https://www.ons.gov.uk/peoplepopulationandcommunity/wellbeing</w:t>
        </w:r>
      </w:hyperlink>
    </w:p>
    <w:p w14:paraId="19068AE6" w14:textId="1EA8CE76" w:rsidR="00A96663" w:rsidRPr="00664C6C" w:rsidRDefault="0060566A" w:rsidP="0060566A">
      <w:pPr>
        <w:pStyle w:val="ListParagraph"/>
        <w:numPr>
          <w:ilvl w:val="1"/>
          <w:numId w:val="15"/>
        </w:numPr>
        <w:rPr>
          <w:rFonts w:ascii="Segoe UI" w:hAnsi="Segoe UI" w:cs="Segoe UI"/>
        </w:rPr>
      </w:pPr>
      <w:r w:rsidRPr="00664C6C">
        <w:rPr>
          <w:rFonts w:ascii="Segoe UI" w:hAnsi="Segoe UI" w:cs="Segoe UI"/>
        </w:rPr>
        <w:lastRenderedPageBreak/>
        <w:t>Population‑level wellbeing and loneliness indicators for contextual benchmarking.</w:t>
      </w:r>
    </w:p>
    <w:p w14:paraId="2B0B4623" w14:textId="77777777" w:rsidR="00A96663" w:rsidRPr="00664C6C" w:rsidRDefault="0060566A">
      <w:pPr>
        <w:pStyle w:val="Heading3"/>
        <w:rPr>
          <w:rFonts w:ascii="Segoe UI" w:hAnsi="Segoe UI" w:cs="Segoe UI"/>
        </w:rPr>
      </w:pPr>
      <w:r w:rsidRPr="00664C6C">
        <w:rPr>
          <w:rFonts w:ascii="Segoe UI" w:hAnsi="Segoe UI" w:cs="Segoe UI"/>
        </w:rPr>
        <w:t>4. Healthy Routine &amp; Lifestyle Context Data</w:t>
      </w:r>
    </w:p>
    <w:p w14:paraId="39227336" w14:textId="535B0FA3" w:rsidR="0060566A" w:rsidRDefault="0060566A" w:rsidP="0060566A">
      <w:pPr>
        <w:pStyle w:val="ListParagraph"/>
        <w:numPr>
          <w:ilvl w:val="0"/>
          <w:numId w:val="15"/>
        </w:numPr>
        <w:rPr>
          <w:rFonts w:ascii="Segoe UI" w:hAnsi="Segoe UI" w:cs="Segoe UI"/>
        </w:rPr>
      </w:pPr>
      <w:r w:rsidRPr="00664C6C">
        <w:rPr>
          <w:rFonts w:ascii="Segoe UI" w:hAnsi="Segoe UI" w:cs="Segoe UI"/>
        </w:rPr>
        <w:t xml:space="preserve">CDC Physical Activity &amp; Sleep Data (U.S.): </w:t>
      </w:r>
      <w:hyperlink r:id="rId18" w:history="1">
        <w:r w:rsidRPr="00A4125C">
          <w:rPr>
            <w:rStyle w:val="Hyperlink"/>
            <w:rFonts w:ascii="Segoe UI" w:hAnsi="Segoe UI" w:cs="Segoe UI"/>
          </w:rPr>
          <w:t>https://www.cdc.gov/physical-activity/php/data/index.html</w:t>
        </w:r>
      </w:hyperlink>
    </w:p>
    <w:p w14:paraId="62A9A3BA" w14:textId="77777777" w:rsidR="0060566A" w:rsidRDefault="0060566A" w:rsidP="0060566A">
      <w:pPr>
        <w:pStyle w:val="ListParagraph"/>
        <w:numPr>
          <w:ilvl w:val="1"/>
          <w:numId w:val="15"/>
        </w:numPr>
        <w:rPr>
          <w:rFonts w:ascii="Segoe UI" w:hAnsi="Segoe UI" w:cs="Segoe UI"/>
        </w:rPr>
      </w:pPr>
      <w:r w:rsidRPr="00664C6C">
        <w:rPr>
          <w:rFonts w:ascii="Segoe UI" w:hAnsi="Segoe UI" w:cs="Segoe UI"/>
        </w:rPr>
        <w:t>Public data supporting movement, rest, and routine‑based designs.</w:t>
      </w:r>
    </w:p>
    <w:p w14:paraId="3D4F32DE" w14:textId="77777777" w:rsidR="0060566A" w:rsidRDefault="0060566A" w:rsidP="0060566A">
      <w:pPr>
        <w:pStyle w:val="ListParagraph"/>
        <w:numPr>
          <w:ilvl w:val="0"/>
          <w:numId w:val="15"/>
        </w:numPr>
        <w:rPr>
          <w:rFonts w:ascii="Segoe UI" w:hAnsi="Segoe UI" w:cs="Segoe UI"/>
        </w:rPr>
      </w:pPr>
      <w:r w:rsidRPr="0060566A">
        <w:rPr>
          <w:rFonts w:ascii="Segoe UI" w:hAnsi="Segoe UI" w:cs="Segoe UI"/>
        </w:rPr>
        <w:t xml:space="preserve">Behavioral Risk Factor Surveillance System (BRFSS – U.S.): </w:t>
      </w:r>
      <w:hyperlink r:id="rId19" w:history="1">
        <w:r w:rsidR="00664C6C" w:rsidRPr="0060566A">
          <w:rPr>
            <w:rFonts w:ascii="Segoe UI" w:hAnsi="Segoe UI" w:cs="Segoe UI"/>
          </w:rPr>
          <w:t>https://healthdata.gov/dataset/CDC-Behavioral-Risk-Factor-Surveillance-System-BRF/w6eg-52ny</w:t>
        </w:r>
      </w:hyperlink>
    </w:p>
    <w:p w14:paraId="48812579" w14:textId="77777777" w:rsidR="0060566A" w:rsidRDefault="0060566A" w:rsidP="0060566A">
      <w:pPr>
        <w:pStyle w:val="ListParagraph"/>
        <w:numPr>
          <w:ilvl w:val="1"/>
          <w:numId w:val="15"/>
        </w:numPr>
        <w:rPr>
          <w:rFonts w:ascii="Segoe UI" w:hAnsi="Segoe UI" w:cs="Segoe UI"/>
        </w:rPr>
      </w:pPr>
      <w:r w:rsidRPr="0060566A">
        <w:rPr>
          <w:rFonts w:ascii="Segoe UI" w:hAnsi="Segoe UI" w:cs="Segoe UI"/>
        </w:rPr>
        <w:t xml:space="preserve">Large‑scale survey data </w:t>
      </w:r>
      <w:proofErr w:type="gramStart"/>
      <w:r w:rsidRPr="0060566A">
        <w:rPr>
          <w:rFonts w:ascii="Segoe UI" w:hAnsi="Segoe UI" w:cs="Segoe UI"/>
        </w:rPr>
        <w:t>including</w:t>
      </w:r>
      <w:proofErr w:type="gramEnd"/>
      <w:r w:rsidRPr="0060566A">
        <w:rPr>
          <w:rFonts w:ascii="Segoe UI" w:hAnsi="Segoe UI" w:cs="Segoe UI"/>
        </w:rPr>
        <w:t xml:space="preserve"> sleep duration and health behaviors.</w:t>
      </w:r>
    </w:p>
    <w:p w14:paraId="202A509A" w14:textId="1D3A37CB" w:rsidR="0060566A" w:rsidRDefault="0060566A" w:rsidP="0060566A">
      <w:pPr>
        <w:pStyle w:val="ListParagraph"/>
        <w:numPr>
          <w:ilvl w:val="0"/>
          <w:numId w:val="15"/>
        </w:numPr>
        <w:rPr>
          <w:rFonts w:ascii="Segoe UI" w:hAnsi="Segoe UI" w:cs="Segoe UI"/>
        </w:rPr>
      </w:pPr>
      <w:r w:rsidRPr="0060566A">
        <w:rPr>
          <w:rFonts w:ascii="Segoe UI" w:hAnsi="Segoe UI" w:cs="Segoe UI"/>
        </w:rPr>
        <w:t xml:space="preserve">Public Sleep Research Datasets Directory: </w:t>
      </w:r>
      <w:hyperlink r:id="rId20" w:history="1">
        <w:r w:rsidR="00664C6C" w:rsidRPr="0060566A">
          <w:rPr>
            <w:rFonts w:ascii="Segoe UI" w:hAnsi="Segoe UI" w:cs="Segoe UI"/>
          </w:rPr>
          <w:t>https://sleepresearchsociety.org/career-advancement/public-datasets/</w:t>
        </w:r>
      </w:hyperlink>
      <w:r>
        <w:rPr>
          <w:rFonts w:ascii="Segoe UI" w:hAnsi="Segoe UI" w:cs="Segoe UI"/>
        </w:rPr>
        <w:t xml:space="preserve"> </w:t>
      </w:r>
      <w:r w:rsidR="00664C6C" w:rsidRPr="0060566A">
        <w:rPr>
          <w:rFonts w:ascii="Segoe UI" w:hAnsi="Segoe UI" w:cs="Segoe UI"/>
        </w:rPr>
        <w:t xml:space="preserve"> </w:t>
      </w:r>
    </w:p>
    <w:p w14:paraId="793CE236" w14:textId="7A5168B1" w:rsidR="00A96663" w:rsidRPr="0060566A" w:rsidRDefault="0060566A" w:rsidP="0060566A">
      <w:pPr>
        <w:pStyle w:val="Heading3"/>
        <w:rPr>
          <w:rFonts w:ascii="Segoe UI" w:hAnsi="Segoe UI" w:cs="Segoe UI"/>
        </w:rPr>
      </w:pPr>
      <w:r w:rsidRPr="0060566A">
        <w:rPr>
          <w:rFonts w:ascii="Segoe UI" w:hAnsi="Segoe UI" w:cs="Segoe UI"/>
        </w:rPr>
        <w:t>5. Non‑Clinical Wellbeing Measurement Tools</w:t>
      </w:r>
    </w:p>
    <w:p w14:paraId="78ED2419" w14:textId="77777777" w:rsidR="0060566A" w:rsidRDefault="0060566A" w:rsidP="0060566A">
      <w:pPr>
        <w:pStyle w:val="ListParagraph"/>
        <w:numPr>
          <w:ilvl w:val="0"/>
          <w:numId w:val="15"/>
        </w:numPr>
        <w:rPr>
          <w:rFonts w:ascii="Segoe UI" w:hAnsi="Segoe UI" w:cs="Segoe UI"/>
        </w:rPr>
      </w:pPr>
      <w:r w:rsidRPr="00664C6C">
        <w:rPr>
          <w:rFonts w:ascii="Segoe UI" w:hAnsi="Segoe UI" w:cs="Segoe UI"/>
        </w:rPr>
        <w:t xml:space="preserve">WHO‑5 Well‑Being Index: </w:t>
      </w:r>
      <w:hyperlink r:id="rId21" w:history="1">
        <w:r w:rsidR="00664C6C" w:rsidRPr="0060566A">
          <w:t>https://www.who.int/publications/m/item/WHO-UCN-MSD-MHE-2024.01</w:t>
        </w:r>
      </w:hyperlink>
    </w:p>
    <w:p w14:paraId="2FBF2A1A" w14:textId="7C6CE72A" w:rsidR="00A96663" w:rsidRPr="00664C6C" w:rsidRDefault="0060566A" w:rsidP="0060566A">
      <w:pPr>
        <w:pStyle w:val="ListParagraph"/>
        <w:numPr>
          <w:ilvl w:val="1"/>
          <w:numId w:val="15"/>
        </w:numPr>
        <w:rPr>
          <w:rFonts w:ascii="Segoe UI" w:hAnsi="Segoe UI" w:cs="Segoe UI"/>
        </w:rPr>
      </w:pPr>
      <w:r w:rsidRPr="00664C6C">
        <w:rPr>
          <w:rFonts w:ascii="Segoe UI" w:hAnsi="Segoe UI" w:cs="Segoe UI"/>
        </w:rPr>
        <w:t>Short, publicly available wellbeing measure appropriate for aggregate prototype evaluation only (non‑diagnostic).</w:t>
      </w:r>
    </w:p>
    <w:p w14:paraId="53BF0448" w14:textId="77777777" w:rsidR="00A96663" w:rsidRPr="00664C6C" w:rsidRDefault="0060566A">
      <w:pPr>
        <w:pStyle w:val="Heading3"/>
        <w:rPr>
          <w:rFonts w:ascii="Segoe UI" w:hAnsi="Segoe UI" w:cs="Segoe UI"/>
        </w:rPr>
      </w:pPr>
      <w:r w:rsidRPr="00664C6C">
        <w:rPr>
          <w:rFonts w:ascii="Segoe UI" w:hAnsi="Segoe UI" w:cs="Segoe UI"/>
        </w:rPr>
        <w:t>Design Boundaries Reminder</w:t>
      </w:r>
    </w:p>
    <w:p w14:paraId="254286D6" w14:textId="1F29AF63" w:rsidR="00664C6C" w:rsidRDefault="0060566A">
      <w:pPr>
        <w:rPr>
          <w:rFonts w:ascii="Segoe UI" w:hAnsi="Segoe UI" w:cs="Segoe UI"/>
        </w:rPr>
      </w:pPr>
      <w:r w:rsidRPr="00664C6C">
        <w:rPr>
          <w:rFonts w:ascii="Segoe UI" w:hAnsi="Segoe UI" w:cs="Segoe UI"/>
        </w:rPr>
        <w:t>Solutions should not diagnose mental health conditions, provide therapy or counseling, respond to crises, or position AI as a replacement for licensed mental health professionals.</w:t>
      </w:r>
    </w:p>
    <w:p w14:paraId="67F56078" w14:textId="77777777" w:rsidR="00664C6C" w:rsidRDefault="00664C6C" w:rsidP="00664C6C">
      <w:r>
        <w:t xml:space="preserve">* The external </w:t>
      </w:r>
      <w:proofErr w:type="gramStart"/>
      <w:r>
        <w:t>third party</w:t>
      </w:r>
      <w:proofErr w:type="gramEnd"/>
      <w:r>
        <w:t xml:space="preserve"> resources listed in this prompt </w:t>
      </w:r>
    </w:p>
    <w:p w14:paraId="78EAEF90" w14:textId="77777777" w:rsidR="00664C6C" w:rsidRPr="00664C6C" w:rsidRDefault="00664C6C">
      <w:pPr>
        <w:rPr>
          <w:rFonts w:ascii="Segoe UI" w:hAnsi="Segoe UI" w:cs="Segoe UI"/>
        </w:rPr>
      </w:pPr>
    </w:p>
    <w:sectPr w:rsidR="00664C6C" w:rsidRPr="00664C6C"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19BB" w14:textId="77777777" w:rsidR="00664C6C" w:rsidRDefault="00664C6C" w:rsidP="00664C6C">
      <w:pPr>
        <w:spacing w:after="0" w:line="240" w:lineRule="auto"/>
      </w:pPr>
      <w:r>
        <w:separator/>
      </w:r>
    </w:p>
  </w:endnote>
  <w:endnote w:type="continuationSeparator" w:id="0">
    <w:p w14:paraId="5B86D13A" w14:textId="77777777" w:rsidR="00664C6C" w:rsidRDefault="00664C6C" w:rsidP="0066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ED72C" w14:textId="77777777" w:rsidR="00664C6C" w:rsidRDefault="00664C6C" w:rsidP="00664C6C">
      <w:pPr>
        <w:spacing w:after="0" w:line="240" w:lineRule="auto"/>
      </w:pPr>
      <w:r>
        <w:separator/>
      </w:r>
    </w:p>
  </w:footnote>
  <w:footnote w:type="continuationSeparator" w:id="0">
    <w:p w14:paraId="11230FA2" w14:textId="77777777" w:rsidR="00664C6C" w:rsidRDefault="00664C6C" w:rsidP="00664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9E8B" w14:textId="310A2DD7" w:rsidR="00664C6C" w:rsidRDefault="00664C6C">
    <w:pPr>
      <w:pStyle w:val="Header"/>
    </w:pPr>
    <w:r>
      <w:rPr>
        <w:noProof/>
      </w:rPr>
      <w:drawing>
        <wp:anchor distT="0" distB="0" distL="114300" distR="114300" simplePos="0" relativeHeight="251658240" behindDoc="1" locked="0" layoutInCell="1" allowOverlap="1" wp14:anchorId="6E8D4FF8" wp14:editId="43BBDF0F">
          <wp:simplePos x="0" y="0"/>
          <wp:positionH relativeFrom="column">
            <wp:posOffset>4240530</wp:posOffset>
          </wp:positionH>
          <wp:positionV relativeFrom="paragraph">
            <wp:posOffset>0</wp:posOffset>
          </wp:positionV>
          <wp:extent cx="1245235" cy="457200"/>
          <wp:effectExtent l="0" t="0" r="0" b="0"/>
          <wp:wrapTight wrapText="bothSides">
            <wp:wrapPolygon edited="0">
              <wp:start x="2313" y="2700"/>
              <wp:lineTo x="1322" y="11700"/>
              <wp:lineTo x="1652" y="15300"/>
              <wp:lineTo x="3304" y="18000"/>
              <wp:lineTo x="5287" y="18000"/>
              <wp:lineTo x="19166" y="15300"/>
              <wp:lineTo x="19166" y="7200"/>
              <wp:lineTo x="4626" y="2700"/>
              <wp:lineTo x="2313" y="2700"/>
            </wp:wrapPolygon>
          </wp:wrapTight>
          <wp:docPr id="12855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2037" name="Picture 1285572037"/>
                  <pic:cNvPicPr/>
                </pic:nvPicPr>
                <pic:blipFill>
                  <a:blip r:embed="rId1"/>
                  <a:stretch>
                    <a:fillRect/>
                  </a:stretch>
                </pic:blipFill>
                <pic:spPr>
                  <a:xfrm>
                    <a:off x="0" y="0"/>
                    <a:ext cx="1245235"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30F00"/>
    <w:multiLevelType w:val="hybridMultilevel"/>
    <w:tmpl w:val="B7B402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A849F5"/>
    <w:multiLevelType w:val="hybridMultilevel"/>
    <w:tmpl w:val="049E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856971"/>
    <w:multiLevelType w:val="multilevel"/>
    <w:tmpl w:val="C7F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31F23"/>
    <w:multiLevelType w:val="hybridMultilevel"/>
    <w:tmpl w:val="B192A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0F00DE"/>
    <w:multiLevelType w:val="multilevel"/>
    <w:tmpl w:val="DC9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D5EE2"/>
    <w:multiLevelType w:val="hybridMultilevel"/>
    <w:tmpl w:val="C3D2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8C1AC7"/>
    <w:multiLevelType w:val="multilevel"/>
    <w:tmpl w:val="DB9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270407">
    <w:abstractNumId w:val="8"/>
  </w:num>
  <w:num w:numId="2" w16cid:durableId="1345859533">
    <w:abstractNumId w:val="6"/>
  </w:num>
  <w:num w:numId="3" w16cid:durableId="2037845837">
    <w:abstractNumId w:val="5"/>
  </w:num>
  <w:num w:numId="4" w16cid:durableId="1718776483">
    <w:abstractNumId w:val="4"/>
  </w:num>
  <w:num w:numId="5" w16cid:durableId="348333090">
    <w:abstractNumId w:val="7"/>
  </w:num>
  <w:num w:numId="6" w16cid:durableId="44258305">
    <w:abstractNumId w:val="3"/>
  </w:num>
  <w:num w:numId="7" w16cid:durableId="620382189">
    <w:abstractNumId w:val="2"/>
  </w:num>
  <w:num w:numId="8" w16cid:durableId="126363942">
    <w:abstractNumId w:val="1"/>
  </w:num>
  <w:num w:numId="9" w16cid:durableId="2139184839">
    <w:abstractNumId w:val="0"/>
  </w:num>
  <w:num w:numId="10" w16cid:durableId="847982425">
    <w:abstractNumId w:val="10"/>
  </w:num>
  <w:num w:numId="11" w16cid:durableId="386806833">
    <w:abstractNumId w:val="11"/>
  </w:num>
  <w:num w:numId="12" w16cid:durableId="1213422210">
    <w:abstractNumId w:val="15"/>
  </w:num>
  <w:num w:numId="13" w16cid:durableId="1201094679">
    <w:abstractNumId w:val="13"/>
  </w:num>
  <w:num w:numId="14" w16cid:durableId="289088736">
    <w:abstractNumId w:val="14"/>
  </w:num>
  <w:num w:numId="15" w16cid:durableId="1529834128">
    <w:abstractNumId w:val="12"/>
  </w:num>
  <w:num w:numId="16" w16cid:durableId="2881279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99"/>
    <w:rsid w:val="0015074B"/>
    <w:rsid w:val="0029639D"/>
    <w:rsid w:val="00326F90"/>
    <w:rsid w:val="0060566A"/>
    <w:rsid w:val="00664C6C"/>
    <w:rsid w:val="00A966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BA35D8"/>
  <w14:defaultImageDpi w14:val="300"/>
  <w15:docId w15:val="{B0F66E88-F6BA-4E20-ADB1-60F0C240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4C6C"/>
    <w:rPr>
      <w:color w:val="0000FF" w:themeColor="hyperlink"/>
      <w:u w:val="single"/>
    </w:rPr>
  </w:style>
  <w:style w:type="character" w:styleId="UnresolvedMention">
    <w:name w:val="Unresolved Mention"/>
    <w:basedOn w:val="DefaultParagraphFont"/>
    <w:uiPriority w:val="99"/>
    <w:semiHidden/>
    <w:unhideWhenUsed/>
    <w:rsid w:val="00664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tus/" TargetMode="External"/><Relationship Id="rId13" Type="http://schemas.openxmlformats.org/officeDocument/2006/relationships/hyperlink" Target="https://nscresearchcenter.org/persistence-retention/" TargetMode="External"/><Relationship Id="rId18" Type="http://schemas.openxmlformats.org/officeDocument/2006/relationships/hyperlink" Target="https://www.cdc.gov/physical-activity/php/data/index.html" TargetMode="External"/><Relationship Id="rId3" Type="http://schemas.openxmlformats.org/officeDocument/2006/relationships/styles" Target="styles.xml"/><Relationship Id="rId21" Type="http://schemas.openxmlformats.org/officeDocument/2006/relationships/hyperlink" Target="https://www.who.int/publications/m/item/WHO-UCN-MSD-MHE-2024.01" TargetMode="External"/><Relationship Id="rId7" Type="http://schemas.openxmlformats.org/officeDocument/2006/relationships/endnotes" Target="endnotes.xml"/><Relationship Id="rId12" Type="http://schemas.openxmlformats.org/officeDocument/2006/relationships/hyperlink" Target="https://nces.ed.gov/ipeds/" TargetMode="External"/><Relationship Id="rId17" Type="http://schemas.openxmlformats.org/officeDocument/2006/relationships/hyperlink" Target="https://www.ons.gov.uk/peoplepopulationandcommunity/wellbeing" TargetMode="External"/><Relationship Id="rId2" Type="http://schemas.openxmlformats.org/officeDocument/2006/relationships/numbering" Target="numbering.xml"/><Relationship Id="rId16" Type="http://schemas.openxmlformats.org/officeDocument/2006/relationships/hyperlink" Target="https://learn.microsoft.com/en-us/viva/insights/advanced/analyst/meeting-query/" TargetMode="External"/><Relationship Id="rId20" Type="http://schemas.openxmlformats.org/officeDocument/2006/relationships/hyperlink" Target="https://sleepresearchsociety.org/career-advancement/public-data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mendeley.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urvey.stackoverflow.co/" TargetMode="External"/><Relationship Id="rId23" Type="http://schemas.openxmlformats.org/officeDocument/2006/relationships/fontTable" Target="fontTable.xml"/><Relationship Id="rId10" Type="http://schemas.openxmlformats.org/officeDocument/2006/relationships/hyperlink" Target="https://timeuse.ipums.org/" TargetMode="External"/><Relationship Id="rId19" Type="http://schemas.openxmlformats.org/officeDocument/2006/relationships/hyperlink" Target="https://healthdata.gov/dataset/CDC-Behavioral-Risk-Factor-Surveillance-System-BRF/w6eg-52ny" TargetMode="External"/><Relationship Id="rId4" Type="http://schemas.openxmlformats.org/officeDocument/2006/relationships/settings" Target="settings.xml"/><Relationship Id="rId9" Type="http://schemas.openxmlformats.org/officeDocument/2006/relationships/hyperlink" Target="https://www.atusdata.org/" TargetMode="External"/><Relationship Id="rId14" Type="http://schemas.openxmlformats.org/officeDocument/2006/relationships/hyperlink" Target="https://www.oecd.org/pisa/innovation/global-competenc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675</Words>
  <Characters>5583</Characters>
  <Application>Microsoft Office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Margaret Doheny</cp:lastModifiedBy>
  <cp:revision>2</cp:revision>
  <dcterms:created xsi:type="dcterms:W3CDTF">2026-03-12T16:29:00Z</dcterms:created>
  <dcterms:modified xsi:type="dcterms:W3CDTF">2026-03-12T16:29:00Z</dcterms:modified>
  <cp:category/>
</cp:coreProperties>
</file>