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Calibri" w:cs="Calibri" w:eastAsia="Calibri" w:hAnsi="Calibri"/>
          <w:b/>
          <w:bCs/>
          <w:color w:val="B4700A"/>
          <w:sz w:val="17"/>
          <w:szCs w:val="17"/>
        </w:rPr>
        <w:t xml:space="preserve">REVIEW · INTERNAL</w:t>
      </w:r>
    </w:p>
    <w:p>
      <w:pPr>
        <w:spacing w:after="60"/>
      </w:pPr>
      <w:r>
        <w:rPr>
          <w:rFonts w:ascii="Calibri" w:cs="Calibri" w:eastAsia="Calibri" w:hAnsi="Calibri"/>
          <w:b/>
          <w:bCs/>
          <w:color w:val="1F3B54"/>
          <w:sz w:val="40"/>
          <w:szCs w:val="40"/>
        </w:rPr>
        <w:t xml:space="preserve">XR Resource Catalogue</w:t>
      </w:r>
    </w:p>
    <w:p>
      <w:pPr>
        <w:spacing w:after="160" w:line="276"/>
      </w:pPr>
      <w:r>
        <w:rPr>
          <w:rFonts w:ascii="Calibri" w:cs="Calibri" w:eastAsia="Calibri" w:hAnsi="Calibri"/>
          <w:color w:val="5A6B7B"/>
          <w:sz w:val="24"/>
          <w:szCs w:val="24"/>
        </w:rPr>
        <w:t xml:space="preserve">Health &amp; Education content — coverage and quality review</w:t>
      </w:r>
    </w:p>
    <w:p>
      <w:pPr>
        <w:pBdr>
          <w:bottom w:val="single" w:color="C9D3DB" w:sz="6"/>
        </w:pBdr>
        <w:spacing w:after="200"/>
      </w:pPr>
      <w:r>
        <w:t xml:space="preserve"/>
      </w:r>
    </w:p>
    <w:p>
      <w:pPr>
        <w:spacing w:after="140" w:line="276"/>
      </w:pPr>
      <w:r>
        <w:rPr>
          <w:rFonts w:ascii="Calibri" w:cs="Calibri" w:eastAsia="Calibri" w:hAnsi="Calibri"/>
          <w:color w:val="5A6B7B"/>
          <w:sz w:val="21"/>
          <w:szCs w:val="21"/>
        </w:rPr>
        <w:t xml:space="preserve">This review covers the Health and Education content in the XR Resource Catalogue: what exists, how usable it is, and where the gaps are. It is an assessment of the catalogue as documented, not of the experiences as delivered. Where content is described as thin, that may reflect thin documentation rather than a thin resource.</w:t>
      </w:r>
    </w:p>
    <w:p>
      <w:pPr>
        <w:pStyle w:val="Heading1"/>
        <w:spacing w:after="150" w:before="320"/>
      </w:pPr>
      <w:r>
        <w:rPr>
          <w:rFonts w:ascii="Calibri" w:cs="Calibri" w:eastAsia="Calibri" w:hAnsi="Calibri"/>
          <w:b/>
          <w:bCs/>
          <w:color w:val="1F3B54"/>
          <w:sz w:val="27"/>
          <w:szCs w:val="27"/>
        </w:rPr>
        <w:t xml:space="preserve">Summary</w:t>
      </w:r>
    </w:p>
    <w:p>
      <w:pPr>
        <w:spacing w:after="140" w:line="276"/>
      </w:pPr>
      <w:r>
        <w:rPr>
          <w:rFonts w:ascii="Calibri" w:cs="Calibri" w:eastAsia="Calibri" w:hAnsi="Calibri"/>
          <w:b/>
          <w:bCs/>
          <w:color w:val="1A1A1A"/>
          <w:sz w:val="21"/>
          <w:szCs w:val="21"/>
        </w:rPr>
        <w:t xml:space="preserve">Strong asset base, immature as a curriculum. </w:t>
      </w:r>
      <w:r>
        <w:rPr>
          <w:rFonts w:ascii="Calibri" w:cs="Calibri" w:eastAsia="Calibri" w:hAnsi="Calibri"/>
          <w:color w:val="1A1A1A"/>
          <w:sz w:val="21"/>
          <w:szCs w:val="21"/>
        </w:rPr>
        <w:t xml:space="preserve">The breadth of content is good for a facility of this size, and the perspective-taking library on the headsets is a genuine differentiator. What is missing is the layer that turns assets into taught sessions: durations, active/passive flags, facilitator notes, debrief prompts, professional-standards mapping and a review cycle with a named owner. That layer is largely administrative rather than technical, and is therefore cheap relative to commissioning new content.</w:t>
      </w:r>
    </w:p>
    <w:p>
      <w:pPr>
        <w:pStyle w:val="Heading1"/>
        <w:spacing w:after="150" w:before="320"/>
      </w:pPr>
      <w:r>
        <w:rPr>
          <w:rFonts w:ascii="Calibri" w:cs="Calibri" w:eastAsia="Calibri" w:hAnsi="Calibri"/>
          <w:b/>
          <w:bCs/>
          <w:color w:val="1F3B54"/>
          <w:sz w:val="27"/>
          <w:szCs w:val="27"/>
        </w:rPr>
        <w:t xml:space="preserve">What we have</w:t>
      </w:r>
    </w:p>
    <w:p>
      <w:pPr>
        <w:spacing w:after="140" w:line="276"/>
      </w:pPr>
      <w:r>
        <w:rPr>
          <w:rFonts w:ascii="Calibri" w:cs="Calibri" w:eastAsia="Calibri" w:hAnsi="Calibri"/>
          <w:color w:val="1A1A1A"/>
          <w:sz w:val="21"/>
          <w:szCs w:val="21"/>
        </w:rPr>
        <w:t xml:space="preserve">Excluding business, criminology and design content, the Health and Education holdings are:</w:t>
      </w:r>
    </w:p>
    <w:tbl>
      <w:tblPr>
        <w:tblW w:type="dxa" w:w="9360"/>
        <w:tblBorders>
          <w:top w:val="single" w:color="C9D3DB" w:sz="4"/>
          <w:left w:val="none"/>
          <w:bottom w:val="single" w:color="C9D3DB" w:sz="4"/>
          <w:right w:val="none"/>
          <w:insideH w:val="single" w:color="C9D3DB" w:sz="2"/>
          <w:insideV w:val="none"/>
        </w:tblBorders>
      </w:tblPr>
      <w:tblGrid>
        <w:gridCol w:w="3300"/>
        <w:gridCol w:w="1500"/>
        <w:gridCol w:w="1500"/>
        <w:gridCol w:w="1500"/>
        <w:gridCol w:w="1560"/>
      </w:tblGrid>
      <w:tr>
        <w:trPr>
          <w:tblHeader/>
        </w:trPr>
        <w:tc>
          <w:tcPr>
            <w:tcW w:type="dxa" w:w="3300"/>
            <w:shd w:fill="EEF2F5" w:color="auto" w:val="clear"/>
            <w:tcMar>
              <w:top w:type="dxa" w:w="90"/>
              <w:left w:type="dxa" w:w="130"/>
              <w:bottom w:type="dxa" w:w="90"/>
              <w:right w:type="dxa" w:w="130"/>
            </w:tcMar>
          </w:tcPr>
          <w:p>
            <w:pPr>
              <w:spacing w:after="0" w:line="260"/>
            </w:pPr>
            <w:r>
              <w:rPr>
                <w:rFonts w:ascii="Calibri" w:cs="Calibri" w:eastAsia="Calibri" w:hAnsi="Calibri"/>
                <w:b/>
                <w:bCs/>
                <w:color w:val="1F3B54"/>
                <w:sz w:val="20"/>
                <w:szCs w:val="20"/>
              </w:rPr>
              <w:t xml:space="preserve">Category</w:t>
            </w:r>
          </w:p>
        </w:tc>
        <w:tc>
          <w:tcPr>
            <w:tcW w:type="dxa" w:w="1500"/>
            <w:shd w:fill="EEF2F5" w:color="auto" w:val="clear"/>
            <w:tcMar>
              <w:top w:type="dxa" w:w="90"/>
              <w:left w:type="dxa" w:w="130"/>
              <w:bottom w:type="dxa" w:w="90"/>
              <w:right w:type="dxa" w:w="130"/>
            </w:tcMar>
          </w:tcPr>
          <w:p>
            <w:pPr>
              <w:spacing w:after="0" w:line="260"/>
              <w:jc w:val="center"/>
            </w:pPr>
            <w:r>
              <w:rPr>
                <w:rFonts w:ascii="Calibri" w:cs="Calibri" w:eastAsia="Calibri" w:hAnsi="Calibri"/>
                <w:b/>
                <w:bCs/>
                <w:color w:val="1F3B54"/>
                <w:sz w:val="20"/>
                <w:szCs w:val="20"/>
              </w:rPr>
              <w:t xml:space="preserve">Items</w:t>
            </w:r>
          </w:p>
        </w:tc>
        <w:tc>
          <w:tcPr>
            <w:tcW w:type="dxa" w:w="1500"/>
            <w:shd w:fill="EEF2F5" w:color="auto" w:val="clear"/>
            <w:tcMar>
              <w:top w:type="dxa" w:w="90"/>
              <w:left w:type="dxa" w:w="130"/>
              <w:bottom w:type="dxa" w:w="90"/>
              <w:right w:type="dxa" w:w="130"/>
            </w:tcMar>
          </w:tcPr>
          <w:p>
            <w:pPr>
              <w:spacing w:after="0" w:line="260"/>
              <w:jc w:val="center"/>
            </w:pPr>
            <w:r>
              <w:rPr>
                <w:rFonts w:ascii="Calibri" w:cs="Calibri" w:eastAsia="Calibri" w:hAnsi="Calibri"/>
                <w:b/>
                <w:bCs/>
                <w:color w:val="1F3B54"/>
                <w:sz w:val="20"/>
                <w:szCs w:val="20"/>
              </w:rPr>
              <w:t xml:space="preserve">Objectives</w:t>
            </w:r>
          </w:p>
        </w:tc>
        <w:tc>
          <w:tcPr>
            <w:tcW w:type="dxa" w:w="1500"/>
            <w:shd w:fill="EEF2F5" w:color="auto" w:val="clear"/>
            <w:tcMar>
              <w:top w:type="dxa" w:w="90"/>
              <w:left w:type="dxa" w:w="130"/>
              <w:bottom w:type="dxa" w:w="90"/>
              <w:right w:type="dxa" w:w="130"/>
            </w:tcMar>
          </w:tcPr>
          <w:p>
            <w:pPr>
              <w:spacing w:after="0" w:line="260"/>
              <w:jc w:val="center"/>
            </w:pPr>
            <w:r>
              <w:rPr>
                <w:rFonts w:ascii="Calibri" w:cs="Calibri" w:eastAsia="Calibri" w:hAnsi="Calibri"/>
                <w:b/>
                <w:bCs/>
                <w:color w:val="1F3B54"/>
                <w:sz w:val="20"/>
                <w:szCs w:val="20"/>
              </w:rPr>
              <w:t xml:space="preserve">Duration</w:t>
            </w:r>
          </w:p>
        </w:tc>
        <w:tc>
          <w:tcPr>
            <w:tcW w:type="dxa" w:w="1560"/>
            <w:shd w:fill="EEF2F5" w:color="auto" w:val="clear"/>
            <w:tcMar>
              <w:top w:type="dxa" w:w="90"/>
              <w:left w:type="dxa" w:w="130"/>
              <w:bottom w:type="dxa" w:w="90"/>
              <w:right w:type="dxa" w:w="130"/>
            </w:tcMar>
          </w:tcPr>
          <w:p>
            <w:pPr>
              <w:spacing w:after="0" w:line="260"/>
              <w:jc w:val="center"/>
            </w:pPr>
            <w:r>
              <w:rPr>
                <w:rFonts w:ascii="Calibri" w:cs="Calibri" w:eastAsia="Calibri" w:hAnsi="Calibri"/>
                <w:b/>
                <w:bCs/>
                <w:color w:val="1F3B54"/>
                <w:sz w:val="20"/>
                <w:szCs w:val="20"/>
              </w:rPr>
              <w:t xml:space="preserve">Launch path</w:t>
            </w:r>
          </w:p>
        </w:tc>
      </w:tr>
      <w:tr>
        <w:tc>
          <w:tcPr>
            <w:tcW w:type="dxa" w:w="33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CAVE experiences</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45</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98%</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20%</w:t>
            </w:r>
          </w:p>
        </w:tc>
        <w:tc>
          <w:tcPr>
            <w:tcW w:type="dxa" w:w="156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53%</w:t>
            </w:r>
          </w:p>
        </w:tc>
      </w:tr>
      <w:tr>
        <w:tc>
          <w:tcPr>
            <w:tcW w:type="dxa" w:w="33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VR headset apps</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18</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100%</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61%</w:t>
            </w:r>
          </w:p>
        </w:tc>
        <w:tc>
          <w:tcPr>
            <w:tcW w:type="dxa" w:w="156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n/a</w:t>
            </w:r>
          </w:p>
        </w:tc>
      </w:tr>
      <w:tr>
        <w:tc>
          <w:tcPr>
            <w:tcW w:type="dxa" w:w="33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360° video files</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209</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n/a</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n/a</w:t>
            </w:r>
          </w:p>
        </w:tc>
        <w:tc>
          <w:tcPr>
            <w:tcW w:type="dxa" w:w="156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n/a</w:t>
            </w:r>
          </w:p>
        </w:tc>
      </w:tr>
      <w:tr>
        <w:tc>
          <w:tcPr>
            <w:tcW w:type="dxa" w:w="3300"/>
            <w:tcMar>
              <w:top w:type="dxa" w:w="90"/>
              <w:left w:type="dxa" w:w="130"/>
              <w:bottom w:type="dxa" w:w="90"/>
              <w:right w:type="dxa" w:w="130"/>
            </w:tcMar>
          </w:tcPr>
          <w:p>
            <w:pPr>
              <w:spacing w:after="0" w:line="260"/>
            </w:pPr>
            <w:r>
              <w:rPr>
                <w:rFonts w:ascii="Calibri" w:cs="Calibri" w:eastAsia="Calibri" w:hAnsi="Calibri"/>
                <w:color w:val="1A1A1A"/>
                <w:sz w:val="20"/>
                <w:szCs w:val="20"/>
              </w:rPr>
              <w:t xml:space="preserve">Web resources</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3</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n/a</w:t>
            </w:r>
          </w:p>
        </w:tc>
        <w:tc>
          <w:tcPr>
            <w:tcW w:type="dxa" w:w="150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n/a</w:t>
            </w:r>
          </w:p>
        </w:tc>
        <w:tc>
          <w:tcPr>
            <w:tcW w:type="dxa" w:w="1560"/>
            <w:tcMar>
              <w:top w:type="dxa" w:w="90"/>
              <w:left w:type="dxa" w:w="130"/>
              <w:bottom w:type="dxa" w:w="90"/>
              <w:right w:type="dxa" w:w="130"/>
            </w:tcMar>
          </w:tcPr>
          <w:p>
            <w:pPr>
              <w:spacing w:after="0" w:line="260"/>
              <w:jc w:val="center"/>
            </w:pPr>
            <w:r>
              <w:rPr>
                <w:rFonts w:ascii="Calibri" w:cs="Calibri" w:eastAsia="Calibri" w:hAnsi="Calibri"/>
                <w:color w:val="1A1A1A"/>
                <w:sz w:val="20"/>
                <w:szCs w:val="20"/>
              </w:rPr>
              <w:t xml:space="preserve">n/a</w:t>
            </w:r>
          </w:p>
        </w:tc>
      </w:tr>
    </w:tbl>
    <w:p>
      <w:pPr>
        <w:spacing w:after="120" w:line="276"/>
      </w:pPr>
      <w:r>
        <w:rPr>
          <w:rFonts w:ascii="Calibri" w:cs="Calibri" w:eastAsia="Calibri" w:hAnsi="Calibri"/>
          <w:color w:val="1A1A1A"/>
          <w:sz w:val="21"/>
          <w:szCs w:val="21"/>
        </w:rPr>
        <w:t xml:space="preserve"/>
      </w:r>
    </w:p>
    <w:p>
      <w:pPr>
        <w:spacing w:after="140" w:line="276"/>
      </w:pPr>
      <w:r>
        <w:rPr>
          <w:rFonts w:ascii="Calibri" w:cs="Calibri" w:eastAsia="Calibri" w:hAnsi="Calibri"/>
          <w:b/>
          <w:bCs/>
          <w:color w:val="1A1A1A"/>
          <w:sz w:val="21"/>
          <w:szCs w:val="21"/>
        </w:rPr>
        <w:t xml:space="preserve">The 209 video files are environment plates, not experiences. </w:t>
      </w:r>
      <w:r>
        <w:rPr>
          <w:rFonts w:ascii="Calibri" w:cs="Calibri" w:eastAsia="Calibri" w:hAnsi="Calibri"/>
          <w:color w:val="1A1A1A"/>
          <w:sz w:val="21"/>
          <w:szCs w:val="21"/>
        </w:rPr>
        <w:t xml:space="preserve">They are raw backdrops — 39 Hospital, 25 Maternity, 13 Accident Scenes, 8 Cheshire Fire Service — including sequences such as ICU1 to ICU6, Delivery Room, Bereavement Room and Infant ICU. They are material to build sessions on. Counted as "resources" they inflate the apparent size of the catalogue roughly fourfold.</w:t>
      </w:r>
    </w:p>
    <w:p>
      <w:pPr>
        <w:pStyle w:val="Heading1"/>
        <w:spacing w:after="150" w:before="320"/>
      </w:pPr>
      <w:r>
        <w:rPr>
          <w:rFonts w:ascii="Calibri" w:cs="Calibri" w:eastAsia="Calibri" w:hAnsi="Calibri"/>
          <w:b/>
          <w:bCs/>
          <w:color w:val="1F3B54"/>
          <w:sz w:val="27"/>
          <w:szCs w:val="27"/>
        </w:rPr>
        <w:t xml:space="preserve">Strengths</w:t>
      </w:r>
    </w:p>
    <w:p>
      <w:pPr>
        <w:pStyle w:val="ListParagraph"/>
        <w:numPr>
          <w:ilvl w:val="0"/>
          <w:numId w:val="2"/>
        </w:numPr>
        <w:spacing w:after="90" w:line="276"/>
      </w:pPr>
      <w:r>
        <w:rPr>
          <w:rFonts w:ascii="Calibri" w:cs="Calibri" w:eastAsia="Calibri" w:hAnsi="Calibri"/>
          <w:b/>
          <w:bCs/>
          <w:sz w:val="21"/>
          <w:szCs w:val="21"/>
        </w:rPr>
        <w:t xml:space="preserve">Clinical decision-making in the CAVE. </w:t>
      </w:r>
      <w:r>
        <w:rPr>
          <w:rFonts w:ascii="Calibri" w:cs="Calibri" w:eastAsia="Calibri" w:hAnsi="Calibri"/>
          <w:sz w:val="21"/>
          <w:szCs w:val="21"/>
        </w:rPr>
        <w:t xml:space="preserve">Pre-Op Check, Patient Diagnosis, Cath Lab, Basic Life Support, SPL3 Cardiac Arrest, Altitude Sickness, Decompression Sickness and Introduction to Critical Care form a coherent spine of roughly ten scenarios that require a learner to assess, decide and justify. Introduction to Critical Care, with NEWS calculation and nine learning objectives, is the most developed item in the catalogue.</w:t>
      </w:r>
    </w:p>
    <w:p>
      <w:pPr>
        <w:pStyle w:val="ListParagraph"/>
        <w:numPr>
          <w:ilvl w:val="0"/>
          <w:numId w:val="2"/>
        </w:numPr>
        <w:spacing w:after="90" w:line="276"/>
      </w:pPr>
      <w:r>
        <w:rPr>
          <w:rFonts w:ascii="Calibri" w:cs="Calibri" w:eastAsia="Calibri" w:hAnsi="Calibri"/>
          <w:b/>
          <w:bCs/>
          <w:sz w:val="21"/>
          <w:szCs w:val="21"/>
        </w:rPr>
        <w:t xml:space="preserve">Perspective-taking on the headsets. </w:t>
      </w:r>
      <w:r>
        <w:rPr>
          <w:rFonts w:ascii="Calibri" w:cs="Calibri" w:eastAsia="Calibri" w:hAnsi="Calibri"/>
          <w:sz w:val="21"/>
          <w:szCs w:val="21"/>
        </w:rPr>
        <w:t xml:space="preserve">Goliath, Notes on Blindness, Emperor, Impulse, Autismity and We Live Here cover schizophrenia, sight loss, aphasia following stroke, ADHD, autistic sensory overload and homelessness. These are commissioned, award-winning pieces rather than in-house demos, and together they form a stronger empathy library than most comparable institutions hold.</w:t>
      </w:r>
    </w:p>
    <w:p>
      <w:pPr>
        <w:pStyle w:val="ListParagraph"/>
        <w:numPr>
          <w:ilvl w:val="0"/>
          <w:numId w:val="2"/>
        </w:numPr>
        <w:spacing w:after="90" w:line="276"/>
      </w:pPr>
      <w:r>
        <w:rPr>
          <w:rFonts w:ascii="Calibri" w:cs="Calibri" w:eastAsia="Calibri" w:hAnsi="Calibri"/>
          <w:b/>
          <w:bCs/>
          <w:sz w:val="21"/>
          <w:szCs w:val="21"/>
        </w:rPr>
        <w:t xml:space="preserve">Environment coverage. </w:t>
      </w:r>
      <w:r>
        <w:rPr>
          <w:rFonts w:ascii="Calibri" w:cs="Calibri" w:eastAsia="Calibri" w:hAnsi="Calibri"/>
          <w:sz w:val="21"/>
          <w:szCs w:val="21"/>
        </w:rPr>
        <w:t xml:space="preserve">Sixty-four clinical plates across maternity and intensive care is an unusual depth of purpose-filmed environment.</w:t>
      </w:r>
    </w:p>
    <w:p>
      <w:pPr>
        <w:pStyle w:val="Heading1"/>
        <w:spacing w:after="150" w:before="320"/>
      </w:pPr>
      <w:r>
        <w:rPr>
          <w:rFonts w:ascii="Calibri" w:cs="Calibri" w:eastAsia="Calibri" w:hAnsi="Calibri"/>
          <w:b/>
          <w:bCs/>
          <w:color w:val="1F3B54"/>
          <w:sz w:val="27"/>
          <w:szCs w:val="27"/>
        </w:rPr>
        <w:t xml:space="preserve">Weaknesses and gaps</w:t>
      </w:r>
    </w:p>
    <w:p>
      <w:pPr>
        <w:pStyle w:val="Heading2"/>
        <w:spacing w:after="90" w:before="230"/>
      </w:pPr>
      <w:r>
        <w:rPr>
          <w:rFonts w:ascii="Calibri" w:cs="Calibri" w:eastAsia="Calibri" w:hAnsi="Calibri"/>
          <w:b/>
          <w:bCs/>
          <w:color w:val="1F3B54"/>
          <w:sz w:val="22"/>
          <w:szCs w:val="22"/>
        </w:rPr>
        <w:t xml:space="preserve">1. Metadata is not fit for a booking-facing catalogue</w:t>
      </w:r>
    </w:p>
    <w:p>
      <w:pPr>
        <w:spacing w:after="140" w:line="276"/>
      </w:pPr>
      <w:r>
        <w:rPr>
          <w:rFonts w:ascii="Calibri" w:cs="Calibri" w:eastAsia="Calibri" w:hAnsi="Calibri"/>
          <w:color w:val="1A1A1A"/>
          <w:sz w:val="21"/>
          <w:szCs w:val="21"/>
        </w:rPr>
        <w:t xml:space="preserve">Only one CAVE entry in five records an estimated duration, and just 9% state whether the participant is active or passive. Roughly half of CAVE entries carry no launch path. An academic planning a two-hour session therefore cannot establish from this document how long anything runs, or whether students do something or watch something. This is the highest-value fix available, and it is clerical work rather than development.</w:t>
      </w:r>
    </w:p>
    <w:p>
      <w:pPr>
        <w:pStyle w:val="Heading2"/>
        <w:spacing w:after="90" w:before="230"/>
      </w:pPr>
      <w:r>
        <w:rPr>
          <w:rFonts w:ascii="Calibri" w:cs="Calibri" w:eastAsia="Calibri" w:hAnsi="Calibri"/>
          <w:b/>
          <w:bCs/>
          <w:color w:val="1F3B54"/>
          <w:sz w:val="22"/>
          <w:szCs w:val="22"/>
        </w:rPr>
        <w:t xml:space="preserve">2. A numbered series has a hole in it</w:t>
      </w:r>
    </w:p>
    <w:p>
      <w:pPr>
        <w:spacing w:after="140" w:line="276"/>
      </w:pPr>
      <w:r>
        <w:rPr>
          <w:rFonts w:ascii="Calibri" w:cs="Calibri" w:eastAsia="Calibri" w:hAnsi="Calibri"/>
          <w:color w:val="1A1A1A"/>
          <w:sz w:val="21"/>
          <w:szCs w:val="21"/>
        </w:rPr>
        <w:t xml:space="preserve">The catalogue lists Health Care Scenario 1, 2, 10 and 11. Scenarios 3 to 9 are either missing from the document or were never built. Worth establishing which, because if they exist there are seven unlisted clinical scenarios in circulation.</w:t>
      </w:r>
    </w:p>
    <w:p>
      <w:pPr>
        <w:pStyle w:val="Heading2"/>
        <w:spacing w:after="90" w:before="230"/>
      </w:pPr>
      <w:r>
        <w:rPr>
          <w:rFonts w:ascii="Calibri" w:cs="Calibri" w:eastAsia="Calibri" w:hAnsi="Calibri"/>
          <w:b/>
          <w:bCs/>
          <w:color w:val="1F3B54"/>
          <w:sz w:val="22"/>
          <w:szCs w:val="22"/>
        </w:rPr>
        <w:t xml:space="preserve">3. Midwifery is the largest missed opportunity</w:t>
      </w:r>
    </w:p>
    <w:p>
      <w:pPr>
        <w:spacing w:after="140" w:line="276"/>
      </w:pPr>
      <w:r>
        <w:rPr>
          <w:rFonts w:ascii="Calibri" w:cs="Calibri" w:eastAsia="Calibri" w:hAnsi="Calibri"/>
          <w:color w:val="1A1A1A"/>
          <w:sz w:val="21"/>
          <w:szCs w:val="21"/>
        </w:rPr>
        <w:t xml:space="preserve">Twenty-seven video backdrops, one CAVE experience and one headset app. A fully filmed maternity unit exists — delivery room, theatre, four-bed bay, bereavement room, infant ICU — with almost nothing built on top of it. This asymmetry is where development effort would return most.</w:t>
      </w:r>
    </w:p>
    <w:p>
      <w:pPr>
        <w:pStyle w:val="Heading2"/>
        <w:spacing w:after="90" w:before="230"/>
      </w:pPr>
      <w:r>
        <w:rPr>
          <w:rFonts w:ascii="Calibri" w:cs="Calibri" w:eastAsia="Calibri" w:hAnsi="Calibri"/>
          <w:b/>
          <w:bCs/>
          <w:color w:val="1F3B54"/>
          <w:sz w:val="22"/>
          <w:szCs w:val="22"/>
        </w:rPr>
        <w:t xml:space="preserve">4. No debrief or facilitator layer</w:t>
      </w:r>
    </w:p>
    <w:p>
      <w:pPr>
        <w:spacing w:after="140" w:line="276"/>
      </w:pPr>
      <w:r>
        <w:rPr>
          <w:rFonts w:ascii="Calibri" w:cs="Calibri" w:eastAsia="Calibri" w:hAnsi="Calibri"/>
          <w:color w:val="1A1A1A"/>
          <w:sz w:val="21"/>
          <w:szCs w:val="21"/>
        </w:rPr>
        <w:t xml:space="preserve">Every entry carries learning objectives. None carries facilitator notes, debrief prompts, assessment criteria, or mapping to NMC or HCPC standards. The healthcare simulation evidence base is consistent that debriefing is where learning consolidates. As things stand, session quality rests entirely on the individual academic, and nothing in the catalogue supports them.</w:t>
      </w:r>
    </w:p>
    <w:p>
      <w:pPr>
        <w:pStyle w:val="Heading2"/>
        <w:spacing w:after="90" w:before="230"/>
      </w:pPr>
      <w:r>
        <w:rPr>
          <w:rFonts w:ascii="Calibri" w:cs="Calibri" w:eastAsia="Calibri" w:hAnsi="Calibri"/>
          <w:b/>
          <w:bCs/>
          <w:color w:val="1F3B54"/>
          <w:sz w:val="22"/>
          <w:szCs w:val="22"/>
        </w:rPr>
        <w:t xml:space="preserve">5. No level or currency indicators</w:t>
      </w:r>
    </w:p>
    <w:p>
      <w:pPr>
        <w:spacing w:after="140" w:line="276"/>
      </w:pPr>
      <w:r>
        <w:rPr>
          <w:rFonts w:ascii="Calibri" w:cs="Calibri" w:eastAsia="Calibri" w:hAnsi="Calibri"/>
          <w:color w:val="1A1A1A"/>
          <w:sz w:val="21"/>
          <w:szCs w:val="21"/>
        </w:rPr>
        <w:t xml:space="preserve">A first-year and a final-year student are offered the same entry with no differentiation. No item carries a version, review date or clinical owner. This matters for scenarios built against clinical guidance that changes: a resuscitation or NEWS scenario written to superseded guidance is worse than no scenario. Undated clinical content should be treated as unverified until reviewed and signed off.</w:t>
      </w:r>
    </w:p>
    <w:p>
      <w:pPr>
        <w:pStyle w:val="Heading2"/>
        <w:spacing w:after="90" w:before="230"/>
      </w:pPr>
      <w:r>
        <w:rPr>
          <w:rFonts w:ascii="Calibri" w:cs="Calibri" w:eastAsia="Calibri" w:hAnsi="Calibri"/>
          <w:b/>
          <w:bCs/>
          <w:color w:val="1F3B54"/>
          <w:sz w:val="22"/>
          <w:szCs w:val="22"/>
        </w:rPr>
        <w:t xml:space="preserve">6. Quiz content is over-represented</w:t>
      </w:r>
    </w:p>
    <w:p>
      <w:pPr>
        <w:spacing w:after="140" w:line="276"/>
      </w:pPr>
      <w:r>
        <w:rPr>
          <w:rFonts w:ascii="Calibri" w:cs="Calibri" w:eastAsia="Calibri" w:hAnsi="Calibri"/>
          <w:color w:val="1A1A1A"/>
          <w:sz w:val="21"/>
          <w:szCs w:val="21"/>
        </w:rPr>
        <w:t xml:space="preserve">Mental Health Quiz, Psychology Quiz, Sim in Qual, Sim in Quant and Manual Handling VR Quiz are multiple-choice exercises presented on three walls. They are legitimate for engagement but do not require a CAVE, and they weaken the case for the room.</w:t>
      </w:r>
    </w:p>
    <w:p>
      <w:pPr>
        <w:pStyle w:val="Heading2"/>
        <w:spacing w:after="90" w:before="230"/>
      </w:pPr>
      <w:r>
        <w:rPr>
          <w:rFonts w:ascii="Calibri" w:cs="Calibri" w:eastAsia="Calibri" w:hAnsi="Calibri"/>
          <w:b/>
          <w:bCs/>
          <w:color w:val="1F3B54"/>
          <w:sz w:val="22"/>
          <w:szCs w:val="22"/>
        </w:rPr>
        <w:t xml:space="preserve">7. Some entries are demonstrations described as scenarios</w:t>
      </w:r>
    </w:p>
    <w:p>
      <w:pPr>
        <w:spacing w:after="140" w:line="276"/>
      </w:pPr>
      <w:r>
        <w:rPr>
          <w:rFonts w:ascii="Calibri" w:cs="Calibri" w:eastAsia="Calibri" w:hAnsi="Calibri"/>
          <w:color w:val="1A1A1A"/>
          <w:sz w:val="21"/>
          <w:szCs w:val="21"/>
        </w:rPr>
        <w:t xml:space="preserve">Hospital Ward and Forest Clearing are recorded verbatim as "Demo of a Unity 3D model inside the CAVE". Aquarium, Forest Clearing and Hospital Ward have no delivery system recorded. The Physiotherapy Placement Preparation entry contains corrupted text, indicating that no proofreading pass has been made.</w:t>
      </w:r>
    </w:p>
    <w:p>
      <w:pPr>
        <w:pStyle w:val="Heading2"/>
        <w:spacing w:after="90" w:before="230"/>
      </w:pPr>
      <w:r>
        <w:rPr>
          <w:rFonts w:ascii="Calibri" w:cs="Calibri" w:eastAsia="Calibri" w:hAnsi="Calibri"/>
          <w:b/>
          <w:bCs/>
          <w:color w:val="1F3B54"/>
          <w:sz w:val="22"/>
          <w:szCs w:val="22"/>
        </w:rPr>
        <w:t xml:space="preserve">8. Antser content carries unmanaged risk</w:t>
      </w:r>
    </w:p>
    <w:p>
      <w:pPr>
        <w:spacing w:after="140" w:line="276"/>
      </w:pPr>
      <w:r>
        <w:rPr>
          <w:rFonts w:ascii="Calibri" w:cs="Calibri" w:eastAsia="Calibri" w:hAnsi="Calibri"/>
          <w:color w:val="1A1A1A"/>
          <w:sz w:val="21"/>
          <w:szCs w:val="21"/>
        </w:rPr>
        <w:t xml:space="preserve">The preloaded 360 material covers child abuse, sexual exploitation, knife crime, drug misuse and dementia. The catalogue advises reviewing content in advance and preparing a safe space, which is correct as far as it goes, but there is no trauma-informed protocol, no opt-out wording, no distress escalation route, and no acknowledgement that some students will have lived experience of this material. For social work and safeguarding cohorts this should be documented before the next booking.</w:t>
      </w:r>
    </w:p>
    <w:p>
      <w:pPr>
        <w:pStyle w:val="Heading2"/>
        <w:spacing w:after="90" w:before="230"/>
      </w:pPr>
      <w:r>
        <w:rPr>
          <w:rFonts w:ascii="Calibri" w:cs="Calibri" w:eastAsia="Calibri" w:hAnsi="Calibri"/>
          <w:b/>
          <w:bCs/>
          <w:color w:val="1F3B54"/>
          <w:sz w:val="22"/>
          <w:szCs w:val="22"/>
        </w:rPr>
        <w:t xml:space="preserve">9. Thin disciplines</w:t>
      </w:r>
    </w:p>
    <w:p>
      <w:pPr>
        <w:spacing w:after="140" w:line="276"/>
      </w:pPr>
      <w:r>
        <w:rPr>
          <w:rFonts w:ascii="Calibri" w:cs="Calibri" w:eastAsia="Calibri" w:hAnsi="Calibri"/>
          <w:color w:val="1A1A1A"/>
          <w:sz w:val="21"/>
          <w:szCs w:val="21"/>
        </w:rPr>
        <w:t xml:space="preserve">Physiotherapy (7 items), speech and language therapy (7) and public health (5) are materially under-served relative to adult nursing.</w:t>
      </w:r>
    </w:p>
    <w:p>
      <w:pPr>
        <w:pStyle w:val="Heading1"/>
        <w:spacing w:after="150" w:before="320"/>
      </w:pPr>
      <w:r>
        <w:rPr>
          <w:rFonts w:ascii="Calibri" w:cs="Calibri" w:eastAsia="Calibri" w:hAnsi="Calibri"/>
          <w:b/>
          <w:bCs/>
          <w:color w:val="1F3B54"/>
          <w:sz w:val="27"/>
          <w:szCs w:val="27"/>
        </w:rPr>
        <w:t xml:space="preserve">Recommended order of work</w:t>
      </w:r>
    </w:p>
    <w:p>
      <w:pPr>
        <w:pStyle w:val="ListParagraph"/>
        <w:numPr>
          <w:ilvl w:val="0"/>
          <w:numId w:val="3"/>
        </w:numPr>
        <w:spacing w:after="90" w:line="276"/>
      </w:pPr>
      <w:r>
        <w:rPr>
          <w:rFonts w:ascii="Calibri" w:cs="Calibri" w:eastAsia="Calibri" w:hAnsi="Calibri"/>
          <w:b/>
          <w:bCs/>
          <w:sz w:val="21"/>
          <w:szCs w:val="21"/>
        </w:rPr>
        <w:t xml:space="preserve">Complete the core metadata. </w:t>
      </w:r>
      <w:r>
        <w:rPr>
          <w:rFonts w:ascii="Calibri" w:cs="Calibri" w:eastAsia="Calibri" w:hAnsi="Calibri"/>
          <w:sz w:val="21"/>
          <w:szCs w:val="21"/>
        </w:rPr>
        <w:t xml:space="preserve">Record duration and active/passive status for every entry. This unblocks academics booking independently and is the single cheapest improvement available.</w:t>
      </w:r>
    </w:p>
    <w:p>
      <w:pPr>
        <w:pStyle w:val="ListParagraph"/>
        <w:numPr>
          <w:ilvl w:val="0"/>
          <w:numId w:val="3"/>
        </w:numPr>
        <w:spacing w:after="90" w:line="276"/>
      </w:pPr>
      <w:r>
        <w:rPr>
          <w:rFonts w:ascii="Calibri" w:cs="Calibri" w:eastAsia="Calibri" w:hAnsi="Calibri"/>
          <w:b/>
          <w:bCs/>
          <w:sz w:val="21"/>
          <w:szCs w:val="21"/>
        </w:rPr>
        <w:t xml:space="preserve">Close the series gap. </w:t>
      </w:r>
      <w:r>
        <w:rPr>
          <w:rFonts w:ascii="Calibri" w:cs="Calibri" w:eastAsia="Calibri" w:hAnsi="Calibri"/>
          <w:sz w:val="21"/>
          <w:szCs w:val="21"/>
        </w:rPr>
        <w:t xml:space="preserve">Establish whether Health Care Scenarios 3 to 9 exist. If they do, catalogue them.</w:t>
      </w:r>
    </w:p>
    <w:p>
      <w:pPr>
        <w:pStyle w:val="ListParagraph"/>
        <w:numPr>
          <w:ilvl w:val="0"/>
          <w:numId w:val="3"/>
        </w:numPr>
        <w:spacing w:after="90" w:line="276"/>
      </w:pPr>
      <w:r>
        <w:rPr>
          <w:rFonts w:ascii="Calibri" w:cs="Calibri" w:eastAsia="Calibri" w:hAnsi="Calibri"/>
          <w:b/>
          <w:bCs/>
          <w:sz w:val="21"/>
          <w:szCs w:val="21"/>
        </w:rPr>
        <w:t xml:space="preserve">Write the Antser safeguarding protocol. </w:t>
      </w:r>
      <w:r>
        <w:rPr>
          <w:rFonts w:ascii="Calibri" w:cs="Calibri" w:eastAsia="Calibri" w:hAnsi="Calibri"/>
          <w:sz w:val="21"/>
          <w:szCs w:val="21"/>
        </w:rPr>
        <w:t xml:space="preserve">Document a trauma-informed protocol covering content warnings, opt-out, and distress escalation.</w:t>
      </w:r>
    </w:p>
    <w:p>
      <w:pPr>
        <w:pStyle w:val="ListParagraph"/>
        <w:numPr>
          <w:ilvl w:val="0"/>
          <w:numId w:val="3"/>
        </w:numPr>
        <w:spacing w:after="90" w:line="276"/>
      </w:pPr>
      <w:r>
        <w:rPr>
          <w:rFonts w:ascii="Calibri" w:cs="Calibri" w:eastAsia="Calibri" w:hAnsi="Calibri"/>
          <w:b/>
          <w:bCs/>
          <w:sz w:val="21"/>
          <w:szCs w:val="21"/>
        </w:rPr>
        <w:t xml:space="preserve">Develop midwifery. </w:t>
      </w:r>
      <w:r>
        <w:rPr>
          <w:rFonts w:ascii="Calibri" w:cs="Calibri" w:eastAsia="Calibri" w:hAnsi="Calibri"/>
          <w:sz w:val="21"/>
          <w:szCs w:val="21"/>
        </w:rPr>
        <w:t xml:space="preserve">Build scenarios on the maternity footage already owned, rather than commissioning new filming.</w:t>
      </w:r>
    </w:p>
    <w:p>
      <w:pPr>
        <w:pStyle w:val="ListParagraph"/>
        <w:numPr>
          <w:ilvl w:val="0"/>
          <w:numId w:val="3"/>
        </w:numPr>
        <w:spacing w:after="90" w:line="276"/>
      </w:pPr>
      <w:r>
        <w:rPr>
          <w:rFonts w:ascii="Calibri" w:cs="Calibri" w:eastAsia="Calibri" w:hAnsi="Calibri"/>
          <w:b/>
          <w:bCs/>
          <w:sz w:val="21"/>
          <w:szCs w:val="21"/>
        </w:rPr>
        <w:t xml:space="preserve">Add the teaching layer. </w:t>
      </w:r>
      <w:r>
        <w:rPr>
          <w:rFonts w:ascii="Calibri" w:cs="Calibri" w:eastAsia="Calibri" w:hAnsi="Calibri"/>
          <w:sz w:val="21"/>
          <w:szCs w:val="21"/>
        </w:rPr>
        <w:t xml:space="preserve">Facilitator notes, debrief prompts and standards mapping, starting with the ten clinical decision-making scenarios.</w:t>
      </w:r>
    </w:p>
    <w:p>
      <w:pPr>
        <w:pStyle w:val="ListParagraph"/>
        <w:numPr>
          <w:ilvl w:val="0"/>
          <w:numId w:val="3"/>
        </w:numPr>
        <w:spacing w:after="90" w:line="276"/>
      </w:pPr>
      <w:r>
        <w:rPr>
          <w:rFonts w:ascii="Calibri" w:cs="Calibri" w:eastAsia="Calibri" w:hAnsi="Calibri"/>
          <w:b/>
          <w:bCs/>
          <w:sz w:val="21"/>
          <w:szCs w:val="21"/>
        </w:rPr>
        <w:t xml:space="preserve">Establish a currency review. </w:t>
      </w:r>
      <w:r>
        <w:rPr>
          <w:rFonts w:ascii="Calibri" w:cs="Calibri" w:eastAsia="Calibri" w:hAnsi="Calibri"/>
          <w:sz w:val="21"/>
          <w:szCs w:val="21"/>
        </w:rPr>
        <w:t xml:space="preserve">Assign a clinical owner and review date to every scenario that reflects changeable guidance.</w:t>
      </w:r>
    </w:p>
    <w:p>
      <w:pPr>
        <w:pStyle w:val="ListParagraph"/>
        <w:numPr>
          <w:ilvl w:val="0"/>
          <w:numId w:val="3"/>
        </w:numPr>
        <w:spacing w:after="90" w:line="276"/>
      </w:pPr>
      <w:r>
        <w:rPr>
          <w:rFonts w:ascii="Calibri" w:cs="Calibri" w:eastAsia="Calibri" w:hAnsi="Calibri"/>
          <w:b/>
          <w:bCs/>
          <w:sz w:val="21"/>
          <w:szCs w:val="21"/>
        </w:rPr>
        <w:t xml:space="preserve">New content development. </w:t>
      </w:r>
      <w:r>
        <w:rPr>
          <w:rFonts w:ascii="Calibri" w:cs="Calibri" w:eastAsia="Calibri" w:hAnsi="Calibri"/>
          <w:sz w:val="21"/>
          <w:szCs w:val="21"/>
        </w:rPr>
        <w:t xml:space="preserve">Commission only once the layers above are in place.</w:t>
      </w:r>
    </w:p>
    <w:p>
      <w:pPr>
        <w:pBdr>
          <w:bottom w:val="single" w:color="C9D3DB" w:sz="6"/>
        </w:pBdr>
        <w:spacing w:after="200"/>
      </w:pPr>
      <w:r>
        <w:t xml:space="preserve"/>
      </w:r>
    </w:p>
    <w:p>
      <w:pPr>
        <w:spacing w:after="140" w:line="276"/>
      </w:pPr>
      <w:r>
        <w:rPr>
          <w:rFonts w:ascii="Calibri" w:cs="Calibri" w:eastAsia="Calibri" w:hAnsi="Calibri"/>
          <w:i/>
          <w:iCs/>
          <w:color w:val="5A6B7B"/>
          <w:sz w:val="17"/>
          <w:szCs w:val="17"/>
        </w:rPr>
        <w:t xml:space="preserve">Prepared by Ivaylo Ivanov. Findings derived from a structured extraction of the XR Resource Catalogue; percentages are calculated across the 63 interactive entries.</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 Resource Catalogue — Health &amp; Education Review</dc:title>
  <dc:creator>Ivaylo Ivanov</dc:creator>
  <cp:lastModifiedBy>Un-named</cp:lastModifiedBy>
  <cp:revision>1</cp:revision>
  <dcterms:created xsi:type="dcterms:W3CDTF">2026-09-10T12:43:38.098Z</dcterms:created>
  <dcterms:modified xsi:type="dcterms:W3CDTF">2026-09-10T12:43:38.098Z</dcterms:modified>
</cp:coreProperties>
</file>

<file path=docProps/custom.xml><?xml version="1.0" encoding="utf-8"?>
<Properties xmlns="http://schemas.openxmlformats.org/officeDocument/2006/custom-properties" xmlns:vt="http://schemas.openxmlformats.org/officeDocument/2006/docPropsVTypes"/>
</file>