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BIO 241 04 Nutrition</w:t>
      </w:r>
    </w:p>
    <w:p>
      <w:pPr>
        <w:pStyle w:val="Heading2"/>
        <w:spacing w:after="120" w:before="240"/>
      </w:pPr>
      <w:r>
        <w:t xml:space="preserve">Course Information</w:t>
      </w:r>
    </w:p>
    <w:p>
      <w:pPr>
        <w:spacing w:after="120"/>
      </w:pPr>
      <w:r>
        <w:rPr>
          <w:sz w:val="24"/>
          <w:szCs w:val="24"/>
        </w:rPr>
        <w:t xml:space="preserve">This is a face-to-face course that meets Wednesdays from 4:00 PM to 6:50 PM in room 407S.</w:t>
      </w:r>
    </w:p>
    <w:p>
      <w:pPr>
        <w:spacing w:after="120"/>
      </w:pPr>
      <w:r>
        <w:rPr>
          <w:sz w:val="24"/>
          <w:szCs w:val="24"/>
        </w:rPr>
        <w:t xml:space="preserve">The course begins January 28, 2026, and ends on May 13, 2026.</w:t>
      </w:r>
    </w:p>
    <w:p>
      <w:pPr>
        <w:spacing w:after="120"/>
      </w:pPr>
      <w:r>
        <w:rPr>
          <w:sz w:val="24"/>
          <w:szCs w:val="24"/>
        </w:rPr>
        <w:t xml:space="preserve">Visit the </w:t>
      </w:r>
      <w:hyperlink w:history="1" r:id="rIdjnopfhil5iwseejo2sdih">
        <w:r>
          <w:rPr>
            <w:rStyle w:val="Hyperlink"/>
            <w:sz w:val="24"/>
            <w:szCs w:val="24"/>
          </w:rPr>
          <w:t xml:space="preserve">QCC Academic Calendar</w:t>
        </w:r>
      </w:hyperlink>
      <w:r>
        <w:rPr>
          <w:sz w:val="24"/>
          <w:szCs w:val="24"/>
        </w:rPr>
        <w:t xml:space="preserve"> for important college dates and deadlines.</w:t>
      </w:r>
    </w:p>
    <w:p>
      <w:pPr>
        <w:spacing w:after="120"/>
      </w:pPr>
      <w:r>
        <w:rPr>
          <w:sz w:val="24"/>
          <w:szCs w:val="24"/>
        </w:rPr>
        <w:t xml:space="preserve">You are advised to retain a copy of this syllabus in your personal files for use when applying for future degrees, certifications, or transfer of credit.</w:t>
      </w:r>
    </w:p>
    <w:p>
      <w:pPr>
        <w:spacing w:after="120"/>
      </w:pPr>
      <w:r>
        <w:rPr>
          <w:sz w:val="24"/>
          <w:szCs w:val="24"/>
        </w:rPr>
        <w:t xml:space="preserve">In the event of disruption of normal classroom operations due to technical issues, health issues, or other unexpected occurrences, the format for this course may be modified to enable completion of the course. In that event, you will be given an addendum to this syllabus that will supersede this version.</w:t>
      </w:r>
    </w:p>
    <w:p>
      <w:pPr>
        <w:pStyle w:val="Heading2"/>
        <w:spacing w:after="120" w:before="240"/>
      </w:pPr>
      <w:r>
        <w:t xml:space="preserve">Instructor Information</w:t>
      </w:r>
    </w:p>
    <w:p>
      <w:pPr>
        <w:spacing w:after="120"/>
      </w:pPr>
      <w:r>
        <w:rPr>
          <w:sz w:val="24"/>
          <w:szCs w:val="24"/>
        </w:rPr>
        <w:t xml:space="preserve">Instructor: Melissa Silva</w:t>
      </w:r>
    </w:p>
    <w:p>
      <w:pPr>
        <w:spacing w:after="120"/>
      </w:pPr>
      <w:r>
        <w:rPr>
          <w:sz w:val="24"/>
          <w:szCs w:val="24"/>
        </w:rPr>
        <w:t xml:space="preserve">Email: msilva@qcc.mass.edu</w:t>
      </w:r>
    </w:p>
    <w:p>
      <w:pPr>
        <w:spacing w:after="120"/>
      </w:pPr>
      <w:r>
        <w:rPr>
          <w:sz w:val="24"/>
          <w:szCs w:val="24"/>
        </w:rPr>
        <w:t xml:space="preserve">Mailbox: Box# in the mailroom, first floor of the Administration Building</w:t>
      </w:r>
    </w:p>
    <w:p>
      <w:pPr>
        <w:spacing w:after="120"/>
      </w:pPr>
      <w:r>
        <w:rPr>
          <w:sz w:val="24"/>
          <w:szCs w:val="24"/>
        </w:rPr>
        <w:t xml:space="preserve">Phone: Text or call 401-486-1585 if it is urgent and email is not an option</w:t>
      </w:r>
    </w:p>
    <w:p>
      <w:pPr>
        <w:spacing w:after="120"/>
      </w:pPr>
      <w:r>
        <w:rPr>
          <w:sz w:val="24"/>
          <w:szCs w:val="24"/>
        </w:rPr>
        <w:t xml:space="preserve">Office Hours: Virtual by appointment via Zoom upon request</w:t>
      </w:r>
    </w:p>
    <w:p>
      <w:pPr>
        <w:pStyle w:val="Heading2"/>
        <w:spacing w:after="120" w:before="240"/>
      </w:pPr>
      <w:r>
        <w:t xml:space="preserve">Communication</w:t>
      </w:r>
    </w:p>
    <w:p>
      <w:pPr>
        <w:spacing w:after="120"/>
      </w:pPr>
      <w:r>
        <w:rPr>
          <w:sz w:val="24"/>
          <w:szCs w:val="24"/>
        </w:rPr>
        <w:t xml:space="preserve">Throughout the semester, I will communicate with you via Blackboard Announcements (located at the top of the opening Blackboard page) and your Qmail account as well as at the start of class.</w:t>
      </w:r>
    </w:p>
    <w:p>
      <w:pPr>
        <w:spacing w:after="120"/>
      </w:pPr>
      <w:r>
        <w:rPr>
          <w:sz w:val="24"/>
          <w:szCs w:val="24"/>
        </w:rPr>
        <w:t xml:space="preserve">Please review </w:t>
      </w:r>
      <w:hyperlink w:history="1" r:id="rIdotpookfu9ubaf8zygwhvi">
        <w:r>
          <w:rPr>
            <w:rStyle w:val="Hyperlink"/>
            <w:sz w:val="24"/>
            <w:szCs w:val="24"/>
          </w:rPr>
          <w:t xml:space="preserve">email help resources</w:t>
        </w:r>
      </w:hyperlink>
      <w:r>
        <w:rPr>
          <w:sz w:val="24"/>
          <w:szCs w:val="24"/>
        </w:rPr>
        <w:t xml:space="preserve"> for assistance on using your email account.</w:t>
      </w:r>
    </w:p>
    <w:p>
      <w:pPr>
        <w:spacing w:after="120"/>
      </w:pPr>
      <w:r>
        <w:rPr>
          <w:sz w:val="24"/>
          <w:szCs w:val="24"/>
        </w:rPr>
        <w:t xml:space="preserve">I will reply to texts, emails, and phone messages in a timely manner according to the following schedule:</w:t>
      </w:r>
    </w:p>
    <w:p>
      <w:pPr>
        <w:pStyle w:val="ListParagraph"/>
        <w:numPr>
          <w:ilvl w:val="0"/>
          <w:numId w:val="1"/>
        </w:numPr>
        <w:spacing w:after="60"/>
      </w:pPr>
      <w:r>
        <w:rPr>
          <w:sz w:val="24"/>
          <w:szCs w:val="24"/>
        </w:rPr>
        <w:t xml:space="preserve">Messages received Monday through Thursday between 8:00 AM and 4:00 PM: responses returned within 24 hours</w:t>
      </w:r>
    </w:p>
    <w:p>
      <w:pPr>
        <w:pStyle w:val="ListParagraph"/>
        <w:numPr>
          <w:ilvl w:val="0"/>
          <w:numId w:val="1"/>
        </w:numPr>
        <w:spacing w:after="60"/>
      </w:pPr>
      <w:r>
        <w:rPr>
          <w:sz w:val="24"/>
          <w:szCs w:val="24"/>
        </w:rPr>
        <w:t xml:space="preserve">Messages received Friday, Saturday, or Sunday (after hours): responses returned within 24 hours of the next business day</w:t>
      </w:r>
    </w:p>
    <w:p>
      <w:pPr>
        <w:pStyle w:val="ListParagraph"/>
        <w:numPr>
          <w:ilvl w:val="0"/>
          <w:numId w:val="1"/>
        </w:numPr>
        <w:spacing w:after="60"/>
      </w:pPr>
      <w:r>
        <w:rPr>
          <w:sz w:val="24"/>
          <w:szCs w:val="24"/>
        </w:rPr>
        <w:t xml:space="preserve">I am willing to listen and help—please reach out</w:t>
      </w:r>
    </w:p>
    <w:p>
      <w:pPr>
        <w:spacing w:after="120"/>
      </w:pPr>
      <w:r>
        <w:rPr>
          <w:sz w:val="24"/>
          <w:szCs w:val="24"/>
        </w:rPr>
        <w:t xml:space="preserve">Any changes or immediate concerns in the course will be posted in Announcements and a copy sent to your Qmail account.</w:t>
      </w:r>
    </w:p>
    <w:p>
      <w:pPr>
        <w:pStyle w:val="Heading2"/>
        <w:spacing w:after="120" w:before="240"/>
      </w:pPr>
      <w:r>
        <w:t xml:space="preserve">General Course Description</w:t>
      </w:r>
    </w:p>
    <w:p>
      <w:pPr>
        <w:spacing w:after="120"/>
      </w:pPr>
      <w:r>
        <w:rPr>
          <w:sz w:val="24"/>
          <w:szCs w:val="24"/>
        </w:rPr>
        <w:t xml:space="preserve">BIO 241 Nutrition is a 3-credit course that covers nutrients including proteins, minerals, and vitamins; their sources; their digestion, absorption, and cellular function. Students also examine nutrition in pregnancy and lactation; nutrition of the elderly; obesity; fad diets; and food preservation.</w:t>
      </w:r>
    </w:p>
    <w:p>
      <w:pPr>
        <w:spacing w:after="120"/>
      </w:pPr>
      <w:r>
        <w:rPr>
          <w:sz w:val="24"/>
          <w:szCs w:val="24"/>
        </w:rPr>
        <w:t xml:space="preserve">Prerequisites: BIO 101 or BIO 107 or CHM 101</w:t>
      </w:r>
    </w:p>
    <w:p>
      <w:pPr>
        <w:spacing w:after="120"/>
      </w:pPr>
      <w:r>
        <w:rPr>
          <w:sz w:val="24"/>
          <w:szCs w:val="24"/>
        </w:rPr>
        <w:t xml:space="preserve">Semester Offered: Fall, Spring, Summer</w:t>
      </w:r>
    </w:p>
    <w:p>
      <w:pPr>
        <w:pStyle w:val="Heading2"/>
        <w:spacing w:after="120" w:before="240"/>
      </w:pPr>
      <w:r>
        <w:t xml:space="preserve">Purpose of the Course</w:t>
      </w:r>
    </w:p>
    <w:p>
      <w:pPr>
        <w:spacing w:after="120"/>
      </w:pPr>
      <w:r>
        <w:rPr>
          <w:sz w:val="24"/>
          <w:szCs w:val="24"/>
        </w:rPr>
        <w:t xml:space="preserve">BIO 241 Nutrition is a level 200 course designed to provide an in-depth overview of human nutrition at varying developmental stages and degrees of wellness. This course serves as a level 200 science elective and will transfer to most institutions.</w:t>
      </w:r>
    </w:p>
    <w:p>
      <w:pPr>
        <w:pStyle w:val="Heading2"/>
        <w:spacing w:after="120" w:before="240"/>
      </w:pPr>
      <w:r>
        <w:t xml:space="preserve">Materials</w:t>
      </w:r>
    </w:p>
    <w:p>
      <w:pPr>
        <w:spacing w:after="120"/>
      </w:pPr>
      <w:r>
        <w:rPr>
          <w:sz w:val="24"/>
          <w:szCs w:val="24"/>
        </w:rPr>
        <w:t xml:space="preserve">Nutrition: An Applied Approach, 5th Edition; Janice Thompson and Melinda Manore, Pearson Benjamin Cummings, 2018</w:t>
      </w:r>
    </w:p>
    <w:p>
      <w:pPr>
        <w:spacing w:after="120"/>
      </w:pPr>
      <w:r>
        <w:rPr>
          <w:sz w:val="24"/>
          <w:szCs w:val="24"/>
        </w:rPr>
        <w:t xml:space="preserve">If you are unable to afford your textbook for this course, please contact Financial Aid to discuss getting a book voucher for use in the QCC Bookstore.</w:t>
      </w:r>
    </w:p>
    <w:p>
      <w:pPr>
        <w:spacing w:after="120"/>
      </w:pPr>
      <w:r>
        <w:rPr>
          <w:sz w:val="24"/>
          <w:szCs w:val="24"/>
        </w:rPr>
        <w:t xml:space="preserve">A variety of printed and digital content may be provided during the course. Digital content will be found within the course Blackboard Learn site. There may be additional reading assignments as student interests dictate.</w:t>
      </w:r>
    </w:p>
    <w:p>
      <w:pPr>
        <w:spacing w:after="120"/>
      </w:pPr>
      <w:r>
        <w:rPr>
          <w:sz w:val="24"/>
          <w:szCs w:val="24"/>
        </w:rPr>
        <w:t xml:space="preserve">You will need a functioning computer with Internet access.</w:t>
      </w:r>
    </w:p>
    <w:p>
      <w:pPr>
        <w:spacing w:after="120"/>
      </w:pPr>
      <w:r>
        <w:rPr>
          <w:sz w:val="24"/>
          <w:szCs w:val="24"/>
        </w:rPr>
        <w:t xml:space="preserve">This course requires that you access online resources in the college's Blackboard Learn site.</w:t>
      </w:r>
    </w:p>
    <w:p>
      <w:pPr>
        <w:spacing w:after="120"/>
      </w:pPr>
      <w:r>
        <w:rPr>
          <w:sz w:val="24"/>
          <w:szCs w:val="24"/>
        </w:rPr>
        <w:t xml:space="preserve">Please review </w:t>
      </w:r>
      <w:hyperlink w:history="1" r:id="rIdqw55h41djkypyaylrbjaw">
        <w:r>
          <w:rPr>
            <w:rStyle w:val="Hyperlink"/>
            <w:sz w:val="24"/>
            <w:szCs w:val="24"/>
          </w:rPr>
          <w:t xml:space="preserve">Blackboard Learn help resources</w:t>
        </w:r>
      </w:hyperlink>
      <w:r>
        <w:rPr>
          <w:sz w:val="24"/>
          <w:szCs w:val="24"/>
        </w:rPr>
        <w:t xml:space="preserve"> for assistance on using your Blackboard Learn account.</w:t>
      </w:r>
    </w:p>
    <w:p>
      <w:pPr>
        <w:spacing w:after="120"/>
      </w:pPr>
      <w:r>
        <w:rPr>
          <w:sz w:val="24"/>
          <w:szCs w:val="24"/>
        </w:rPr>
        <w:t xml:space="preserve">Review the following for computer specifications and software recommendations:</w:t>
      </w:r>
    </w:p>
    <w:p>
      <w:pPr>
        <w:pStyle w:val="ListParagraph"/>
        <w:numPr>
          <w:ilvl w:val="0"/>
          <w:numId w:val="1"/>
        </w:numPr>
        <w:spacing w:after="60"/>
      </w:pPr>
      <w:r>
        <w:rPr>
          <w:sz w:val="24"/>
          <w:szCs w:val="24"/>
        </w:rPr>
        <w:t xml:space="preserve">Visit QCC's Computer Technical Recommendations for hardware and browser requirements</w:t>
      </w:r>
    </w:p>
    <w:p>
      <w:pPr>
        <w:pStyle w:val="ListParagraph"/>
        <w:numPr>
          <w:ilvl w:val="0"/>
          <w:numId w:val="1"/>
        </w:numPr>
        <w:spacing w:after="60"/>
      </w:pPr>
      <w:r>
        <w:rPr>
          <w:sz w:val="24"/>
          <w:szCs w:val="24"/>
        </w:rPr>
        <w:t xml:space="preserve">Microsoft 365: See the Q (QCC help portal) for access to this software suite</w:t>
      </w:r>
    </w:p>
    <w:p>
      <w:pPr>
        <w:spacing w:after="120"/>
      </w:pPr>
      <w:r>
        <w:rPr>
          <w:sz w:val="24"/>
          <w:szCs w:val="24"/>
        </w:rPr>
        <w:t xml:space="preserve">Visit </w:t>
      </w:r>
      <w:hyperlink w:history="1" r:id="rIdsvxy5klc6tutqkzg9c1pu">
        <w:r>
          <w:rPr>
            <w:rStyle w:val="Hyperlink"/>
            <w:sz w:val="24"/>
            <w:szCs w:val="24"/>
          </w:rPr>
          <w:t xml:space="preserve">QCC's Computer Technical Recommendations</w:t>
        </w:r>
      </w:hyperlink>
      <w:r>
        <w:rPr>
          <w:sz w:val="24"/>
          <w:szCs w:val="24"/>
        </w:rPr>
        <w:t xml:space="preserve"> for full system requirements.</w:t>
      </w:r>
    </w:p>
    <w:p>
      <w:pPr>
        <w:pStyle w:val="Heading2"/>
        <w:spacing w:after="120" w:before="240"/>
      </w:pPr>
      <w:r>
        <w:t xml:space="preserve">Course Learning Outcomes and Instructional Objectives</w:t>
      </w:r>
    </w:p>
    <w:p>
      <w:pPr>
        <w:spacing w:after="120"/>
      </w:pPr>
      <w:r>
        <w:rPr>
          <w:sz w:val="24"/>
          <w:szCs w:val="24"/>
        </w:rPr>
        <w:t xml:space="preserve">By fully participating in this course, you should be able to:</w:t>
      </w:r>
    </w:p>
    <w:p>
      <w:pPr>
        <w:pStyle w:val="ListParagraph"/>
        <w:numPr>
          <w:ilvl w:val="0"/>
          <w:numId w:val="1"/>
        </w:numPr>
        <w:spacing w:after="60"/>
      </w:pPr>
      <w:r>
        <w:rPr>
          <w:sz w:val="24"/>
          <w:szCs w:val="24"/>
        </w:rPr>
        <w:t xml:space="preserve">Compare the fundamental nutritional needs at various stages of development</w:t>
      </w:r>
    </w:p>
    <w:p>
      <w:pPr>
        <w:pStyle w:val="ListParagraph"/>
        <w:numPr>
          <w:ilvl w:val="0"/>
          <w:numId w:val="1"/>
        </w:numPr>
        <w:spacing w:after="60"/>
      </w:pPr>
      <w:r>
        <w:rPr>
          <w:sz w:val="24"/>
          <w:szCs w:val="24"/>
        </w:rPr>
        <w:t xml:space="preserve">Describe the relationship of digestion, absorption, and metabolism to optimal health at each developmental stage</w:t>
      </w:r>
    </w:p>
    <w:p>
      <w:pPr>
        <w:pStyle w:val="ListParagraph"/>
        <w:numPr>
          <w:ilvl w:val="0"/>
          <w:numId w:val="1"/>
        </w:numPr>
        <w:spacing w:after="60"/>
      </w:pPr>
      <w:r>
        <w:rPr>
          <w:sz w:val="24"/>
          <w:szCs w:val="24"/>
        </w:rPr>
        <w:t xml:space="preserve">Explain the structure and function of carbohydrates, lipids, proteins, vitamins, minerals, and water and their role in promoting and maintaining health</w:t>
      </w:r>
    </w:p>
    <w:p>
      <w:pPr>
        <w:pStyle w:val="ListParagraph"/>
        <w:numPr>
          <w:ilvl w:val="0"/>
          <w:numId w:val="1"/>
        </w:numPr>
        <w:spacing w:after="60"/>
      </w:pPr>
      <w:r>
        <w:rPr>
          <w:sz w:val="24"/>
          <w:szCs w:val="24"/>
        </w:rPr>
        <w:t xml:space="preserve">Evaluate the effects of governmental standards and public policy on food quality, food choices, nutrition, and health</w:t>
      </w:r>
    </w:p>
    <w:p>
      <w:pPr>
        <w:pStyle w:val="ListParagraph"/>
        <w:numPr>
          <w:ilvl w:val="0"/>
          <w:numId w:val="1"/>
        </w:numPr>
        <w:spacing w:after="60"/>
      </w:pPr>
      <w:r>
        <w:rPr>
          <w:sz w:val="24"/>
          <w:szCs w:val="24"/>
        </w:rPr>
        <w:t xml:space="preserve">Critique the accuracy, reliability, validity, and use of nutrition and food science information and research</w:t>
      </w:r>
    </w:p>
    <w:p>
      <w:pPr>
        <w:pStyle w:val="ListParagraph"/>
        <w:numPr>
          <w:ilvl w:val="0"/>
          <w:numId w:val="1"/>
        </w:numPr>
        <w:spacing w:after="60"/>
      </w:pPr>
      <w:r>
        <w:rPr>
          <w:sz w:val="24"/>
          <w:szCs w:val="24"/>
        </w:rPr>
        <w:t xml:space="preserve">Utilize nutritional knowledge and dietary guidelines to make food choices that promote health and well-being</w:t>
      </w:r>
    </w:p>
    <w:p>
      <w:pPr>
        <w:pStyle w:val="ListParagraph"/>
        <w:numPr>
          <w:ilvl w:val="0"/>
          <w:numId w:val="1"/>
        </w:numPr>
        <w:spacing w:after="60"/>
      </w:pPr>
      <w:r>
        <w:rPr>
          <w:sz w:val="24"/>
          <w:szCs w:val="24"/>
        </w:rPr>
        <w:t xml:space="preserve">Calculate key determinants of dietary standards for optimal health (caloric intake, AMDR, BMI, energy expenditure, etc.)</w:t>
      </w:r>
    </w:p>
    <w:p>
      <w:pPr>
        <w:pStyle w:val="ListParagraph"/>
        <w:numPr>
          <w:ilvl w:val="0"/>
          <w:numId w:val="1"/>
        </w:numPr>
        <w:spacing w:after="60"/>
      </w:pPr>
      <w:r>
        <w:rPr>
          <w:sz w:val="24"/>
          <w:szCs w:val="24"/>
        </w:rPr>
        <w:t xml:space="preserve">Integrate scientific information, research, and critical thinking into evidence-based practice</w:t>
      </w:r>
    </w:p>
    <w:p>
      <w:pPr>
        <w:pStyle w:val="ListParagraph"/>
        <w:numPr>
          <w:ilvl w:val="0"/>
          <w:numId w:val="1"/>
        </w:numPr>
        <w:spacing w:after="60"/>
      </w:pPr>
      <w:r>
        <w:rPr>
          <w:sz w:val="24"/>
          <w:szCs w:val="24"/>
        </w:rPr>
        <w:t xml:space="preserve">Assess strategies for dietary intakes, food access, and food safety that are relevant to different cultures, literacy levels, and socioeconomic statuses</w:t>
      </w:r>
    </w:p>
    <w:p>
      <w:pPr>
        <w:spacing w:after="120"/>
      </w:pPr>
      <w:r>
        <w:rPr>
          <w:sz w:val="24"/>
          <w:szCs w:val="24"/>
        </w:rPr>
        <w:t xml:space="preserve">Learning outcomes specific to each chapter will be available in Blackboard in the corresponding learning module.</w:t>
      </w:r>
    </w:p>
    <w:p>
      <w:pPr>
        <w:pStyle w:val="Heading2"/>
        <w:spacing w:after="120" w:before="240"/>
      </w:pPr>
      <w:r>
        <w:t xml:space="preserve">Teaching Procedures</w:t>
      </w:r>
    </w:p>
    <w:p>
      <w:pPr>
        <w:spacing w:after="120"/>
      </w:pPr>
      <w:r>
        <w:rPr>
          <w:sz w:val="24"/>
          <w:szCs w:val="24"/>
        </w:rPr>
        <w:t xml:space="preserve">This course incorporates a variety of in-class activities and discussions, in addition to assignments delivered through Blackboard. Chapter outlines and learning objectives are designed to emphasize the most significant course content. Current and, at times, controversial topics in science will be integrated into class discussions. Emphasis is placed on the scientific method and the development of critical thinking skills.</w:t>
      </w:r>
    </w:p>
    <w:p>
      <w:pPr>
        <w:spacing w:after="120"/>
      </w:pPr>
      <w:r>
        <w:rPr>
          <w:sz w:val="24"/>
          <w:szCs w:val="24"/>
        </w:rPr>
        <w:t xml:space="preserve">Students will complete a brief quiz for each chapter and four unit examinations. Face-to-face class meetings will be conducted in a seminar format and will include small-group discussions, exploratory questioning, and problem-solving activities grounded in lecture and assigned reading materials.</w:t>
      </w:r>
    </w:p>
    <w:p>
      <w:pPr>
        <w:spacing w:after="120"/>
      </w:pPr>
      <w:r>
        <w:rPr>
          <w:sz w:val="24"/>
          <w:szCs w:val="24"/>
        </w:rPr>
        <w:t xml:space="preserve"/>
      </w:r>
    </w:p>
    <w:p>
      <w:pPr>
        <w:pStyle w:val="ListParagraph"/>
        <w:numPr>
          <w:ilvl w:val="0"/>
          <w:numId w:val="1"/>
        </w:numPr>
        <w:spacing w:after="60"/>
      </w:pPr>
      <w:r>
        <w:rPr>
          <w:sz w:val="24"/>
          <w:szCs w:val="24"/>
        </w:rPr>
        <w:t xml:space="preserve">Respond to emails and text messages within 24 hours of receipt if received during business hours (Monday through Thursday, 8:00 AM to 4:00 PM)</w:t>
      </w:r>
    </w:p>
    <w:p>
      <w:pPr>
        <w:pStyle w:val="ListParagraph"/>
        <w:numPr>
          <w:ilvl w:val="0"/>
          <w:numId w:val="1"/>
        </w:numPr>
        <w:spacing w:after="60"/>
      </w:pPr>
      <w:r>
        <w:rPr>
          <w:sz w:val="24"/>
          <w:szCs w:val="24"/>
        </w:rPr>
        <w:t xml:space="preserve">Respond to emails and text messages received outside of business hours sometime during the next business day (for example, a message received on Friday evening at 10:57 PM will be responded to between 8:00 AM and 4:00 PM the following Monday)</w:t>
      </w:r>
    </w:p>
    <w:p>
      <w:pPr>
        <w:pStyle w:val="ListParagraph"/>
        <w:numPr>
          <w:ilvl w:val="0"/>
          <w:numId w:val="1"/>
        </w:numPr>
        <w:spacing w:after="60"/>
      </w:pPr>
      <w:r>
        <w:rPr>
          <w:sz w:val="24"/>
          <w:szCs w:val="24"/>
        </w:rPr>
        <w:t xml:space="preserve">Respond to phone messages following the same protocol; responses may be by text or email and not necessarily a phone call</w:t>
      </w:r>
    </w:p>
    <w:p>
      <w:pPr>
        <w:pStyle w:val="ListParagraph"/>
        <w:numPr>
          <w:ilvl w:val="0"/>
          <w:numId w:val="1"/>
        </w:numPr>
        <w:spacing w:after="60"/>
      </w:pPr>
      <w:r>
        <w:rPr>
          <w:sz w:val="24"/>
          <w:szCs w:val="24"/>
        </w:rPr>
        <w:t xml:space="preserve">Schedule Zoom virtual meetings upon request at times and days convenient to all parties involved</w:t>
      </w:r>
    </w:p>
    <w:p>
      <w:pPr>
        <w:pStyle w:val="ListParagraph"/>
        <w:numPr>
          <w:ilvl w:val="0"/>
          <w:numId w:val="1"/>
        </w:numPr>
        <w:spacing w:after="60"/>
      </w:pPr>
      <w:r>
        <w:rPr>
          <w:sz w:val="24"/>
          <w:szCs w:val="24"/>
        </w:rPr>
        <w:t xml:space="preserve">Provide prompt grading of assignments, completed within a week of the due date if submitted on time</w:t>
      </w:r>
    </w:p>
    <w:p>
      <w:pPr>
        <w:pStyle w:val="ListParagraph"/>
        <w:numPr>
          <w:ilvl w:val="0"/>
          <w:numId w:val="1"/>
        </w:numPr>
        <w:spacing w:after="60"/>
      </w:pPr>
      <w:r>
        <w:rPr>
          <w:sz w:val="24"/>
          <w:szCs w:val="24"/>
        </w:rPr>
        <w:t xml:space="preserve">Listen and help—please reach out when you need support</w:t>
      </w:r>
    </w:p>
    <w:p>
      <w:pPr>
        <w:pStyle w:val="Heading2"/>
        <w:spacing w:after="120" w:before="240"/>
      </w:pPr>
      <w:r>
        <w:t xml:space="preserve">Course Completion Requirements</w:t>
      </w:r>
    </w:p>
    <w:p>
      <w:pPr>
        <w:spacing w:after="120"/>
      </w:pPr>
      <w:r>
        <w:rPr>
          <w:sz w:val="24"/>
          <w:szCs w:val="24"/>
        </w:rPr>
        <w:t xml:space="preserve">Your success in this course depends on the following:</w:t>
      </w:r>
    </w:p>
    <w:p>
      <w:pPr>
        <w:pStyle w:val="ListParagraph"/>
        <w:numPr>
          <w:ilvl w:val="0"/>
          <w:numId w:val="1"/>
        </w:numPr>
        <w:spacing w:after="60"/>
      </w:pPr>
      <w:r>
        <w:rPr>
          <w:sz w:val="24"/>
          <w:szCs w:val="24"/>
        </w:rPr>
        <w:t xml:space="preserve">Weekly class participation</w:t>
      </w:r>
    </w:p>
    <w:p>
      <w:pPr>
        <w:pStyle w:val="ListParagraph"/>
        <w:numPr>
          <w:ilvl w:val="0"/>
          <w:numId w:val="1"/>
        </w:numPr>
        <w:spacing w:after="60"/>
      </w:pPr>
      <w:r>
        <w:rPr>
          <w:sz w:val="24"/>
          <w:szCs w:val="24"/>
        </w:rPr>
        <w:t xml:space="preserve">Interacting and collaborating with peers</w:t>
      </w:r>
    </w:p>
    <w:p>
      <w:pPr>
        <w:pStyle w:val="ListParagraph"/>
        <w:numPr>
          <w:ilvl w:val="0"/>
          <w:numId w:val="1"/>
        </w:numPr>
        <w:spacing w:after="60"/>
      </w:pPr>
      <w:r>
        <w:rPr>
          <w:sz w:val="24"/>
          <w:szCs w:val="24"/>
        </w:rPr>
        <w:t xml:space="preserve">Timely completion of all assignments</w:t>
      </w:r>
    </w:p>
    <w:p>
      <w:pPr>
        <w:pStyle w:val="ListParagraph"/>
        <w:numPr>
          <w:ilvl w:val="0"/>
          <w:numId w:val="1"/>
        </w:numPr>
        <w:spacing w:after="60"/>
      </w:pPr>
      <w:r>
        <w:rPr>
          <w:sz w:val="24"/>
          <w:szCs w:val="24"/>
        </w:rPr>
        <w:t xml:space="preserve">Proactively interacting with the professor publicly or privately</w:t>
      </w:r>
    </w:p>
    <w:p>
      <w:pPr>
        <w:pStyle w:val="ListParagraph"/>
        <w:numPr>
          <w:ilvl w:val="0"/>
          <w:numId w:val="1"/>
        </w:numPr>
        <w:spacing w:after="60"/>
      </w:pPr>
      <w:r>
        <w:rPr>
          <w:sz w:val="24"/>
          <w:szCs w:val="24"/>
        </w:rPr>
        <w:t xml:space="preserve">Reaching out for help when necessary</w:t>
      </w:r>
    </w:p>
    <w:p>
      <w:pPr>
        <w:pStyle w:val="Heading2"/>
        <w:spacing w:after="120" w:before="240"/>
      </w:pPr>
      <w:r>
        <w:t xml:space="preserve">Required Assignments</w:t>
      </w:r>
    </w:p>
    <w:p>
      <w:pPr>
        <w:spacing w:after="120"/>
      </w:pPr>
      <w:r>
        <w:rPr>
          <w:sz w:val="24"/>
          <w:szCs w:val="24"/>
        </w:rPr>
        <w:t xml:space="preserve">There will be 4 unit examinations. These may consist of multiple choice, matching, fill-in-the-blank, short answer, diagram labeling, and essay questions. The tests are not open-book. You will have a limited time to complete each exam.</w:t>
      </w:r>
    </w:p>
    <w:p>
      <w:pPr>
        <w:spacing w:after="120"/>
      </w:pPr>
      <w:r>
        <w:rPr>
          <w:sz w:val="24"/>
          <w:szCs w:val="24"/>
        </w:rPr>
        <w:t xml:space="preserve">There is a quiz for each chapter. They are relatively short and primarily multiple choice. You have enough time to use your textbook. Quizzes are designed to help you prepare for the exams.</w:t>
      </w:r>
    </w:p>
    <w:p>
      <w:pPr>
        <w:spacing w:after="120"/>
      </w:pPr>
      <w:r>
        <w:rPr>
          <w:sz w:val="24"/>
          <w:szCs w:val="24"/>
        </w:rPr>
        <w:t xml:space="preserve">Three to four weeks of dietary intakes will be recorded and analyzed. A formal report will discuss your dietary intakes and how they compare to the Recommended Dietary Intakes. This is a complete analysis and should include RDAs, DRIs, and personal comparisons for all macronutrients and major micronutrients that have defined values. Detailed instructions are posted in Blackboard.</w:t>
      </w:r>
    </w:p>
    <w:p>
      <w:pPr>
        <w:spacing w:after="120"/>
      </w:pPr>
      <w:r>
        <w:rPr>
          <w:sz w:val="24"/>
          <w:szCs w:val="24"/>
        </w:rPr>
        <w:t xml:space="preserve">A favorite recipe is to be assessed based on nutrition and calories. The recipe then needs to be adjusted to make it healthier. The before and after recipes need to include a nutritional breakdown and justification for why you changed the recipe. Detailed instructions are posted in Blackboard.</w:t>
      </w:r>
    </w:p>
    <w:p>
      <w:pPr>
        <w:pStyle w:val="Heading2"/>
        <w:spacing w:after="120" w:before="240"/>
      </w:pPr>
      <w:r>
        <w:t xml:space="preserve">Grading</w:t>
      </w:r>
    </w:p>
    <w:p>
      <w:pPr>
        <w:spacing w:after="120"/>
      </w:pPr>
      <w:r>
        <w:rPr>
          <w:sz w:val="24"/>
          <w:szCs w:val="24"/>
        </w:rPr>
        <w:t xml:space="preserve">The final numerical grade is comprised of both the lecture portion of the course and the assignments themselves, weighted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1"/>
              <w:left w:val="single" w:color="000000" w:sz="1"/>
              <w:bottom w:val="single" w:color="000000" w:sz="1"/>
              <w:right w:val="single" w:color="000000" w:sz="1"/>
            </w:tcBorders>
          </w:tcPr>
          <w:p>
            <w:r>
              <w:rPr>
                <w:b/>
                <w:bCs/>
                <w:sz w:val="24"/>
                <w:szCs w:val="24"/>
              </w:rPr>
              <w:t xml:space="preserve">Assessment Type</w:t>
            </w:r>
          </w:p>
        </w:tc>
        <w:tc>
          <w:tcPr>
            <w:tcBorders>
              <w:top w:val="single" w:color="000000" w:sz="1"/>
              <w:left w:val="single" w:color="000000" w:sz="1"/>
              <w:bottom w:val="single" w:color="000000" w:sz="1"/>
              <w:right w:val="single" w:color="000000" w:sz="1"/>
            </w:tcBorders>
          </w:tcPr>
          <w:p>
            <w:r>
              <w:rPr>
                <w:b/>
                <w:bCs/>
                <w:sz w:val="24"/>
                <w:szCs w:val="24"/>
              </w:rPr>
              <w:t xml:space="preserve">Weight</w:t>
            </w:r>
          </w:p>
        </w:tc>
      </w:tr>
      <w:tr>
        <w:tc>
          <w:tcPr>
            <w:tcBorders>
              <w:top w:val="single" w:color="000000" w:sz="1"/>
              <w:left w:val="single" w:color="000000" w:sz="1"/>
              <w:bottom w:val="single" w:color="000000" w:sz="1"/>
              <w:right w:val="single" w:color="000000" w:sz="1"/>
            </w:tcBorders>
          </w:tcPr>
          <w:p>
            <w:r>
              <w:rPr>
                <w:sz w:val="24"/>
                <w:szCs w:val="24"/>
              </w:rPr>
              <w:t xml:space="preserve">4 Unit Exams</w:t>
            </w:r>
          </w:p>
        </w:tc>
        <w:tc>
          <w:tcPr>
            <w:tcBorders>
              <w:top w:val="single" w:color="000000" w:sz="1"/>
              <w:left w:val="single" w:color="000000" w:sz="1"/>
              <w:bottom w:val="single" w:color="000000" w:sz="1"/>
              <w:right w:val="single" w:color="000000" w:sz="1"/>
            </w:tcBorders>
          </w:tcPr>
          <w:p>
            <w:r>
              <w:rPr>
                <w:sz w:val="24"/>
                <w:szCs w:val="24"/>
              </w:rPr>
              <w:t xml:space="preserve">50%</w:t>
            </w:r>
          </w:p>
        </w:tc>
      </w:tr>
      <w:tr>
        <w:tc>
          <w:tcPr>
            <w:tcBorders>
              <w:top w:val="single" w:color="000000" w:sz="1"/>
              <w:left w:val="single" w:color="000000" w:sz="1"/>
              <w:bottom w:val="single" w:color="000000" w:sz="1"/>
              <w:right w:val="single" w:color="000000" w:sz="1"/>
            </w:tcBorders>
          </w:tcPr>
          <w:p>
            <w:r>
              <w:rPr>
                <w:sz w:val="24"/>
                <w:szCs w:val="24"/>
              </w:rPr>
              <w:t xml:space="preserve">Quizzes</w:t>
            </w:r>
          </w:p>
        </w:tc>
        <w:tc>
          <w:tcPr>
            <w:tcBorders>
              <w:top w:val="single" w:color="000000" w:sz="1"/>
              <w:left w:val="single" w:color="000000" w:sz="1"/>
              <w:bottom w:val="single" w:color="000000" w:sz="1"/>
              <w:right w:val="single" w:color="000000" w:sz="1"/>
            </w:tcBorders>
          </w:tcPr>
          <w:p>
            <w:r>
              <w:rPr>
                <w:sz w:val="24"/>
                <w:szCs w:val="24"/>
              </w:rPr>
              <w:t xml:space="preserve">15%</w:t>
            </w:r>
          </w:p>
        </w:tc>
      </w:tr>
      <w:tr>
        <w:tc>
          <w:tcPr>
            <w:tcBorders>
              <w:top w:val="single" w:color="000000" w:sz="1"/>
              <w:left w:val="single" w:color="000000" w:sz="1"/>
              <w:bottom w:val="single" w:color="000000" w:sz="1"/>
              <w:right w:val="single" w:color="000000" w:sz="1"/>
            </w:tcBorders>
          </w:tcPr>
          <w:p>
            <w:r>
              <w:rPr>
                <w:sz w:val="24"/>
                <w:szCs w:val="24"/>
              </w:rPr>
              <w:t xml:space="preserve">Recipe Makeover and Analysis</w:t>
            </w:r>
          </w:p>
        </w:tc>
        <w:tc>
          <w:tcPr>
            <w:tcBorders>
              <w:top w:val="single" w:color="000000" w:sz="1"/>
              <w:left w:val="single" w:color="000000" w:sz="1"/>
              <w:bottom w:val="single" w:color="000000" w:sz="1"/>
              <w:right w:val="single" w:color="000000" w:sz="1"/>
            </w:tcBorders>
          </w:tcPr>
          <w:p>
            <w:r>
              <w:rPr>
                <w:sz w:val="24"/>
                <w:szCs w:val="24"/>
              </w:rPr>
              <w:t xml:space="preserve">10%</w:t>
            </w:r>
          </w:p>
        </w:tc>
      </w:tr>
      <w:tr>
        <w:tc>
          <w:tcPr>
            <w:tcBorders>
              <w:top w:val="single" w:color="000000" w:sz="1"/>
              <w:left w:val="single" w:color="000000" w:sz="1"/>
              <w:bottom w:val="single" w:color="000000" w:sz="1"/>
              <w:right w:val="single" w:color="000000" w:sz="1"/>
            </w:tcBorders>
          </w:tcPr>
          <w:p>
            <w:r>
              <w:rPr>
                <w:sz w:val="24"/>
                <w:szCs w:val="24"/>
              </w:rPr>
              <w:t xml:space="preserve">Diet Analysis</w:t>
            </w:r>
          </w:p>
        </w:tc>
        <w:tc>
          <w:tcPr>
            <w:tcBorders>
              <w:top w:val="single" w:color="000000" w:sz="1"/>
              <w:left w:val="single" w:color="000000" w:sz="1"/>
              <w:bottom w:val="single" w:color="000000" w:sz="1"/>
              <w:right w:val="single" w:color="000000" w:sz="1"/>
            </w:tcBorders>
          </w:tcPr>
          <w:p>
            <w:r>
              <w:rPr>
                <w:sz w:val="24"/>
                <w:szCs w:val="24"/>
              </w:rPr>
              <w:t xml:space="preserve">15%</w:t>
            </w:r>
          </w:p>
        </w:tc>
      </w:tr>
      <w:tr>
        <w:tc>
          <w:tcPr>
            <w:tcBorders>
              <w:top w:val="single" w:color="000000" w:sz="1"/>
              <w:left w:val="single" w:color="000000" w:sz="1"/>
              <w:bottom w:val="single" w:color="000000" w:sz="1"/>
              <w:right w:val="single" w:color="000000" w:sz="1"/>
            </w:tcBorders>
          </w:tcPr>
          <w:p>
            <w:r>
              <w:rPr>
                <w:sz w:val="24"/>
                <w:szCs w:val="24"/>
              </w:rPr>
              <w:t xml:space="preserve">In-Class Participation</w:t>
            </w:r>
          </w:p>
        </w:tc>
        <w:tc>
          <w:tcPr>
            <w:tcBorders>
              <w:top w:val="single" w:color="000000" w:sz="1"/>
              <w:left w:val="single" w:color="000000" w:sz="1"/>
              <w:bottom w:val="single" w:color="000000" w:sz="1"/>
              <w:right w:val="single" w:color="000000" w:sz="1"/>
            </w:tcBorders>
          </w:tcPr>
          <w:p>
            <w:r>
              <w:rPr>
                <w:sz w:val="24"/>
                <w:szCs w:val="24"/>
              </w:rPr>
              <w:t xml:space="preserve">10%</w:t>
            </w:r>
          </w:p>
        </w:tc>
      </w:tr>
      <w:tr>
        <w:tc>
          <w:tcPr>
            <w:tcBorders>
              <w:top w:val="single" w:color="000000" w:sz="1"/>
              <w:left w:val="single" w:color="000000" w:sz="1"/>
              <w:bottom w:val="single" w:color="000000" w:sz="1"/>
              <w:right w:val="single" w:color="000000" w:sz="1"/>
            </w:tcBorders>
          </w:tcPr>
          <w:p>
            <w:r>
              <w:rPr>
                <w:sz w:val="24"/>
                <w:szCs w:val="24"/>
              </w:rPr>
              <w:t xml:space="preserve">Total</w:t>
            </w:r>
          </w:p>
        </w:tc>
        <w:tc>
          <w:tcPr>
            <w:tcBorders>
              <w:top w:val="single" w:color="000000" w:sz="1"/>
              <w:left w:val="single" w:color="000000" w:sz="1"/>
              <w:bottom w:val="single" w:color="000000" w:sz="1"/>
              <w:right w:val="single" w:color="000000" w:sz="1"/>
            </w:tcBorders>
          </w:tcPr>
          <w:p>
            <w:r>
              <w:rPr>
                <w:sz w:val="24"/>
                <w:szCs w:val="24"/>
              </w:rPr>
              <w:t xml:space="preserve">100%</w:t>
            </w:r>
          </w:p>
        </w:tc>
      </w:tr>
    </w:tbl>
    <w:p>
      <w:pPr>
        <w:spacing w:after="120"/>
      </w:pPr>
    </w:p>
    <w:p>
      <w:pPr>
        <w:spacing w:after="120"/>
      </w:pPr>
      <w:r>
        <w:rPr>
          <w:sz w:val="24"/>
          <w:szCs w:val="24"/>
        </w:rPr>
        <w:t xml:space="preserve">Individual grades and averages can be found in MY GRADES in Blackboard. Grades posted in Blackboard are weighted and represent a close approximation of your final course grade.</w:t>
      </w:r>
    </w:p>
    <w:p>
      <w:pPr>
        <w:spacing w:after="120"/>
      </w:pPr>
      <w:r>
        <w:rPr>
          <w:sz w:val="24"/>
          <w:szCs w:val="24"/>
        </w:rPr>
        <w:t xml:space="preserve">If you have any questions regarding your grades, reach out for an explanation.</w:t>
      </w:r>
    </w:p>
    <w:p>
      <w:pPr>
        <w:spacing w:after="120"/>
      </w:pPr>
      <w:r>
        <w:rPr>
          <w:sz w:val="24"/>
          <w:szCs w:val="24"/>
        </w:rPr>
        <w:t xml:space="preserve">The final course numerical score will be assigned a letter grade according to the QCC grading policy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1"/>
              <w:left w:val="single" w:color="000000" w:sz="1"/>
              <w:bottom w:val="single" w:color="000000" w:sz="1"/>
              <w:right w:val="single" w:color="000000" w:sz="1"/>
            </w:tcBorders>
          </w:tcPr>
          <w:p>
            <w:r>
              <w:rPr>
                <w:b/>
                <w:bCs/>
                <w:sz w:val="24"/>
                <w:szCs w:val="24"/>
              </w:rPr>
              <w:t xml:space="preserve">Letter Grade</w:t>
            </w:r>
          </w:p>
        </w:tc>
        <w:tc>
          <w:tcPr>
            <w:tcBorders>
              <w:top w:val="single" w:color="000000" w:sz="1"/>
              <w:left w:val="single" w:color="000000" w:sz="1"/>
              <w:bottom w:val="single" w:color="000000" w:sz="1"/>
              <w:right w:val="single" w:color="000000" w:sz="1"/>
            </w:tcBorders>
          </w:tcPr>
          <w:p>
            <w:r>
              <w:rPr>
                <w:b/>
                <w:bCs/>
                <w:sz w:val="24"/>
                <w:szCs w:val="24"/>
              </w:rPr>
              <w:t xml:space="preserve">Numerical Range</w:t>
            </w:r>
          </w:p>
        </w:tc>
      </w:tr>
      <w:tr>
        <w:tc>
          <w:tcPr>
            <w:tcBorders>
              <w:top w:val="single" w:color="000000" w:sz="1"/>
              <w:left w:val="single" w:color="000000" w:sz="1"/>
              <w:bottom w:val="single" w:color="000000" w:sz="1"/>
              <w:right w:val="single" w:color="000000" w:sz="1"/>
            </w:tcBorders>
          </w:tcPr>
          <w:p>
            <w:r>
              <w:rPr>
                <w:sz w:val="24"/>
                <w:szCs w:val="24"/>
              </w:rPr>
              <w:t xml:space="preserve">A</w:t>
            </w:r>
          </w:p>
        </w:tc>
        <w:tc>
          <w:tcPr>
            <w:tcBorders>
              <w:top w:val="single" w:color="000000" w:sz="1"/>
              <w:left w:val="single" w:color="000000" w:sz="1"/>
              <w:bottom w:val="single" w:color="000000" w:sz="1"/>
              <w:right w:val="single" w:color="000000" w:sz="1"/>
            </w:tcBorders>
          </w:tcPr>
          <w:p>
            <w:r>
              <w:rPr>
                <w:sz w:val="24"/>
                <w:szCs w:val="24"/>
              </w:rPr>
              <w:t xml:space="preserve">95–100</w:t>
            </w:r>
          </w:p>
        </w:tc>
      </w:tr>
      <w:tr>
        <w:tc>
          <w:tcPr>
            <w:tcBorders>
              <w:top w:val="single" w:color="000000" w:sz="1"/>
              <w:left w:val="single" w:color="000000" w:sz="1"/>
              <w:bottom w:val="single" w:color="000000" w:sz="1"/>
              <w:right w:val="single" w:color="000000" w:sz="1"/>
            </w:tcBorders>
          </w:tcPr>
          <w:p>
            <w:r>
              <w:rPr>
                <w:sz w:val="24"/>
                <w:szCs w:val="24"/>
              </w:rPr>
              <w:t xml:space="preserve">A−</w:t>
            </w:r>
          </w:p>
        </w:tc>
        <w:tc>
          <w:tcPr>
            <w:tcBorders>
              <w:top w:val="single" w:color="000000" w:sz="1"/>
              <w:left w:val="single" w:color="000000" w:sz="1"/>
              <w:bottom w:val="single" w:color="000000" w:sz="1"/>
              <w:right w:val="single" w:color="000000" w:sz="1"/>
            </w:tcBorders>
          </w:tcPr>
          <w:p>
            <w:r>
              <w:rPr>
                <w:sz w:val="24"/>
                <w:szCs w:val="24"/>
              </w:rPr>
              <w:t xml:space="preserve">90–94</w:t>
            </w:r>
          </w:p>
        </w:tc>
      </w:tr>
      <w:tr>
        <w:tc>
          <w:tcPr>
            <w:tcBorders>
              <w:top w:val="single" w:color="000000" w:sz="1"/>
              <w:left w:val="single" w:color="000000" w:sz="1"/>
              <w:bottom w:val="single" w:color="000000" w:sz="1"/>
              <w:right w:val="single" w:color="000000" w:sz="1"/>
            </w:tcBorders>
          </w:tcPr>
          <w:p>
            <w:r>
              <w:rPr>
                <w:sz w:val="24"/>
                <w:szCs w:val="24"/>
              </w:rPr>
              <w:t xml:space="preserve">B+</w:t>
            </w:r>
          </w:p>
        </w:tc>
        <w:tc>
          <w:tcPr>
            <w:tcBorders>
              <w:top w:val="single" w:color="000000" w:sz="1"/>
              <w:left w:val="single" w:color="000000" w:sz="1"/>
              <w:bottom w:val="single" w:color="000000" w:sz="1"/>
              <w:right w:val="single" w:color="000000" w:sz="1"/>
            </w:tcBorders>
          </w:tcPr>
          <w:p>
            <w:r>
              <w:rPr>
                <w:sz w:val="24"/>
                <w:szCs w:val="24"/>
              </w:rPr>
              <w:t xml:space="preserve">87–89</w:t>
            </w:r>
          </w:p>
        </w:tc>
      </w:tr>
      <w:tr>
        <w:tc>
          <w:tcPr>
            <w:tcBorders>
              <w:top w:val="single" w:color="000000" w:sz="1"/>
              <w:left w:val="single" w:color="000000" w:sz="1"/>
              <w:bottom w:val="single" w:color="000000" w:sz="1"/>
              <w:right w:val="single" w:color="000000" w:sz="1"/>
            </w:tcBorders>
          </w:tcPr>
          <w:p>
            <w:r>
              <w:rPr>
                <w:sz w:val="24"/>
                <w:szCs w:val="24"/>
              </w:rPr>
              <w:t xml:space="preserve">B</w:t>
            </w:r>
          </w:p>
        </w:tc>
        <w:tc>
          <w:tcPr>
            <w:tcBorders>
              <w:top w:val="single" w:color="000000" w:sz="1"/>
              <w:left w:val="single" w:color="000000" w:sz="1"/>
              <w:bottom w:val="single" w:color="000000" w:sz="1"/>
              <w:right w:val="single" w:color="000000" w:sz="1"/>
            </w:tcBorders>
          </w:tcPr>
          <w:p>
            <w:r>
              <w:rPr>
                <w:sz w:val="24"/>
                <w:szCs w:val="24"/>
              </w:rPr>
              <w:t xml:space="preserve">83–86</w:t>
            </w:r>
          </w:p>
        </w:tc>
      </w:tr>
      <w:tr>
        <w:tc>
          <w:tcPr>
            <w:tcBorders>
              <w:top w:val="single" w:color="000000" w:sz="1"/>
              <w:left w:val="single" w:color="000000" w:sz="1"/>
              <w:bottom w:val="single" w:color="000000" w:sz="1"/>
              <w:right w:val="single" w:color="000000" w:sz="1"/>
            </w:tcBorders>
          </w:tcPr>
          <w:p>
            <w:r>
              <w:rPr>
                <w:sz w:val="24"/>
                <w:szCs w:val="24"/>
              </w:rPr>
              <w:t xml:space="preserve">B−</w:t>
            </w:r>
          </w:p>
        </w:tc>
        <w:tc>
          <w:tcPr>
            <w:tcBorders>
              <w:top w:val="single" w:color="000000" w:sz="1"/>
              <w:left w:val="single" w:color="000000" w:sz="1"/>
              <w:bottom w:val="single" w:color="000000" w:sz="1"/>
              <w:right w:val="single" w:color="000000" w:sz="1"/>
            </w:tcBorders>
          </w:tcPr>
          <w:p>
            <w:r>
              <w:rPr>
                <w:sz w:val="24"/>
                <w:szCs w:val="24"/>
              </w:rPr>
              <w:t xml:space="preserve">80–82</w:t>
            </w:r>
          </w:p>
        </w:tc>
      </w:tr>
      <w:tr>
        <w:tc>
          <w:tcPr>
            <w:tcBorders>
              <w:top w:val="single" w:color="000000" w:sz="1"/>
              <w:left w:val="single" w:color="000000" w:sz="1"/>
              <w:bottom w:val="single" w:color="000000" w:sz="1"/>
              <w:right w:val="single" w:color="000000" w:sz="1"/>
            </w:tcBorders>
          </w:tcPr>
          <w:p>
            <w:r>
              <w:rPr>
                <w:sz w:val="24"/>
                <w:szCs w:val="24"/>
              </w:rPr>
              <w:t xml:space="preserve">C+</w:t>
            </w:r>
          </w:p>
        </w:tc>
        <w:tc>
          <w:tcPr>
            <w:tcBorders>
              <w:top w:val="single" w:color="000000" w:sz="1"/>
              <w:left w:val="single" w:color="000000" w:sz="1"/>
              <w:bottom w:val="single" w:color="000000" w:sz="1"/>
              <w:right w:val="single" w:color="000000" w:sz="1"/>
            </w:tcBorders>
          </w:tcPr>
          <w:p>
            <w:r>
              <w:rPr>
                <w:sz w:val="24"/>
                <w:szCs w:val="24"/>
              </w:rPr>
              <w:t xml:space="preserve">77–79</w:t>
            </w:r>
          </w:p>
        </w:tc>
      </w:tr>
      <w:tr>
        <w:tc>
          <w:tcPr>
            <w:tcBorders>
              <w:top w:val="single" w:color="000000" w:sz="1"/>
              <w:left w:val="single" w:color="000000" w:sz="1"/>
              <w:bottom w:val="single" w:color="000000" w:sz="1"/>
              <w:right w:val="single" w:color="000000" w:sz="1"/>
            </w:tcBorders>
          </w:tcPr>
          <w:p>
            <w:r>
              <w:rPr>
                <w:sz w:val="24"/>
                <w:szCs w:val="24"/>
              </w:rPr>
              <w:t xml:space="preserve">C</w:t>
            </w:r>
          </w:p>
        </w:tc>
        <w:tc>
          <w:tcPr>
            <w:tcBorders>
              <w:top w:val="single" w:color="000000" w:sz="1"/>
              <w:left w:val="single" w:color="000000" w:sz="1"/>
              <w:bottom w:val="single" w:color="000000" w:sz="1"/>
              <w:right w:val="single" w:color="000000" w:sz="1"/>
            </w:tcBorders>
          </w:tcPr>
          <w:p>
            <w:r>
              <w:rPr>
                <w:sz w:val="24"/>
                <w:szCs w:val="24"/>
              </w:rPr>
              <w:t xml:space="preserve">73–76</w:t>
            </w:r>
          </w:p>
        </w:tc>
      </w:tr>
      <w:tr>
        <w:tc>
          <w:tcPr>
            <w:tcBorders>
              <w:top w:val="single" w:color="000000" w:sz="1"/>
              <w:left w:val="single" w:color="000000" w:sz="1"/>
              <w:bottom w:val="single" w:color="000000" w:sz="1"/>
              <w:right w:val="single" w:color="000000" w:sz="1"/>
            </w:tcBorders>
          </w:tcPr>
          <w:p>
            <w:r>
              <w:rPr>
                <w:sz w:val="24"/>
                <w:szCs w:val="24"/>
              </w:rPr>
              <w:t xml:space="preserve">C−</w:t>
            </w:r>
          </w:p>
        </w:tc>
        <w:tc>
          <w:tcPr>
            <w:tcBorders>
              <w:top w:val="single" w:color="000000" w:sz="1"/>
              <w:left w:val="single" w:color="000000" w:sz="1"/>
              <w:bottom w:val="single" w:color="000000" w:sz="1"/>
              <w:right w:val="single" w:color="000000" w:sz="1"/>
            </w:tcBorders>
          </w:tcPr>
          <w:p>
            <w:r>
              <w:rPr>
                <w:sz w:val="24"/>
                <w:szCs w:val="24"/>
              </w:rPr>
              <w:t xml:space="preserve">70–72</w:t>
            </w:r>
          </w:p>
        </w:tc>
      </w:tr>
      <w:tr>
        <w:tc>
          <w:tcPr>
            <w:tcBorders>
              <w:top w:val="single" w:color="000000" w:sz="1"/>
              <w:left w:val="single" w:color="000000" w:sz="1"/>
              <w:bottom w:val="single" w:color="000000" w:sz="1"/>
              <w:right w:val="single" w:color="000000" w:sz="1"/>
            </w:tcBorders>
          </w:tcPr>
          <w:p>
            <w:r>
              <w:rPr>
                <w:sz w:val="24"/>
                <w:szCs w:val="24"/>
              </w:rPr>
              <w:t xml:space="preserve">D+</w:t>
            </w:r>
          </w:p>
        </w:tc>
        <w:tc>
          <w:tcPr>
            <w:tcBorders>
              <w:top w:val="single" w:color="000000" w:sz="1"/>
              <w:left w:val="single" w:color="000000" w:sz="1"/>
              <w:bottom w:val="single" w:color="000000" w:sz="1"/>
              <w:right w:val="single" w:color="000000" w:sz="1"/>
            </w:tcBorders>
          </w:tcPr>
          <w:p>
            <w:r>
              <w:rPr>
                <w:sz w:val="24"/>
                <w:szCs w:val="24"/>
              </w:rPr>
              <w:t xml:space="preserve">67–69</w:t>
            </w:r>
          </w:p>
        </w:tc>
      </w:tr>
      <w:tr>
        <w:tc>
          <w:tcPr>
            <w:tcBorders>
              <w:top w:val="single" w:color="000000" w:sz="1"/>
              <w:left w:val="single" w:color="000000" w:sz="1"/>
              <w:bottom w:val="single" w:color="000000" w:sz="1"/>
              <w:right w:val="single" w:color="000000" w:sz="1"/>
            </w:tcBorders>
          </w:tcPr>
          <w:p>
            <w:r>
              <w:rPr>
                <w:sz w:val="24"/>
                <w:szCs w:val="24"/>
              </w:rPr>
              <w:t xml:space="preserve">D</w:t>
            </w:r>
          </w:p>
        </w:tc>
        <w:tc>
          <w:tcPr>
            <w:tcBorders>
              <w:top w:val="single" w:color="000000" w:sz="1"/>
              <w:left w:val="single" w:color="000000" w:sz="1"/>
              <w:bottom w:val="single" w:color="000000" w:sz="1"/>
              <w:right w:val="single" w:color="000000" w:sz="1"/>
            </w:tcBorders>
          </w:tcPr>
          <w:p>
            <w:r>
              <w:rPr>
                <w:sz w:val="24"/>
                <w:szCs w:val="24"/>
              </w:rPr>
              <w:t xml:space="preserve">63–66</w:t>
            </w:r>
          </w:p>
        </w:tc>
      </w:tr>
      <w:tr>
        <w:tc>
          <w:tcPr>
            <w:tcBorders>
              <w:top w:val="single" w:color="000000" w:sz="1"/>
              <w:left w:val="single" w:color="000000" w:sz="1"/>
              <w:bottom w:val="single" w:color="000000" w:sz="1"/>
              <w:right w:val="single" w:color="000000" w:sz="1"/>
            </w:tcBorders>
          </w:tcPr>
          <w:p>
            <w:r>
              <w:rPr>
                <w:sz w:val="24"/>
                <w:szCs w:val="24"/>
              </w:rPr>
              <w:t xml:space="preserve">D−</w:t>
            </w:r>
          </w:p>
        </w:tc>
        <w:tc>
          <w:tcPr>
            <w:tcBorders>
              <w:top w:val="single" w:color="000000" w:sz="1"/>
              <w:left w:val="single" w:color="000000" w:sz="1"/>
              <w:bottom w:val="single" w:color="000000" w:sz="1"/>
              <w:right w:val="single" w:color="000000" w:sz="1"/>
            </w:tcBorders>
          </w:tcPr>
          <w:p>
            <w:r>
              <w:rPr>
                <w:sz w:val="24"/>
                <w:szCs w:val="24"/>
              </w:rPr>
              <w:t xml:space="preserve">60–62</w:t>
            </w:r>
          </w:p>
        </w:tc>
      </w:tr>
      <w:tr>
        <w:tc>
          <w:tcPr>
            <w:tcBorders>
              <w:top w:val="single" w:color="000000" w:sz="1"/>
              <w:left w:val="single" w:color="000000" w:sz="1"/>
              <w:bottom w:val="single" w:color="000000" w:sz="1"/>
              <w:right w:val="single" w:color="000000" w:sz="1"/>
            </w:tcBorders>
          </w:tcPr>
          <w:p>
            <w:r>
              <w:rPr>
                <w:sz w:val="24"/>
                <w:szCs w:val="24"/>
              </w:rPr>
              <w:t xml:space="preserve">F</w:t>
            </w:r>
          </w:p>
        </w:tc>
        <w:tc>
          <w:tcPr>
            <w:tcBorders>
              <w:top w:val="single" w:color="000000" w:sz="1"/>
              <w:left w:val="single" w:color="000000" w:sz="1"/>
              <w:bottom w:val="single" w:color="000000" w:sz="1"/>
              <w:right w:val="single" w:color="000000" w:sz="1"/>
            </w:tcBorders>
          </w:tcPr>
          <w:p>
            <w:r>
              <w:rPr>
                <w:sz w:val="24"/>
                <w:szCs w:val="24"/>
              </w:rPr>
              <w:t xml:space="preserve">59 or below</w:t>
            </w:r>
          </w:p>
        </w:tc>
      </w:tr>
    </w:tbl>
    <w:p>
      <w:pPr>
        <w:spacing w:after="120"/>
      </w:pPr>
    </w:p>
    <w:p>
      <w:pPr>
        <w:spacing w:after="120"/>
      </w:pPr>
      <w:r>
        <w:rPr>
          <w:sz w:val="24"/>
          <w:szCs w:val="24"/>
        </w:rPr>
        <w:t xml:space="preserve">Please see the </w:t>
      </w:r>
      <w:hyperlink w:history="1" r:id="rIdkwhp34o-bm87wtcci5syb">
        <w:r>
          <w:rPr>
            <w:rStyle w:val="Hyperlink"/>
            <w:sz w:val="24"/>
            <w:szCs w:val="24"/>
          </w:rPr>
          <w:t xml:space="preserve">Quinsigamond Community College Catalog</w:t>
        </w:r>
      </w:hyperlink>
      <w:r>
        <w:rPr>
          <w:sz w:val="24"/>
          <w:szCs w:val="24"/>
        </w:rPr>
        <w:t xml:space="preserve"> for detailed information on the college's grading policy.</w:t>
      </w:r>
    </w:p>
    <w:p>
      <w:pPr>
        <w:pStyle w:val="Heading2"/>
        <w:spacing w:after="120" w:before="240"/>
      </w:pPr>
      <w:r>
        <w:t xml:space="preserve">Course Schedule and Topics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000000" w:sz="1"/>
              <w:left w:val="single" w:color="000000" w:sz="1"/>
              <w:bottom w:val="single" w:color="000000" w:sz="1"/>
              <w:right w:val="single" w:color="000000" w:sz="1"/>
            </w:tcBorders>
          </w:tcPr>
          <w:p>
            <w:r>
              <w:rPr>
                <w:b/>
                <w:bCs/>
                <w:sz w:val="24"/>
                <w:szCs w:val="24"/>
              </w:rPr>
              <w:t xml:space="preserve">Week</w:t>
            </w:r>
          </w:p>
        </w:tc>
        <w:tc>
          <w:tcPr>
            <w:tcBorders>
              <w:top w:val="single" w:color="000000" w:sz="1"/>
              <w:left w:val="single" w:color="000000" w:sz="1"/>
              <w:bottom w:val="single" w:color="000000" w:sz="1"/>
              <w:right w:val="single" w:color="000000" w:sz="1"/>
            </w:tcBorders>
          </w:tcPr>
          <w:p>
            <w:r>
              <w:rPr>
                <w:b/>
                <w:bCs/>
                <w:sz w:val="24"/>
                <w:szCs w:val="24"/>
              </w:rPr>
              <w:t xml:space="preserve">Core Topic</w:t>
            </w:r>
          </w:p>
        </w:tc>
        <w:tc>
          <w:tcPr>
            <w:tcBorders>
              <w:top w:val="single" w:color="000000" w:sz="1"/>
              <w:left w:val="single" w:color="000000" w:sz="1"/>
              <w:bottom w:val="single" w:color="000000" w:sz="1"/>
              <w:right w:val="single" w:color="000000" w:sz="1"/>
            </w:tcBorders>
          </w:tcPr>
          <w:p>
            <w:r>
              <w:rPr>
                <w:b/>
                <w:bCs/>
                <w:sz w:val="24"/>
                <w:szCs w:val="24"/>
              </w:rPr>
              <w:t xml:space="preserve">Learning Objectives</w:t>
            </w:r>
          </w:p>
        </w:tc>
        <w:tc>
          <w:tcPr>
            <w:tcBorders>
              <w:top w:val="single" w:color="000000" w:sz="1"/>
              <w:left w:val="single" w:color="000000" w:sz="1"/>
              <w:bottom w:val="single" w:color="000000" w:sz="1"/>
              <w:right w:val="single" w:color="000000" w:sz="1"/>
            </w:tcBorders>
          </w:tcPr>
          <w:p>
            <w:r>
              <w:rPr>
                <w:b/>
                <w:bCs/>
                <w:sz w:val="24"/>
                <w:szCs w:val="24"/>
              </w:rPr>
              <w:t xml:space="preserve">Reading Assignment</w:t>
            </w:r>
          </w:p>
        </w:tc>
        <w:tc>
          <w:tcPr>
            <w:tcBorders>
              <w:top w:val="single" w:color="000000" w:sz="1"/>
              <w:left w:val="single" w:color="000000" w:sz="1"/>
              <w:bottom w:val="single" w:color="000000" w:sz="1"/>
              <w:right w:val="single" w:color="000000" w:sz="1"/>
            </w:tcBorders>
          </w:tcPr>
          <w:p>
            <w:r>
              <w:rPr>
                <w:b/>
                <w:bCs/>
                <w:sz w:val="24"/>
                <w:szCs w:val="24"/>
              </w:rPr>
              <w:t xml:space="preserve">Unit Topics</w:t>
            </w:r>
          </w:p>
        </w:tc>
        <w:tc>
          <w:tcPr>
            <w:tcBorders>
              <w:top w:val="single" w:color="000000" w:sz="1"/>
              <w:left w:val="single" w:color="000000" w:sz="1"/>
              <w:bottom w:val="single" w:color="000000" w:sz="1"/>
              <w:right w:val="single" w:color="000000" w:sz="1"/>
            </w:tcBorders>
          </w:tcPr>
          <w:p>
            <w:r>
              <w:rPr>
                <w:b/>
                <w:bCs/>
                <w:sz w:val="24"/>
                <w:szCs w:val="24"/>
              </w:rPr>
              <w:t xml:space="preserve">Assignments Due</w:t>
            </w:r>
          </w:p>
        </w:tc>
      </w:tr>
      <w:tr>
        <w:tc>
          <w:tcPr>
            <w:tcBorders>
              <w:top w:val="single" w:color="000000" w:sz="1"/>
              <w:left w:val="single" w:color="000000" w:sz="1"/>
              <w:bottom w:val="single" w:color="000000" w:sz="1"/>
              <w:right w:val="single" w:color="000000" w:sz="1"/>
            </w:tcBorders>
          </w:tcPr>
          <w:p>
            <w:r>
              <w:rPr>
                <w:sz w:val="24"/>
                <w:szCs w:val="24"/>
              </w:rPr>
              <w:t xml:space="preserve">Week 0: Prior to Class Starting</w:t>
            </w:r>
          </w:p>
        </w:tc>
        <w:tc>
          <w:tcPr>
            <w:tcBorders>
              <w:top w:val="single" w:color="000000" w:sz="1"/>
              <w:left w:val="single" w:color="000000" w:sz="1"/>
              <w:bottom w:val="single" w:color="000000" w:sz="1"/>
              <w:right w:val="single" w:color="000000" w:sz="1"/>
            </w:tcBorders>
          </w:tcPr>
          <w:p>
            <w:r>
              <w:rPr>
                <w:sz w:val="24"/>
                <w:szCs w:val="24"/>
              </w:rPr>
              <w:t xml:space="preserve">Getting Started</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Materials posted on the Blackboard Start Up page</w:t>
            </w:r>
          </w:p>
        </w:tc>
        <w:tc>
          <w:tcPr>
            <w:tcBorders>
              <w:top w:val="single" w:color="000000" w:sz="1"/>
              <w:left w:val="single" w:color="000000" w:sz="1"/>
              <w:bottom w:val="single" w:color="000000" w:sz="1"/>
              <w:right w:val="single" w:color="000000" w:sz="1"/>
            </w:tcBorders>
          </w:tcPr>
          <w:p>
            <w:r>
              <w:rPr>
                <w:sz w:val="24"/>
                <w:szCs w:val="24"/>
              </w:rPr>
              <w:t xml:space="preserve">Navigating Blackboard Course; Orient Yourself</w:t>
            </w:r>
          </w:p>
        </w:tc>
        <w:tc>
          <w:tcPr>
            <w:tcBorders>
              <w:top w:val="single" w:color="000000" w:sz="1"/>
              <w:left w:val="single" w:color="000000" w:sz="1"/>
              <w:bottom w:val="single" w:color="000000" w:sz="1"/>
              <w:right w:val="single" w:color="000000" w:sz="1"/>
            </w:tcBorders>
          </w:tcPr>
          <w:p>
            <w:r>
              <w:rPr>
                <w:sz w:val="24"/>
                <w:szCs w:val="24"/>
              </w:rPr>
              <w:t xml:space="preserve">Purchase Textbook</w:t>
            </w:r>
          </w:p>
        </w:tc>
      </w:tr>
      <w:tr>
        <w:tc>
          <w:tcPr>
            <w:tcBorders>
              <w:top w:val="single" w:color="000000" w:sz="1"/>
              <w:left w:val="single" w:color="000000" w:sz="1"/>
              <w:bottom w:val="single" w:color="000000" w:sz="1"/>
              <w:right w:val="single" w:color="000000" w:sz="1"/>
            </w:tcBorders>
          </w:tcPr>
          <w:p>
            <w:r>
              <w:rPr>
                <w:sz w:val="24"/>
                <w:szCs w:val="24"/>
              </w:rPr>
              <w:t xml:space="preserve">Week 1: January 28, 2026</w:t>
            </w:r>
          </w:p>
        </w:tc>
        <w:tc>
          <w:tcPr>
            <w:tcBorders>
              <w:top w:val="single" w:color="000000" w:sz="1"/>
              <w:left w:val="single" w:color="000000" w:sz="1"/>
              <w:bottom w:val="single" w:color="000000" w:sz="1"/>
              <w:right w:val="single" w:color="000000" w:sz="1"/>
            </w:tcBorders>
          </w:tcPr>
          <w:p>
            <w:r>
              <w:rPr>
                <w:sz w:val="24"/>
                <w:szCs w:val="24"/>
              </w:rPr>
              <w:t xml:space="preserve">Nutrition: Linking Food and Health</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1</w:t>
            </w:r>
          </w:p>
        </w:tc>
        <w:tc>
          <w:tcPr>
            <w:tcBorders>
              <w:top w:val="single" w:color="000000" w:sz="1"/>
              <w:left w:val="single" w:color="000000" w:sz="1"/>
              <w:bottom w:val="single" w:color="000000" w:sz="1"/>
              <w:right w:val="single" w:color="000000" w:sz="1"/>
            </w:tcBorders>
          </w:tcPr>
          <w:p>
            <w:r>
              <w:rPr>
                <w:sz w:val="24"/>
                <w:szCs w:val="24"/>
              </w:rPr>
              <w:t xml:space="preserve">What are Nutrients; Scientific Methodology; Evaluating Nutritional Research and Scientific Claims; Trustworthy Nutritional Advice; Diet and Gene Expression; Gut Biome</w:t>
            </w:r>
          </w:p>
        </w:tc>
        <w:tc>
          <w:tcPr>
            <w:tcBorders>
              <w:top w:val="single" w:color="000000" w:sz="1"/>
              <w:left w:val="single" w:color="000000" w:sz="1"/>
              <w:bottom w:val="single" w:color="000000" w:sz="1"/>
              <w:right w:val="single" w:color="000000" w:sz="1"/>
            </w:tcBorders>
          </w:tcPr>
          <w:p>
            <w:r>
              <w:rPr>
                <w:sz w:val="24"/>
                <w:szCs w:val="24"/>
              </w:rPr>
              <w:t xml:space="preserve">Quiz—Chapter 1</w:t>
            </w:r>
          </w:p>
        </w:tc>
      </w:tr>
      <w:tr>
        <w:tc>
          <w:tcPr>
            <w:tcBorders>
              <w:top w:val="single" w:color="000000" w:sz="1"/>
              <w:left w:val="single" w:color="000000" w:sz="1"/>
              <w:bottom w:val="single" w:color="000000" w:sz="1"/>
              <w:right w:val="single" w:color="000000" w:sz="1"/>
            </w:tcBorders>
          </w:tcPr>
          <w:p>
            <w:r>
              <w:rPr>
                <w:sz w:val="24"/>
                <w:szCs w:val="24"/>
              </w:rPr>
              <w:t xml:space="preserve">Week 2: February 4, 2026</w:t>
            </w:r>
          </w:p>
        </w:tc>
        <w:tc>
          <w:tcPr>
            <w:tcBorders>
              <w:top w:val="single" w:color="000000" w:sz="1"/>
              <w:left w:val="single" w:color="000000" w:sz="1"/>
              <w:bottom w:val="single" w:color="000000" w:sz="1"/>
              <w:right w:val="single" w:color="000000" w:sz="1"/>
            </w:tcBorders>
          </w:tcPr>
          <w:p>
            <w:r>
              <w:rPr>
                <w:sz w:val="24"/>
                <w:szCs w:val="24"/>
              </w:rPr>
              <w:t xml:space="preserve">Designing a Healthful Diet</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2</w:t>
            </w:r>
          </w:p>
        </w:tc>
        <w:tc>
          <w:tcPr>
            <w:tcBorders>
              <w:top w:val="single" w:color="000000" w:sz="1"/>
              <w:left w:val="single" w:color="000000" w:sz="1"/>
              <w:bottom w:val="single" w:color="000000" w:sz="1"/>
              <w:right w:val="single" w:color="000000" w:sz="1"/>
            </w:tcBorders>
          </w:tcPr>
          <w:p>
            <w:r>
              <w:rPr>
                <w:sz w:val="24"/>
                <w:szCs w:val="24"/>
              </w:rPr>
              <w:t xml:space="preserve">Five Components of a Healthy Diet; Motivations for Food Choices; Reading Food Labels; Regulatory Organizations; Eating Patterns</w:t>
            </w:r>
          </w:p>
        </w:tc>
        <w:tc>
          <w:tcPr>
            <w:tcBorders>
              <w:top w:val="single" w:color="000000" w:sz="1"/>
              <w:left w:val="single" w:color="000000" w:sz="1"/>
              <w:bottom w:val="single" w:color="000000" w:sz="1"/>
              <w:right w:val="single" w:color="000000" w:sz="1"/>
            </w:tcBorders>
          </w:tcPr>
          <w:p>
            <w:r>
              <w:rPr>
                <w:sz w:val="24"/>
                <w:szCs w:val="24"/>
              </w:rPr>
              <w:t xml:space="preserve">Quiz—Chapter 2</w:t>
            </w:r>
          </w:p>
        </w:tc>
      </w:tr>
      <w:tr>
        <w:tc>
          <w:tcPr>
            <w:tcBorders>
              <w:top w:val="single" w:color="000000" w:sz="1"/>
              <w:left w:val="single" w:color="000000" w:sz="1"/>
              <w:bottom w:val="single" w:color="000000" w:sz="1"/>
              <w:right w:val="single" w:color="000000" w:sz="1"/>
            </w:tcBorders>
          </w:tcPr>
          <w:p>
            <w:r>
              <w:rPr>
                <w:sz w:val="24"/>
                <w:szCs w:val="24"/>
              </w:rPr>
              <w:t xml:space="preserve">Week 3: February 11, 2026</w:t>
            </w:r>
          </w:p>
        </w:tc>
        <w:tc>
          <w:tcPr>
            <w:tcBorders>
              <w:top w:val="single" w:color="000000" w:sz="1"/>
              <w:left w:val="single" w:color="000000" w:sz="1"/>
              <w:bottom w:val="single" w:color="000000" w:sz="1"/>
              <w:right w:val="single" w:color="000000" w:sz="1"/>
            </w:tcBorders>
          </w:tcPr>
          <w:p>
            <w:r>
              <w:rPr>
                <w:sz w:val="24"/>
                <w:szCs w:val="24"/>
              </w:rPr>
              <w:t xml:space="preserve">The Human Body: We are What We Eat</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3</w:t>
            </w:r>
          </w:p>
        </w:tc>
        <w:tc>
          <w:tcPr>
            <w:tcBorders>
              <w:top w:val="single" w:color="000000" w:sz="1"/>
              <w:left w:val="single" w:color="000000" w:sz="1"/>
              <w:bottom w:val="single" w:color="000000" w:sz="1"/>
              <w:right w:val="single" w:color="000000" w:sz="1"/>
            </w:tcBorders>
          </w:tcPr>
          <w:p>
            <w:r>
              <w:rPr>
                <w:sz w:val="24"/>
                <w:szCs w:val="24"/>
              </w:rPr>
              <w:t xml:space="preserve">Chemistry; Macromolecules; Physiology of Hunger; Anatomy and Physiology of Digestion; Disorders Related to Digestion; Intolerances and Allergies</w:t>
            </w:r>
          </w:p>
        </w:tc>
        <w:tc>
          <w:tcPr>
            <w:tcBorders>
              <w:top w:val="single" w:color="000000" w:sz="1"/>
              <w:left w:val="single" w:color="000000" w:sz="1"/>
              <w:bottom w:val="single" w:color="000000" w:sz="1"/>
              <w:right w:val="single" w:color="000000" w:sz="1"/>
            </w:tcBorders>
          </w:tcPr>
          <w:p>
            <w:r>
              <w:rPr>
                <w:sz w:val="24"/>
                <w:szCs w:val="24"/>
              </w:rPr>
              <w:t xml:space="preserve">Quiz—Chapter 3; Start Data Collection for Diet Analysis</w:t>
            </w:r>
          </w:p>
        </w:tc>
      </w:tr>
      <w:tr>
        <w:tc>
          <w:tcPr>
            <w:tcBorders>
              <w:top w:val="single" w:color="000000" w:sz="1"/>
              <w:left w:val="single" w:color="000000" w:sz="1"/>
              <w:bottom w:val="single" w:color="000000" w:sz="1"/>
              <w:right w:val="single" w:color="000000" w:sz="1"/>
            </w:tcBorders>
          </w:tcPr>
          <w:p>
            <w:r>
              <w:rPr>
                <w:sz w:val="24"/>
                <w:szCs w:val="24"/>
              </w:rPr>
              <w:t xml:space="preserve">Week 4: February 18, 2026</w:t>
            </w:r>
          </w:p>
        </w:tc>
        <w:tc>
          <w:tcPr>
            <w:tcBorders>
              <w:top w:val="single" w:color="000000" w:sz="1"/>
              <w:left w:val="single" w:color="000000" w:sz="1"/>
              <w:bottom w:val="single" w:color="000000" w:sz="1"/>
              <w:right w:val="single" w:color="000000" w:sz="1"/>
            </w:tcBorders>
          </w:tcPr>
          <w:p>
            <w:r>
              <w:rPr>
                <w:sz w:val="24"/>
                <w:szCs w:val="24"/>
              </w:rPr>
              <w:t xml:space="preserve">Achieving and Maintaining a Healthful Body Weight</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10</w:t>
            </w:r>
          </w:p>
        </w:tc>
        <w:tc>
          <w:tcPr>
            <w:tcBorders>
              <w:top w:val="single" w:color="000000" w:sz="1"/>
              <w:left w:val="single" w:color="000000" w:sz="1"/>
              <w:bottom w:val="single" w:color="000000" w:sz="1"/>
              <w:right w:val="single" w:color="000000" w:sz="1"/>
            </w:tcBorders>
          </w:tcPr>
          <w:p>
            <w:r>
              <w:rPr>
                <w:sz w:val="24"/>
                <w:szCs w:val="24"/>
              </w:rPr>
              <w:t xml:space="preserve">BMI; Evaluation Methodologies; Energy Balance; Factors Influencing Body Weight; Calculating Dietary Needs; Fad Diets; Determining Ideal Weight Maintenance; Obesity</w:t>
            </w:r>
          </w:p>
        </w:tc>
        <w:tc>
          <w:tcPr>
            <w:tcBorders>
              <w:top w:val="single" w:color="000000" w:sz="1"/>
              <w:left w:val="single" w:color="000000" w:sz="1"/>
              <w:bottom w:val="single" w:color="000000" w:sz="1"/>
              <w:right w:val="single" w:color="000000" w:sz="1"/>
            </w:tcBorders>
          </w:tcPr>
          <w:p>
            <w:r>
              <w:rPr>
                <w:sz w:val="24"/>
                <w:szCs w:val="24"/>
              </w:rPr>
              <w:t xml:space="preserve">Quizzes on Chapters 1, 2, 3, and 10 all due by February 20, 2026; Continue collecting data for Diet Analysis</w:t>
            </w:r>
          </w:p>
        </w:tc>
      </w:tr>
      <w:tr>
        <w:tc>
          <w:tcPr>
            <w:tcBorders>
              <w:top w:val="single" w:color="000000" w:sz="1"/>
              <w:left w:val="single" w:color="000000" w:sz="1"/>
              <w:bottom w:val="single" w:color="000000" w:sz="1"/>
              <w:right w:val="single" w:color="000000" w:sz="1"/>
            </w:tcBorders>
          </w:tcPr>
          <w:p>
            <w:r>
              <w:rPr>
                <w:sz w:val="24"/>
                <w:szCs w:val="24"/>
              </w:rPr>
              <w:t xml:space="preserve">Week 5: February 25, 2026</w:t>
            </w:r>
          </w:p>
        </w:tc>
        <w:tc>
          <w:tcPr>
            <w:tcBorders>
              <w:top w:val="single" w:color="000000" w:sz="1"/>
              <w:left w:val="single" w:color="000000" w:sz="1"/>
              <w:bottom w:val="single" w:color="000000" w:sz="1"/>
              <w:right w:val="single" w:color="000000" w:sz="1"/>
            </w:tcBorders>
          </w:tcPr>
          <w:p>
            <w:r>
              <w:rPr>
                <w:sz w:val="24"/>
                <w:szCs w:val="24"/>
              </w:rPr>
              <w:t xml:space="preserve">Carbohydrates: Structure and Function</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4</w:t>
            </w:r>
          </w:p>
        </w:tc>
        <w:tc>
          <w:tcPr>
            <w:tcBorders>
              <w:top w:val="single" w:color="000000" w:sz="1"/>
              <w:left w:val="single" w:color="000000" w:sz="1"/>
              <w:bottom w:val="single" w:color="000000" w:sz="1"/>
              <w:right w:val="single" w:color="000000" w:sz="1"/>
            </w:tcBorders>
          </w:tcPr>
          <w:p>
            <w:r>
              <w:rPr>
                <w:sz w:val="24"/>
                <w:szCs w:val="24"/>
              </w:rPr>
              <w:t xml:space="preserve">Structure of Carbohydrates; Function of Carbohydrates; Digestion and Processing of Carbohydrates; Regulation of Glucose Levels; RDA for Total Carbohydrates, Fibers, and Added Sugars; Fiber Structure and Function; Alternative Sweeteners; Diabetes</w:t>
            </w:r>
          </w:p>
        </w:tc>
        <w:tc>
          <w:tcPr>
            <w:tcBorders>
              <w:top w:val="single" w:color="000000" w:sz="1"/>
              <w:left w:val="single" w:color="000000" w:sz="1"/>
              <w:bottom w:val="single" w:color="000000" w:sz="1"/>
              <w:right w:val="single" w:color="000000" w:sz="1"/>
            </w:tcBorders>
          </w:tcPr>
          <w:p>
            <w:r>
              <w:rPr>
                <w:sz w:val="24"/>
                <w:szCs w:val="24"/>
              </w:rPr>
              <w:t xml:space="preserve">Exam 1—Chapters 1, 2, 3, and 10; Quiz—Chapter 4; Continue collecting data for Diet Analysis</w:t>
            </w:r>
          </w:p>
        </w:tc>
      </w:tr>
      <w:tr>
        <w:tc>
          <w:tcPr>
            <w:tcBorders>
              <w:top w:val="single" w:color="000000" w:sz="1"/>
              <w:left w:val="single" w:color="000000" w:sz="1"/>
              <w:bottom w:val="single" w:color="000000" w:sz="1"/>
              <w:right w:val="single" w:color="000000" w:sz="1"/>
            </w:tcBorders>
          </w:tcPr>
          <w:p>
            <w:r>
              <w:rPr>
                <w:sz w:val="24"/>
                <w:szCs w:val="24"/>
              </w:rPr>
              <w:t xml:space="preserve">Week 6: March 4, 2026</w:t>
            </w:r>
          </w:p>
        </w:tc>
        <w:tc>
          <w:tcPr>
            <w:tcBorders>
              <w:top w:val="single" w:color="000000" w:sz="1"/>
              <w:left w:val="single" w:color="000000" w:sz="1"/>
              <w:bottom w:val="single" w:color="000000" w:sz="1"/>
              <w:right w:val="single" w:color="000000" w:sz="1"/>
            </w:tcBorders>
          </w:tcPr>
          <w:p>
            <w:r>
              <w:rPr>
                <w:sz w:val="24"/>
                <w:szCs w:val="24"/>
              </w:rPr>
              <w:t xml:space="preserve">Fats: Essential Energy Supplying Nutrients</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5</w:t>
            </w:r>
          </w:p>
        </w:tc>
        <w:tc>
          <w:tcPr>
            <w:tcBorders>
              <w:top w:val="single" w:color="000000" w:sz="1"/>
              <w:left w:val="single" w:color="000000" w:sz="1"/>
              <w:bottom w:val="single" w:color="000000" w:sz="1"/>
              <w:right w:val="single" w:color="000000" w:sz="1"/>
            </w:tcBorders>
          </w:tcPr>
          <w:p>
            <w:r>
              <w:rPr>
                <w:sz w:val="24"/>
                <w:szCs w:val="24"/>
              </w:rPr>
              <w:t xml:space="preserve">Structure of Fats; Function of Fats; Good versus Bad Fats; Digestion and Processing of Fats; Fat Intake Recommendations; Identifying Hidden Fats; Fat Replacers; Saturated Fats—Bad or Benign; Cardiovascular Disease</w:t>
            </w:r>
          </w:p>
        </w:tc>
        <w:tc>
          <w:tcPr>
            <w:tcBorders>
              <w:top w:val="single" w:color="000000" w:sz="1"/>
              <w:left w:val="single" w:color="000000" w:sz="1"/>
              <w:bottom w:val="single" w:color="000000" w:sz="1"/>
              <w:right w:val="single" w:color="000000" w:sz="1"/>
            </w:tcBorders>
          </w:tcPr>
          <w:p>
            <w:r>
              <w:rPr>
                <w:sz w:val="24"/>
                <w:szCs w:val="24"/>
              </w:rPr>
              <w:t xml:space="preserve">Recipe Makeover and Analysis due; Quiz—Chapter 5; Finish data collection for Diet Analysis</w:t>
            </w:r>
          </w:p>
        </w:tc>
      </w:tr>
      <w:tr>
        <w:tc>
          <w:tcPr>
            <w:tcBorders>
              <w:top w:val="single" w:color="000000" w:sz="1"/>
              <w:left w:val="single" w:color="000000" w:sz="1"/>
              <w:bottom w:val="single" w:color="000000" w:sz="1"/>
              <w:right w:val="single" w:color="000000" w:sz="1"/>
            </w:tcBorders>
          </w:tcPr>
          <w:p>
            <w:r>
              <w:rPr>
                <w:sz w:val="24"/>
                <w:szCs w:val="24"/>
              </w:rPr>
              <w:t xml:space="preserve">Week 7: March 11, 2026</w:t>
            </w:r>
          </w:p>
        </w:tc>
        <w:tc>
          <w:tcPr>
            <w:tcBorders>
              <w:top w:val="single" w:color="000000" w:sz="1"/>
              <w:left w:val="single" w:color="000000" w:sz="1"/>
              <w:bottom w:val="single" w:color="000000" w:sz="1"/>
              <w:right w:val="single" w:color="000000" w:sz="1"/>
            </w:tcBorders>
          </w:tcPr>
          <w:p>
            <w:r>
              <w:rPr>
                <w:sz w:val="24"/>
                <w:szCs w:val="24"/>
              </w:rPr>
              <w:t xml:space="preserve">Proteins: Crucial Components of All Body Tissues</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6</w:t>
            </w:r>
          </w:p>
        </w:tc>
        <w:tc>
          <w:tcPr>
            <w:tcBorders>
              <w:top w:val="single" w:color="000000" w:sz="1"/>
              <w:left w:val="single" w:color="000000" w:sz="1"/>
              <w:bottom w:val="single" w:color="000000" w:sz="1"/>
              <w:right w:val="single" w:color="000000" w:sz="1"/>
            </w:tcBorders>
          </w:tcPr>
          <w:p>
            <w:r>
              <w:rPr>
                <w:sz w:val="24"/>
                <w:szCs w:val="24"/>
              </w:rPr>
              <w:t xml:space="preserve">Protein Structure; Protein Functions; Digestion and Processing of Proteins; Dietary Recommendations for Protein Intake; Nitrogen Balance; Bioavailability; Protein and Vegetarian Diets</w:t>
            </w:r>
          </w:p>
        </w:tc>
        <w:tc>
          <w:tcPr>
            <w:tcBorders>
              <w:top w:val="single" w:color="000000" w:sz="1"/>
              <w:left w:val="single" w:color="000000" w:sz="1"/>
              <w:bottom w:val="single" w:color="000000" w:sz="1"/>
              <w:right w:val="single" w:color="000000" w:sz="1"/>
            </w:tcBorders>
          </w:tcPr>
          <w:p>
            <w:r>
              <w:rPr>
                <w:sz w:val="24"/>
                <w:szCs w:val="24"/>
              </w:rPr>
              <w:t xml:space="preserve">Quizzes on Chapters 4, 5, and 6 all due by March 13, 2026; Begin calculations and organization for Diet Analysis</w:t>
            </w:r>
          </w:p>
        </w:tc>
      </w:tr>
      <w:tr>
        <w:tc>
          <w:tcPr>
            <w:tcBorders>
              <w:top w:val="single" w:color="000000" w:sz="1"/>
              <w:left w:val="single" w:color="000000" w:sz="1"/>
              <w:bottom w:val="single" w:color="000000" w:sz="1"/>
              <w:right w:val="single" w:color="000000" w:sz="1"/>
            </w:tcBorders>
          </w:tcPr>
          <w:p>
            <w:r>
              <w:rPr>
                <w:sz w:val="24"/>
                <w:szCs w:val="24"/>
              </w:rPr>
              <w:t xml:space="preserve">Week 8: March 18, 2026</w:t>
            </w:r>
          </w:p>
        </w:tc>
        <w:tc>
          <w:tcPr>
            <w:tcBorders>
              <w:top w:val="single" w:color="000000" w:sz="1"/>
              <w:left w:val="single" w:color="000000" w:sz="1"/>
              <w:bottom w:val="single" w:color="000000" w:sz="1"/>
              <w:right w:val="single" w:color="000000" w:sz="1"/>
            </w:tcBorders>
          </w:tcPr>
          <w:p>
            <w:r>
              <w:rPr>
                <w:sz w:val="24"/>
                <w:szCs w:val="24"/>
              </w:rPr>
              <w:t xml:space="preserve">Micronutrients; Nutrients Essential to Fluid and Electrolyte Balance</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7</w:t>
            </w:r>
          </w:p>
        </w:tc>
        <w:tc>
          <w:tcPr>
            <w:tcBorders>
              <w:top w:val="single" w:color="000000" w:sz="1"/>
              <w:left w:val="single" w:color="000000" w:sz="1"/>
              <w:bottom w:val="single" w:color="000000" w:sz="1"/>
              <w:right w:val="single" w:color="000000" w:sz="1"/>
            </w:tcBorders>
          </w:tcPr>
          <w:p>
            <w:r>
              <w:rPr>
                <w:sz w:val="24"/>
                <w:szCs w:val="24"/>
              </w:rPr>
              <w:t xml:space="preserve">Water; Body Fluids; Electrolytes; Physiology of Fluid Balance; Major Minerals and Fluid Balance; Standards for Water Intakes; Disorders Related to Fluid and Electrolyte Balance; Alcohol</w:t>
            </w:r>
          </w:p>
        </w:tc>
        <w:tc>
          <w:tcPr>
            <w:tcBorders>
              <w:top w:val="single" w:color="000000" w:sz="1"/>
              <w:left w:val="single" w:color="000000" w:sz="1"/>
              <w:bottom w:val="single" w:color="000000" w:sz="1"/>
              <w:right w:val="single" w:color="000000" w:sz="1"/>
            </w:tcBorders>
          </w:tcPr>
          <w:p>
            <w:r>
              <w:rPr>
                <w:sz w:val="24"/>
                <w:szCs w:val="24"/>
              </w:rPr>
              <w:t xml:space="preserve">Exam 2—Chapters 4, 5, and 6; Quiz—Chapter 7</w:t>
            </w:r>
          </w:p>
        </w:tc>
      </w:tr>
      <w:tr>
        <w:tc>
          <w:tcPr>
            <w:tcBorders>
              <w:top w:val="single" w:color="000000" w:sz="1"/>
              <w:left w:val="single" w:color="000000" w:sz="1"/>
              <w:bottom w:val="single" w:color="000000" w:sz="1"/>
              <w:right w:val="single" w:color="000000" w:sz="1"/>
            </w:tcBorders>
          </w:tcPr>
          <w:p>
            <w:r>
              <w:rPr>
                <w:sz w:val="24"/>
                <w:szCs w:val="24"/>
              </w:rPr>
              <w:t xml:space="preserve">Week 9: March 25, 2026</w:t>
            </w:r>
          </w:p>
        </w:tc>
        <w:tc>
          <w:tcPr>
            <w:tcBorders>
              <w:top w:val="single" w:color="000000" w:sz="1"/>
              <w:left w:val="single" w:color="000000" w:sz="1"/>
              <w:bottom w:val="single" w:color="000000" w:sz="1"/>
              <w:right w:val="single" w:color="000000" w:sz="1"/>
            </w:tcBorders>
          </w:tcPr>
          <w:p>
            <w:r>
              <w:rPr>
                <w:sz w:val="24"/>
                <w:szCs w:val="24"/>
              </w:rPr>
              <w:t xml:space="preserve">Spring Break</w:t>
            </w:r>
          </w:p>
        </w:tc>
        <w:tc>
          <w:tcPr>
            <w:tcBorders>
              <w:top w:val="single" w:color="000000" w:sz="1"/>
              <w:left w:val="single" w:color="000000" w:sz="1"/>
              <w:bottom w:val="single" w:color="000000" w:sz="1"/>
              <w:right w:val="single" w:color="000000" w:sz="1"/>
            </w:tcBorders>
          </w:tcPr>
          <w:p>
            <w:r>
              <w:rPr>
                <w:sz w:val="24"/>
                <w:szCs w:val="24"/>
              </w:rPr>
              <w:t xml:space="preserve">Enjoy!</w:t>
            </w:r>
          </w:p>
        </w:tc>
        <w:tc>
          <w:tcPr>
            <w:tcBorders>
              <w:top w:val="single" w:color="000000" w:sz="1"/>
              <w:left w:val="single" w:color="000000" w:sz="1"/>
              <w:bottom w:val="single" w:color="000000" w:sz="1"/>
              <w:right w:val="single" w:color="000000" w:sz="1"/>
            </w:tcBorders>
          </w:tcPr>
          <w:p>
            <w:r>
              <w:rPr>
                <w:sz w:val="24"/>
                <w:szCs w:val="24"/>
              </w:rPr>
              <w:t xml:space="preserve">N/A</w:t>
            </w:r>
          </w:p>
        </w:tc>
        <w:tc>
          <w:tcPr>
            <w:tcBorders>
              <w:top w:val="single" w:color="000000" w:sz="1"/>
              <w:left w:val="single" w:color="000000" w:sz="1"/>
              <w:bottom w:val="single" w:color="000000" w:sz="1"/>
              <w:right w:val="single" w:color="000000" w:sz="1"/>
            </w:tcBorders>
          </w:tcPr>
          <w:p>
            <w:r>
              <w:rPr>
                <w:sz w:val="24"/>
                <w:szCs w:val="24"/>
              </w:rPr>
              <w:t xml:space="preserve">N/A</w:t>
            </w:r>
          </w:p>
        </w:tc>
        <w:tc>
          <w:tcPr>
            <w:tcBorders>
              <w:top w:val="single" w:color="000000" w:sz="1"/>
              <w:left w:val="single" w:color="000000" w:sz="1"/>
              <w:bottom w:val="single" w:color="000000" w:sz="1"/>
              <w:right w:val="single" w:color="000000" w:sz="1"/>
            </w:tcBorders>
          </w:tcPr>
          <w:p>
            <w:r>
              <w:rPr>
                <w:sz w:val="24"/>
                <w:szCs w:val="24"/>
              </w:rPr>
              <w:t xml:space="preserve">No assignments</w:t>
            </w:r>
          </w:p>
        </w:tc>
      </w:tr>
      <w:tr>
        <w:tc>
          <w:tcPr>
            <w:tcBorders>
              <w:top w:val="single" w:color="000000" w:sz="1"/>
              <w:left w:val="single" w:color="000000" w:sz="1"/>
              <w:bottom w:val="single" w:color="000000" w:sz="1"/>
              <w:right w:val="single" w:color="000000" w:sz="1"/>
            </w:tcBorders>
          </w:tcPr>
          <w:p>
            <w:r>
              <w:rPr>
                <w:sz w:val="24"/>
                <w:szCs w:val="24"/>
              </w:rPr>
              <w:t xml:space="preserve">Week 10: April 1, 2026</w:t>
            </w:r>
          </w:p>
        </w:tc>
        <w:tc>
          <w:tcPr>
            <w:tcBorders>
              <w:top w:val="single" w:color="000000" w:sz="1"/>
              <w:left w:val="single" w:color="000000" w:sz="1"/>
              <w:bottom w:val="single" w:color="000000" w:sz="1"/>
              <w:right w:val="single" w:color="000000" w:sz="1"/>
            </w:tcBorders>
          </w:tcPr>
          <w:p>
            <w:r>
              <w:rPr>
                <w:sz w:val="24"/>
                <w:szCs w:val="24"/>
              </w:rPr>
              <w:t xml:space="preserve">Nutrients Essential to Key Body Functions</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8</w:t>
            </w:r>
          </w:p>
        </w:tc>
        <w:tc>
          <w:tcPr>
            <w:tcBorders>
              <w:top w:val="single" w:color="000000" w:sz="1"/>
              <w:left w:val="single" w:color="000000" w:sz="1"/>
              <w:bottom w:val="single" w:color="000000" w:sz="1"/>
              <w:right w:val="single" w:color="000000" w:sz="1"/>
            </w:tcBorders>
          </w:tcPr>
          <w:p>
            <w:r>
              <w:rPr>
                <w:sz w:val="24"/>
                <w:szCs w:val="24"/>
              </w:rPr>
              <w:t xml:space="preserve">B Vitamins; Choline, Iodine, Chromium, and Manganese Functions; Nerve, Bone, and Thyroid Health; Energy Pathways; Phytochemicals; Antioxidants; Vitamin A; Cancer; Trace Minerals; Micronutrients and Blood Health; Vitamin C; Maintaining Healthy Bone; Osteoporosis</w:t>
            </w:r>
          </w:p>
        </w:tc>
        <w:tc>
          <w:tcPr>
            <w:tcBorders>
              <w:top w:val="single" w:color="000000" w:sz="1"/>
              <w:left w:val="single" w:color="000000" w:sz="1"/>
              <w:bottom w:val="single" w:color="000000" w:sz="1"/>
              <w:right w:val="single" w:color="000000" w:sz="1"/>
            </w:tcBorders>
          </w:tcPr>
          <w:p>
            <w:r>
              <w:rPr>
                <w:sz w:val="24"/>
                <w:szCs w:val="24"/>
              </w:rPr>
              <w:t xml:space="preserve">Quiz—Chapter 8</w:t>
            </w:r>
          </w:p>
        </w:tc>
      </w:tr>
      <w:tr>
        <w:tc>
          <w:tcPr>
            <w:tcBorders>
              <w:top w:val="single" w:color="000000" w:sz="1"/>
              <w:left w:val="single" w:color="000000" w:sz="1"/>
              <w:bottom w:val="single" w:color="000000" w:sz="1"/>
              <w:right w:val="single" w:color="000000" w:sz="1"/>
            </w:tcBorders>
          </w:tcPr>
          <w:p>
            <w:r>
              <w:rPr>
                <w:sz w:val="24"/>
                <w:szCs w:val="24"/>
              </w:rPr>
              <w:t xml:space="preserve">Week 11: April 8, 2026</w:t>
            </w:r>
          </w:p>
        </w:tc>
        <w:tc>
          <w:tcPr>
            <w:tcBorders>
              <w:top w:val="single" w:color="000000" w:sz="1"/>
              <w:left w:val="single" w:color="000000" w:sz="1"/>
              <w:bottom w:val="single" w:color="000000" w:sz="1"/>
              <w:right w:val="single" w:color="000000" w:sz="1"/>
            </w:tcBorders>
          </w:tcPr>
          <w:p>
            <w:r>
              <w:rPr>
                <w:sz w:val="24"/>
                <w:szCs w:val="24"/>
              </w:rPr>
              <w:t xml:space="preserve">Nutrients Essential to Healthy Tissues</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9</w:t>
            </w:r>
          </w:p>
        </w:tc>
        <w:tc>
          <w:tcPr>
            <w:tcBorders>
              <w:top w:val="single" w:color="000000" w:sz="1"/>
              <w:left w:val="single" w:color="000000" w:sz="1"/>
              <w:bottom w:val="single" w:color="000000" w:sz="1"/>
              <w:right w:val="single" w:color="000000" w:sz="1"/>
            </w:tcBorders>
          </w:tcPr>
          <w:p>
            <w:r>
              <w:rPr>
                <w:sz w:val="24"/>
                <w:szCs w:val="24"/>
              </w:rPr>
              <w:t xml:space="preserve">B Vitamins; Choline, Iodine, Chromium, and Manganese Functions; Nerve, Bone, and Thyroid Health; Energy Pathways; Phytochemicals; Antioxidants; Vitamin A; Cancer; Trace Minerals; Micronutrients and Blood Health; Vitamin C; Maintaining Healthy Bone; Osteoporosis</w:t>
            </w:r>
          </w:p>
        </w:tc>
        <w:tc>
          <w:tcPr>
            <w:tcBorders>
              <w:top w:val="single" w:color="000000" w:sz="1"/>
              <w:left w:val="single" w:color="000000" w:sz="1"/>
              <w:bottom w:val="single" w:color="000000" w:sz="1"/>
              <w:right w:val="single" w:color="000000" w:sz="1"/>
            </w:tcBorders>
          </w:tcPr>
          <w:p>
            <w:r>
              <w:rPr>
                <w:sz w:val="24"/>
                <w:szCs w:val="24"/>
              </w:rPr>
              <w:t xml:space="preserve">Quiz—Chapter 9</w:t>
            </w:r>
          </w:p>
        </w:tc>
      </w:tr>
      <w:tr>
        <w:tc>
          <w:tcPr>
            <w:tcBorders>
              <w:top w:val="single" w:color="000000" w:sz="1"/>
              <w:left w:val="single" w:color="000000" w:sz="1"/>
              <w:bottom w:val="single" w:color="000000" w:sz="1"/>
              <w:right w:val="single" w:color="000000" w:sz="1"/>
            </w:tcBorders>
          </w:tcPr>
          <w:p>
            <w:r>
              <w:rPr>
                <w:sz w:val="24"/>
                <w:szCs w:val="24"/>
              </w:rPr>
              <w:t xml:space="preserve">Week 12: April 15, 2026</w:t>
            </w:r>
          </w:p>
        </w:tc>
        <w:tc>
          <w:tcPr>
            <w:tcBorders>
              <w:top w:val="single" w:color="000000" w:sz="1"/>
              <w:left w:val="single" w:color="000000" w:sz="1"/>
              <w:bottom w:val="single" w:color="000000" w:sz="1"/>
              <w:right w:val="single" w:color="000000" w:sz="1"/>
            </w:tcBorders>
          </w:tcPr>
          <w:p>
            <w:r>
              <w:rPr>
                <w:sz w:val="24"/>
                <w:szCs w:val="24"/>
              </w:rPr>
              <w:t xml:space="preserve">Food Safety and Technology; Food Equity: Sustainability and Quality</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12; Chapter 13</w:t>
            </w:r>
          </w:p>
        </w:tc>
        <w:tc>
          <w:tcPr>
            <w:tcBorders>
              <w:top w:val="single" w:color="000000" w:sz="1"/>
              <w:left w:val="single" w:color="000000" w:sz="1"/>
              <w:bottom w:val="single" w:color="000000" w:sz="1"/>
              <w:right w:val="single" w:color="000000" w:sz="1"/>
            </w:tcBorders>
          </w:tcPr>
          <w:p>
            <w:r>
              <w:rPr>
                <w:sz w:val="24"/>
                <w:szCs w:val="24"/>
              </w:rPr>
              <w:t xml:space="preserve">Foodborne Illness—Causes, Prevention, Treatment; Additives and Preservatives; Genetic Modification of Foods; Selective Breeding versus Transgenics; Food Production—Quality versus Quantity; Persistent Organic Pollutants; Growth Hormones and Antibiotics in Meat Production; Organic Foods—Fact or Fiction; Food Equity and Security</w:t>
            </w:r>
          </w:p>
        </w:tc>
        <w:tc>
          <w:tcPr>
            <w:tcBorders>
              <w:top w:val="single" w:color="000000" w:sz="1"/>
              <w:left w:val="single" w:color="000000" w:sz="1"/>
              <w:bottom w:val="single" w:color="000000" w:sz="1"/>
              <w:right w:val="single" w:color="000000" w:sz="1"/>
            </w:tcBorders>
          </w:tcPr>
          <w:p>
            <w:r>
              <w:rPr>
                <w:sz w:val="24"/>
                <w:szCs w:val="24"/>
              </w:rPr>
              <w:t xml:space="preserve">Quizzes on Chapters 7, 8, 9, 12, and 13 all due by April 17, 2026</w:t>
            </w:r>
          </w:p>
        </w:tc>
      </w:tr>
      <w:tr>
        <w:tc>
          <w:tcPr>
            <w:tcBorders>
              <w:top w:val="single" w:color="000000" w:sz="1"/>
              <w:left w:val="single" w:color="000000" w:sz="1"/>
              <w:bottom w:val="single" w:color="000000" w:sz="1"/>
              <w:right w:val="single" w:color="000000" w:sz="1"/>
            </w:tcBorders>
          </w:tcPr>
          <w:p>
            <w:r>
              <w:rPr>
                <w:sz w:val="24"/>
                <w:szCs w:val="24"/>
              </w:rPr>
              <w:t xml:space="preserve">Week 13: April 22, 2026</w:t>
            </w:r>
          </w:p>
        </w:tc>
        <w:tc>
          <w:tcPr>
            <w:tcBorders>
              <w:top w:val="single" w:color="000000" w:sz="1"/>
              <w:left w:val="single" w:color="000000" w:sz="1"/>
              <w:bottom w:val="single" w:color="000000" w:sz="1"/>
              <w:right w:val="single" w:color="000000" w:sz="1"/>
            </w:tcBorders>
          </w:tcPr>
          <w:p>
            <w:r>
              <w:rPr>
                <w:sz w:val="24"/>
                <w:szCs w:val="24"/>
              </w:rPr>
              <w:t xml:space="preserve">Nutrition and Physical Fitness</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11</w:t>
            </w:r>
          </w:p>
        </w:tc>
        <w:tc>
          <w:tcPr>
            <w:tcBorders>
              <w:top w:val="single" w:color="000000" w:sz="1"/>
              <w:left w:val="single" w:color="000000" w:sz="1"/>
              <w:bottom w:val="single" w:color="000000" w:sz="1"/>
              <w:right w:val="single" w:color="000000" w:sz="1"/>
            </w:tcBorders>
          </w:tcPr>
          <w:p>
            <w:r>
              <w:rPr>
                <w:sz w:val="24"/>
                <w:szCs w:val="24"/>
              </w:rPr>
              <w:t xml:space="preserve">Benefits of Physical Activity; Fuels for Activity—Aerobic versus Anaerobic Pathways; Physical Fitness and Nutrient Needs; Activity and Fluid and Micronutrient Needs; Ergogenic Aids and Performance; Eating Disorders and Disordered Eating; Female Athlete Triad</w:t>
            </w:r>
          </w:p>
        </w:tc>
        <w:tc>
          <w:tcPr>
            <w:tcBorders>
              <w:top w:val="single" w:color="000000" w:sz="1"/>
              <w:left w:val="single" w:color="000000" w:sz="1"/>
              <w:bottom w:val="single" w:color="000000" w:sz="1"/>
              <w:right w:val="single" w:color="000000" w:sz="1"/>
            </w:tcBorders>
          </w:tcPr>
          <w:p>
            <w:r>
              <w:rPr>
                <w:sz w:val="24"/>
                <w:szCs w:val="24"/>
              </w:rPr>
              <w:t xml:space="preserve">Exam 3—Chapters 7, 8, 9, 12, and 13; Quiz—Chapter 11</w:t>
            </w:r>
          </w:p>
        </w:tc>
      </w:tr>
      <w:tr>
        <w:tc>
          <w:tcPr>
            <w:tcBorders>
              <w:top w:val="single" w:color="000000" w:sz="1"/>
              <w:left w:val="single" w:color="000000" w:sz="1"/>
              <w:bottom w:val="single" w:color="000000" w:sz="1"/>
              <w:right w:val="single" w:color="000000" w:sz="1"/>
            </w:tcBorders>
          </w:tcPr>
          <w:p>
            <w:r>
              <w:rPr>
                <w:sz w:val="24"/>
                <w:szCs w:val="24"/>
              </w:rPr>
              <w:t xml:space="preserve">Week 14: April 29, 2026</w:t>
            </w:r>
          </w:p>
        </w:tc>
        <w:tc>
          <w:tcPr>
            <w:tcBorders>
              <w:top w:val="single" w:color="000000" w:sz="1"/>
              <w:left w:val="single" w:color="000000" w:sz="1"/>
              <w:bottom w:val="single" w:color="000000" w:sz="1"/>
              <w:right w:val="single" w:color="000000" w:sz="1"/>
            </w:tcBorders>
          </w:tcPr>
          <w:p>
            <w:r>
              <w:rPr>
                <w:sz w:val="24"/>
                <w:szCs w:val="24"/>
              </w:rPr>
              <w:t xml:space="preserve">Nutrition Through the Life Cycle: Pregnancy and the First Year of Life</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14</w:t>
            </w:r>
          </w:p>
        </w:tc>
        <w:tc>
          <w:tcPr>
            <w:tcBorders>
              <w:top w:val="single" w:color="000000" w:sz="1"/>
              <w:left w:val="single" w:color="000000" w:sz="1"/>
              <w:bottom w:val="single" w:color="000000" w:sz="1"/>
              <w:right w:val="single" w:color="000000" w:sz="1"/>
            </w:tcBorders>
          </w:tcPr>
          <w:p>
            <w:r>
              <w:rPr>
                <w:sz w:val="24"/>
                <w:szCs w:val="24"/>
              </w:rPr>
              <w:t xml:space="preserve">Diet and Conception and Gestation; Pregnancy Nutritional Needs; Common Nutrient-Related Pregnancy Concerns; Lactation; Infant Nutrient Needs; Infancy Nutritional Concerns</w:t>
            </w:r>
          </w:p>
        </w:tc>
        <w:tc>
          <w:tcPr>
            <w:tcBorders>
              <w:top w:val="single" w:color="000000" w:sz="1"/>
              <w:left w:val="single" w:color="000000" w:sz="1"/>
              <w:bottom w:val="single" w:color="000000" w:sz="1"/>
              <w:right w:val="single" w:color="000000" w:sz="1"/>
            </w:tcBorders>
          </w:tcPr>
          <w:p>
            <w:r>
              <w:rPr>
                <w:sz w:val="24"/>
                <w:szCs w:val="24"/>
              </w:rPr>
              <w:t xml:space="preserve">Diet Analysis due; Quiz—Chapter 14</w:t>
            </w:r>
          </w:p>
        </w:tc>
      </w:tr>
      <w:tr>
        <w:tc>
          <w:tcPr>
            <w:tcBorders>
              <w:top w:val="single" w:color="000000" w:sz="1"/>
              <w:left w:val="single" w:color="000000" w:sz="1"/>
              <w:bottom w:val="single" w:color="000000" w:sz="1"/>
              <w:right w:val="single" w:color="000000" w:sz="1"/>
            </w:tcBorders>
          </w:tcPr>
          <w:p>
            <w:r>
              <w:rPr>
                <w:sz w:val="24"/>
                <w:szCs w:val="24"/>
              </w:rPr>
              <w:t xml:space="preserve">Week 15: May 6, 2026</w:t>
            </w:r>
          </w:p>
        </w:tc>
        <w:tc>
          <w:tcPr>
            <w:tcBorders>
              <w:top w:val="single" w:color="000000" w:sz="1"/>
              <w:left w:val="single" w:color="000000" w:sz="1"/>
              <w:bottom w:val="single" w:color="000000" w:sz="1"/>
              <w:right w:val="single" w:color="000000" w:sz="1"/>
            </w:tcBorders>
          </w:tcPr>
          <w:p>
            <w:r>
              <w:rPr>
                <w:sz w:val="24"/>
                <w:szCs w:val="24"/>
              </w:rPr>
              <w:t xml:space="preserve">Nutrition Through the Life Cycle: Childhood to Late Adulthood</w:t>
            </w:r>
          </w:p>
        </w:tc>
        <w:tc>
          <w:tcPr>
            <w:tcBorders>
              <w:top w:val="single" w:color="000000" w:sz="1"/>
              <w:left w:val="single" w:color="000000" w:sz="1"/>
              <w:bottom w:val="single" w:color="000000" w:sz="1"/>
              <w:right w:val="single" w:color="000000" w:sz="1"/>
            </w:tcBorders>
          </w:tcPr>
          <w:p>
            <w:r>
              <w:rPr>
                <w:sz w:val="24"/>
                <w:szCs w:val="24"/>
              </w:rPr>
              <w:t xml:space="preserve">See chapter learning outcomes posted in Blackboard</w:t>
            </w:r>
          </w:p>
        </w:tc>
        <w:tc>
          <w:tcPr>
            <w:tcBorders>
              <w:top w:val="single" w:color="000000" w:sz="1"/>
              <w:left w:val="single" w:color="000000" w:sz="1"/>
              <w:bottom w:val="single" w:color="000000" w:sz="1"/>
              <w:right w:val="single" w:color="000000" w:sz="1"/>
            </w:tcBorders>
          </w:tcPr>
          <w:p>
            <w:r>
              <w:rPr>
                <w:sz w:val="24"/>
                <w:szCs w:val="24"/>
              </w:rPr>
              <w:t xml:space="preserve">Chapter 15</w:t>
            </w:r>
          </w:p>
        </w:tc>
        <w:tc>
          <w:tcPr>
            <w:tcBorders>
              <w:top w:val="single" w:color="000000" w:sz="1"/>
              <w:left w:val="single" w:color="000000" w:sz="1"/>
              <w:bottom w:val="single" w:color="000000" w:sz="1"/>
              <w:right w:val="single" w:color="000000" w:sz="1"/>
            </w:tcBorders>
          </w:tcPr>
          <w:p>
            <w:r>
              <w:rPr>
                <w:sz w:val="24"/>
                <w:szCs w:val="24"/>
              </w:rPr>
              <w:t xml:space="preserve">Nutritional Needs and Concerns of Toddlerhood; Nutritional Needs and Concerns of Adolescence; Pediatric Obesity; Characteristics of Aging; Nutritional Needs and Concerns in Older Adults; Strategies to Slow Aging</w:t>
            </w:r>
          </w:p>
        </w:tc>
        <w:tc>
          <w:tcPr>
            <w:tcBorders>
              <w:top w:val="single" w:color="000000" w:sz="1"/>
              <w:left w:val="single" w:color="000000" w:sz="1"/>
              <w:bottom w:val="single" w:color="000000" w:sz="1"/>
              <w:right w:val="single" w:color="000000" w:sz="1"/>
            </w:tcBorders>
          </w:tcPr>
          <w:p>
            <w:r>
              <w:rPr>
                <w:sz w:val="24"/>
                <w:szCs w:val="24"/>
              </w:rPr>
              <w:t xml:space="preserve">Quizzes on Chapters 11, 14, and 15 all due by May 8, 2026</w:t>
            </w:r>
          </w:p>
        </w:tc>
      </w:tr>
      <w:tr>
        <w:tc>
          <w:tcPr>
            <w:tcBorders>
              <w:top w:val="single" w:color="000000" w:sz="1"/>
              <w:left w:val="single" w:color="000000" w:sz="1"/>
              <w:bottom w:val="single" w:color="000000" w:sz="1"/>
              <w:right w:val="single" w:color="000000" w:sz="1"/>
            </w:tcBorders>
          </w:tcPr>
          <w:p>
            <w:r>
              <w:rPr>
                <w:sz w:val="24"/>
                <w:szCs w:val="24"/>
              </w:rPr>
              <w:t xml:space="preserve">Week 16: May 13, 2026</w:t>
            </w:r>
          </w:p>
        </w:tc>
        <w:tc>
          <w:tcPr>
            <w:tcBorders>
              <w:top w:val="single" w:color="000000" w:sz="1"/>
              <w:left w:val="single" w:color="000000" w:sz="1"/>
              <w:bottom w:val="single" w:color="000000" w:sz="1"/>
              <w:right w:val="single" w:color="000000" w:sz="1"/>
            </w:tcBorders>
          </w:tcPr>
          <w:p>
            <w:r>
              <w:rPr>
                <w:sz w:val="24"/>
                <w:szCs w:val="24"/>
              </w:rPr>
              <w:t xml:space="preserve">Finals Week</w:t>
            </w:r>
          </w:p>
        </w:tc>
        <w:tc>
          <w:tcPr>
            <w:tcBorders>
              <w:top w:val="single" w:color="000000" w:sz="1"/>
              <w:left w:val="single" w:color="000000" w:sz="1"/>
              <w:bottom w:val="single" w:color="000000" w:sz="1"/>
              <w:right w:val="single" w:color="000000" w:sz="1"/>
            </w:tcBorders>
          </w:tcPr>
          <w:p>
            <w:r>
              <w:rPr>
                <w:sz w:val="24"/>
                <w:szCs w:val="24"/>
              </w:rPr>
              <w:t xml:space="preserve">Review all course material</w:t>
            </w:r>
          </w:p>
        </w:tc>
        <w:tc>
          <w:tcPr>
            <w:tcBorders>
              <w:top w:val="single" w:color="000000" w:sz="1"/>
              <w:left w:val="single" w:color="000000" w:sz="1"/>
              <w:bottom w:val="single" w:color="000000" w:sz="1"/>
              <w:right w:val="single" w:color="000000" w:sz="1"/>
            </w:tcBorders>
          </w:tcPr>
          <w:p>
            <w:r>
              <w:rPr>
                <w:sz w:val="24"/>
                <w:szCs w:val="24"/>
              </w:rPr>
              <w:t xml:space="preserve">All previous chapters as needed</w:t>
            </w:r>
          </w:p>
        </w:tc>
        <w:tc>
          <w:tcPr>
            <w:tcBorders>
              <w:top w:val="single" w:color="000000" w:sz="1"/>
              <w:left w:val="single" w:color="000000" w:sz="1"/>
              <w:bottom w:val="single" w:color="000000" w:sz="1"/>
              <w:right w:val="single" w:color="000000" w:sz="1"/>
            </w:tcBorders>
          </w:tcPr>
          <w:p>
            <w:r>
              <w:rPr>
                <w:sz w:val="24"/>
                <w:szCs w:val="24"/>
              </w:rPr>
              <w:t xml:space="preserve">Comprehensive final exam</w:t>
            </w:r>
          </w:p>
        </w:tc>
        <w:tc>
          <w:tcPr>
            <w:tcBorders>
              <w:top w:val="single" w:color="000000" w:sz="1"/>
              <w:left w:val="single" w:color="000000" w:sz="1"/>
              <w:bottom w:val="single" w:color="000000" w:sz="1"/>
              <w:right w:val="single" w:color="000000" w:sz="1"/>
            </w:tcBorders>
          </w:tcPr>
          <w:p>
            <w:r>
              <w:rPr>
                <w:sz w:val="24"/>
                <w:szCs w:val="24"/>
              </w:rPr>
              <w:t xml:space="preserve">Exam 4—Chapters 11, 14, and 15</w:t>
            </w:r>
          </w:p>
        </w:tc>
      </w:tr>
    </w:tbl>
    <w:p>
      <w:pPr>
        <w:spacing w:after="120"/>
      </w:pPr>
    </w:p>
    <w:p>
      <w:pPr>
        <w:pStyle w:val="Heading2"/>
        <w:spacing w:after="120" w:before="240"/>
      </w:pPr>
      <w:r>
        <w:t xml:space="preserve">School of Math and Science Diversity, Equity, and Inclusion Statement</w:t>
      </w:r>
    </w:p>
    <w:p>
      <w:pPr>
        <w:spacing w:after="120"/>
      </w:pPr>
      <w:r>
        <w:rPr>
          <w:sz w:val="24"/>
          <w:szCs w:val="24"/>
        </w:rPr>
        <w:t xml:space="preserve">The School of Math and Science is motivated to teach and learn from the diverse community we have at QCC. In Science, Technology, Engineering, and Mathematics (STEM), it is advantageous to approach problems from multiple perspectives. The power of diversity, equity, and inclusion allows us to persevere and overcome challenges.</w:t>
      </w:r>
    </w:p>
    <w:p>
      <w:pPr>
        <w:spacing w:after="120"/>
      </w:pPr>
      <w:r>
        <w:rPr>
          <w:sz w:val="24"/>
          <w:szCs w:val="24"/>
        </w:rPr>
        <w:t xml:space="preserve">The faculty of the School of Math and Science pledge to help students meet the demands of STEM regardless of race and ethnicity, gender identity and expression, sexual orientation, faith, abilities and disabilities, age, socioeconomic background, political leaning, ancestry, national origin, home language, and all other identities. We are dedicated to nurturing a culture of collaboration, mutual respect, and understanding; and to empowering members of our community to embrace their full potential.</w:t>
      </w:r>
    </w:p>
    <w:p>
      <w:pPr>
        <w:pStyle w:val="Heading2"/>
        <w:spacing w:after="120" w:before="240"/>
      </w:pPr>
      <w:r>
        <w:t xml:space="preserve">Academic Policies and Procedures</w:t>
      </w:r>
    </w:p>
    <w:p>
      <w:pPr>
        <w:spacing w:after="120"/>
      </w:pPr>
      <w:r>
        <w:rPr>
          <w:sz w:val="24"/>
          <w:szCs w:val="24"/>
        </w:rPr>
        <w:t xml:space="preserve">Although this is a face-to-face course, you are required to maintain regular attendance. Quizzes and discussion forums will be closed down one week after their due date. Closed assignments will not be reopened after they have been closed. Any work not completed while the module was open will receive a grade of 0. I will not grade any assignments that are 2 weeks or more past their due dates unless the reasons for the absences or inability to complete the work has been discussed and permission for making up the assignments has been granted.</w:t>
      </w:r>
    </w:p>
    <w:p>
      <w:pPr>
        <w:spacing w:after="120"/>
      </w:pPr>
      <w:r>
        <w:rPr>
          <w:sz w:val="24"/>
          <w:szCs w:val="24"/>
        </w:rPr>
        <w:t xml:space="preserve">Absences and missing assignments will be noted either directly or via Starfish notifications.</w:t>
      </w:r>
    </w:p>
    <w:p>
      <w:pPr>
        <w:spacing w:after="120"/>
      </w:pPr>
      <w:r>
        <w:rPr>
          <w:sz w:val="24"/>
          <w:szCs w:val="24"/>
        </w:rPr>
        <w:t xml:space="preserve">All digital assignments should be submitted through Blackboard Learn. If for some reason this is not possible, please contact me for alternative submission methods.</w:t>
      </w:r>
    </w:p>
    <w:p>
      <w:pPr>
        <w:spacing w:after="120"/>
      </w:pPr>
      <w:r>
        <w:rPr>
          <w:sz w:val="24"/>
          <w:szCs w:val="24"/>
        </w:rPr>
        <w:t xml:space="preserve">Work submitted after the due date is considered late and will lose points for each day it is late. There is a grace period of one week for chapter quizzes. After the grace period, the quizzes will close and no longer be available. Closed assignments will not be reopened, and if not completed, will receive a grade of 0.</w:t>
      </w:r>
    </w:p>
    <w:p>
      <w:pPr>
        <w:spacing w:after="120"/>
      </w:pPr>
      <w:r>
        <w:rPr>
          <w:sz w:val="24"/>
          <w:szCs w:val="24"/>
        </w:rPr>
        <w:t xml:space="preserve">Exams are on the schedule date unless there are extenuating circumstances that have been communicated prior to the start of the exam.</w:t>
      </w:r>
    </w:p>
    <w:p>
      <w:pPr>
        <w:spacing w:after="120"/>
      </w:pPr>
      <w:r>
        <w:rPr>
          <w:sz w:val="24"/>
          <w:szCs w:val="24"/>
        </w:rPr>
        <w:t xml:space="preserve">Please discuss any issues that you are having in completing the coursework on time with me. I am available to talk this over with you by appointment.</w:t>
      </w:r>
    </w:p>
    <w:p>
      <w:pPr>
        <w:spacing w:after="120"/>
      </w:pPr>
      <w:r>
        <w:rPr>
          <w:sz w:val="24"/>
          <w:szCs w:val="24"/>
        </w:rPr>
        <w:t xml:space="preserve">If you are unable to complete the coursework during the semester due to some catastrophic issue, you must contact me immediately to discuss your alternatives. Discussion regarding an incomplete grade must occur before the end of the semester. Incomplete grades are only granted when specific criteria are met and a discussion has occurred at the time the catastrophic issue occurred and before the end of the semester.</w:t>
      </w:r>
    </w:p>
    <w:p>
      <w:pPr>
        <w:spacing w:after="120"/>
      </w:pPr>
      <w:r>
        <w:rPr>
          <w:sz w:val="24"/>
          <w:szCs w:val="24"/>
        </w:rPr>
        <w:t xml:space="preserve">Our purpose in the classroom is to seek the truth; this work requires trust and honesty between teacher and student. If we are not honest about what we know and do not know, our learning will always be impaired. Because our teaching and learning depends on this honest communication, we expect all students to understand what plagiarism is and why it is unacceptable.</w:t>
      </w:r>
    </w:p>
    <w:p>
      <w:pPr>
        <w:spacing w:after="120"/>
      </w:pPr>
      <w:r>
        <w:rPr>
          <w:sz w:val="24"/>
          <w:szCs w:val="24"/>
        </w:rPr>
        <w:t xml:space="preserve">Plagiarism means taking someone else's ideas or words and presenting them as one's own. The offense can take many forms including cheating on a test, passing in a paper taken from the Internet or from another student, or failing to properly use and credit sources in an essay. Sometimes the issue is subtle, involving getting too much help on an assignment from someone else. In every instance, plagiarism means cheating both oneself and the owner of the source. Since the cheating sabotages a student's learning experience, consequences range from no credit for the assignment to failure for the course and possible expulsion from the college.</w:t>
      </w:r>
    </w:p>
    <w:p>
      <w:pPr>
        <w:spacing w:after="120"/>
      </w:pPr>
      <w:r>
        <w:rPr>
          <w:sz w:val="24"/>
          <w:szCs w:val="24"/>
        </w:rPr>
        <w:t xml:space="preserve">Any student considering plagiarism should recognize the consequences and consider alternatives. Students uncertain about what constitutes plagiarism may request help from faculty or from appropriate college services.</w:t>
      </w:r>
    </w:p>
    <w:p>
      <w:pPr>
        <w:spacing w:after="120"/>
      </w:pPr>
      <w:r>
        <w:rPr>
          <w:sz w:val="24"/>
          <w:szCs w:val="24"/>
        </w:rPr>
        <w:t xml:space="preserve">For information on using sources in writing, see the </w:t>
      </w:r>
      <w:hyperlink w:history="1" r:id="rId1fpvpcte5wsexuumvp9v6">
        <w:r>
          <w:rPr>
            <w:rStyle w:val="Hyperlink"/>
            <w:sz w:val="24"/>
            <w:szCs w:val="24"/>
          </w:rPr>
          <w:t xml:space="preserve">Academic Honesty section of the English Department website</w:t>
        </w:r>
      </w:hyperlink>
      <w:r>
        <w:rPr>
          <w:sz w:val="24"/>
          <w:szCs w:val="24"/>
        </w:rPr>
        <w:t xml:space="preserve">.</w:t>
      </w:r>
    </w:p>
    <w:p>
      <w:pPr>
        <w:spacing w:after="120"/>
      </w:pPr>
      <w:r>
        <w:rPr>
          <w:sz w:val="24"/>
          <w:szCs w:val="24"/>
        </w:rPr>
        <w:t xml:space="preserve">Plagiarized submissions will receive a grade of 0. Repeated incidences will be brought to the Dean of Students for disciplinary action as they see fit. See the Student Code of Conduct and Academic Honesty policy.</w:t>
      </w:r>
    </w:p>
    <w:p>
      <w:pPr>
        <w:pStyle w:val="Heading2"/>
        <w:spacing w:after="120" w:before="240"/>
      </w:pPr>
      <w:r>
        <w:t xml:space="preserve">Student Code of Conduct</w:t>
      </w:r>
    </w:p>
    <w:p>
      <w:pPr>
        <w:spacing w:after="120"/>
      </w:pPr>
      <w:r>
        <w:rPr>
          <w:sz w:val="24"/>
          <w:szCs w:val="24"/>
        </w:rPr>
        <w:t xml:space="preserve">Students are required to adhere to the Student Code of Conduct delineated in the Quinsigamond Community College website and Student Handbook.</w:t>
      </w:r>
    </w:p>
    <w:p>
      <w:pPr>
        <w:spacing w:after="120"/>
      </w:pPr>
      <w:r>
        <w:rPr>
          <w:sz w:val="24"/>
          <w:szCs w:val="24"/>
        </w:rPr>
        <w:t xml:space="preserve">Review the </w:t>
      </w:r>
      <w:hyperlink w:history="1" r:id="rIdnzt6exlyhlcttctr29_3a">
        <w:r>
          <w:rPr>
            <w:rStyle w:val="Hyperlink"/>
            <w:sz w:val="24"/>
            <w:szCs w:val="24"/>
          </w:rPr>
          <w:t xml:space="preserve">QCC Student Handbook</w:t>
        </w:r>
      </w:hyperlink>
      <w:r>
        <w:rPr>
          <w:sz w:val="24"/>
          <w:szCs w:val="24"/>
        </w:rPr>
        <w:t xml:space="preserve"> for complete details on the Student Code of Conduct.</w:t>
      </w:r>
    </w:p>
    <w:p>
      <w:pPr>
        <w:pStyle w:val="Heading2"/>
        <w:spacing w:after="120" w:before="240"/>
      </w:pPr>
      <w:r>
        <w:t xml:space="preserve">Accessibility and Accommodations</w:t>
      </w:r>
    </w:p>
    <w:p>
      <w:pPr>
        <w:spacing w:after="120"/>
      </w:pPr>
      <w:r>
        <w:rPr>
          <w:sz w:val="24"/>
          <w:szCs w:val="24"/>
        </w:rPr>
        <w:t xml:space="preserve">If you have a disability which may require an accommodation, please notify me as soon as possible. You are responsible for forwarding your Accommodation Letter to me and discussing arrangements for this course. Your accommodations for this course begin upon my receipt of your Accommodation Letter; accommodations are not retroactive. You may request accommodations at any time during the semester, but instructors must be provided with reasonable notice prior to exams or deadlines. Student Accessibility Services works to promote access to ensure an accessible college experience for students. If you have further questions, contact Student Accessibility Services. All discussions are confidential.</w:t>
      </w:r>
    </w:p>
    <w:p>
      <w:pPr>
        <w:spacing w:after="120"/>
      </w:pPr>
      <w:r>
        <w:rPr>
          <w:sz w:val="24"/>
          <w:szCs w:val="24"/>
        </w:rPr>
        <w:t xml:space="preserve"/>
      </w:r>
    </w:p>
    <w:p>
      <w:pPr>
        <w:pStyle w:val="ListParagraph"/>
        <w:numPr>
          <w:ilvl w:val="0"/>
          <w:numId w:val="1"/>
        </w:numPr>
        <w:spacing w:after="60"/>
      </w:pPr>
      <w:r>
        <w:rPr>
          <w:sz w:val="24"/>
          <w:szCs w:val="24"/>
        </w:rPr>
        <w:t xml:space="preserve">Call: 508-854-4471</w:t>
      </w:r>
    </w:p>
    <w:p>
      <w:pPr>
        <w:pStyle w:val="ListParagraph"/>
        <w:numPr>
          <w:ilvl w:val="0"/>
          <w:numId w:val="1"/>
        </w:numPr>
        <w:spacing w:after="60"/>
      </w:pPr>
      <w:r>
        <w:rPr>
          <w:sz w:val="24"/>
          <w:szCs w:val="24"/>
        </w:rPr>
        <w:t xml:space="preserve">Sorenson Video Phone: 508-502-7647</w:t>
      </w:r>
    </w:p>
    <w:p>
      <w:pPr>
        <w:pStyle w:val="ListParagraph"/>
        <w:numPr>
          <w:ilvl w:val="0"/>
          <w:numId w:val="1"/>
        </w:numPr>
        <w:spacing w:after="60"/>
      </w:pPr>
      <w:r>
        <w:rPr>
          <w:sz w:val="24"/>
          <w:szCs w:val="24"/>
        </w:rPr>
        <w:t xml:space="preserve">Email: disabilityservices@qcc.mass.edu</w:t>
      </w:r>
    </w:p>
    <w:p>
      <w:pPr>
        <w:pStyle w:val="Heading2"/>
        <w:spacing w:after="120" w:before="240"/>
      </w:pPr>
      <w:r>
        <w:t xml:space="preserve">Student Support Services</w:t>
      </w:r>
    </w:p>
    <w:p>
      <w:pPr>
        <w:spacing w:after="120"/>
      </w:pPr>
      <w:r>
        <w:rPr>
          <w:sz w:val="24"/>
          <w:szCs w:val="24"/>
        </w:rPr>
        <w:t xml:space="preserve">QCC offers a range of student support services including Academic Advising, Student Success Center, General Academic Areas Tutoring Center, Math Center, Health and Wellness, Library, and Writing Center.</w:t>
      </w:r>
    </w:p>
    <w:p>
      <w:pPr>
        <w:spacing w:after="120"/>
      </w:pPr>
      <w:r>
        <w:rPr>
          <w:sz w:val="24"/>
          <w:szCs w:val="24"/>
        </w:rPr>
        <w:t xml:space="preserve">Visit the </w:t>
      </w:r>
      <w:hyperlink w:history="1" r:id="rId-mezt8x0zohmvrv9tf3vc">
        <w:r>
          <w:rPr>
            <w:rStyle w:val="Hyperlink"/>
            <w:sz w:val="24"/>
            <w:szCs w:val="24"/>
          </w:rPr>
          <w:t xml:space="preserve">QCC student services website</w:t>
        </w:r>
      </w:hyperlink>
      <w:r>
        <w:rPr>
          <w:sz w:val="24"/>
          <w:szCs w:val="24"/>
        </w:rPr>
        <w:t xml:space="preserve"> for more information.</w:t>
      </w:r>
    </w:p>
    <w:p>
      <w:pPr>
        <w:spacing w:after="120"/>
      </w:pPr>
      <w:r>
        <w:rPr>
          <w:sz w:val="24"/>
          <w:szCs w:val="24"/>
        </w:rPr>
        <w:t xml:space="preserve">QCC is proud to support veterans. If you are a veteran of the armed forces, please visit the Veteran Affairs Office located in 125A (Administration Building) or contact them at veteranaffairs@qcc.mass.edu or call 508-854-4290.</w:t>
      </w:r>
    </w:p>
    <w:p>
      <w:pPr>
        <w:pBdr>
          <w:top w:val="single" w:color="CCCCCC" w:sz="1"/>
        </w:pBdr>
        <w:spacing w:before="400"/>
      </w:pPr>
      <w:r>
        <w:rPr>
          <w:i/>
          <w:iCs/>
          <w:color w:val="595959"/>
          <w:sz w:val="18"/>
          <w:szCs w:val="18"/>
        </w:rPr>
        <w:t xml:space="preserve">♿ Accessibility compliant — WCAG 2.2 / Section 508 | Generated by Document Ally on March 29,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nopfhil5iwseejo2sdih" Type="http://schemas.openxmlformats.org/officeDocument/2006/relationships/hyperlink" Target="http://www.qcc.edu/calendar" TargetMode="External"/><Relationship Id="rIdotpookfu9ubaf8zygwhvi" Type="http://schemas.openxmlformats.org/officeDocument/2006/relationships/hyperlink" Target="http://www.qcc.edu/help/email" TargetMode="External"/><Relationship Id="rIdqw55h41djkypyaylrbjaw" Type="http://schemas.openxmlformats.org/officeDocument/2006/relationships/hyperlink" Target="http://www.qcc.edu/help/blackboard" TargetMode="External"/><Relationship Id="rIdsvxy5klc6tutqkzg9c1pu" Type="http://schemas.openxmlformats.org/officeDocument/2006/relationships/hyperlink" Target="http://www.qcc.edu/help/tech-specs" TargetMode="External"/><Relationship Id="rIdkwhp34o-bm87wtcci5syb" Type="http://schemas.openxmlformats.org/officeDocument/2006/relationships/hyperlink" Target="http://www.qcc.edu/academics" TargetMode="External"/><Relationship Id="rId1fpvpcte5wsexuumvp9v6" Type="http://schemas.openxmlformats.org/officeDocument/2006/relationships/hyperlink" Target="http://www.qcc.edu/english" TargetMode="External"/><Relationship Id="rIdnzt6exlyhlcttctr29_3a" Type="http://schemas.openxmlformats.org/officeDocument/2006/relationships/hyperlink" Target="http://www.qcc.edu/handbook" TargetMode="External"/><Relationship Id="rId-mezt8x0zohmvrv9tf3vc" Type="http://schemas.openxmlformats.org/officeDocument/2006/relationships/hyperlink" Target="http://www.qcc.edu/service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2026-03-29T21:32:53.136Z</dcterms:created>
  <dcterms:modified xsi:type="dcterms:W3CDTF">2026-03-29T21:32:53.136Z</dcterms:modified>
</cp:coreProperties>
</file>

<file path=docProps/custom.xml><?xml version="1.0" encoding="utf-8"?>
<Properties xmlns="http://schemas.openxmlformats.org/officeDocument/2006/custom-properties" xmlns:vt="http://schemas.openxmlformats.org/officeDocument/2006/docPropsVTypes"/>
</file>