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 Design Handbook - Chapter 1</w:t>
      </w:r>
    </w:p>
    <w:p>
      <w:pPr>
        <w:pStyle w:val="Heading2"/>
      </w:pPr>
      <w:r>
        <w:t>1. Vision</w:t>
      </w:r>
    </w:p>
    <w:p>
      <w:r>
        <w:t>Eternal Rave is not just an event application. It is a digital ecosystem for electronic music, bringing together events, artists, clubs, organizers and the community in one premium experience.</w:t>
      </w:r>
    </w:p>
    <w:p>
      <w:pPr>
        <w:pStyle w:val="Heading2"/>
      </w:pPr>
      <w:r>
        <w:t>2. Design Mission</w:t>
      </w:r>
    </w:p>
    <w:p>
      <w:pPr>
        <w:pStyle w:val="ListBullet"/>
      </w:pPr>
      <w:r>
        <w:t>Create the lightness of modern consumer apps while preserving the emotion of the rave scene.</w:t>
      </w:r>
    </w:p>
    <w:p>
      <w:pPr>
        <w:pStyle w:val="ListBullet"/>
      </w:pPr>
      <w:r>
        <w:t>Reduce interface complexity so users focus on people, music and experiences.</w:t>
      </w:r>
    </w:p>
    <w:p>
      <w:pPr>
        <w:pStyle w:val="ListBullet"/>
      </w:pPr>
      <w:r>
        <w:t>Every screen should feel calm, premium and effortless.</w:t>
      </w:r>
    </w:p>
    <w:p>
      <w:pPr>
        <w:pStyle w:val="Heading2"/>
      </w:pPr>
      <w:r>
        <w:t>3. Core Principles</w:t>
      </w:r>
    </w:p>
    <w:p>
      <w:r>
        <w:rPr>
          <w:b/>
        </w:rPr>
        <w:t xml:space="preserve">Content First: </w:t>
      </w:r>
      <w:r>
        <w:t>Photography, video and artists are always the visual focus.</w:t>
      </w:r>
    </w:p>
    <w:p>
      <w:r>
        <w:rPr>
          <w:b/>
        </w:rPr>
        <w:t xml:space="preserve">Minimal Interface: </w:t>
      </w:r>
      <w:r>
        <w:t>Only essential controls remain visible.</w:t>
      </w:r>
    </w:p>
    <w:p>
      <w:r>
        <w:rPr>
          <w:b/>
        </w:rPr>
        <w:t xml:space="preserve">Consistency: </w:t>
      </w:r>
      <w:r>
        <w:t>Every screen follows the same spacing, typography and interaction rules.</w:t>
      </w:r>
    </w:p>
    <w:p>
      <w:r>
        <w:rPr>
          <w:b/>
        </w:rPr>
        <w:t xml:space="preserve">Performance: </w:t>
      </w:r>
      <w:r>
        <w:t>Smooth 60fps interactions are part of the design.</w:t>
      </w:r>
    </w:p>
    <w:p>
      <w:r>
        <w:rPr>
          <w:b/>
        </w:rPr>
        <w:t xml:space="preserve">Accessibility: </w:t>
      </w:r>
      <w:r>
        <w:t>Readable typography, sufficient contrast and large touch targets.</w:t>
      </w:r>
    </w:p>
    <w:p>
      <w:pPr>
        <w:pStyle w:val="Heading2"/>
      </w:pPr>
      <w:r>
        <w:t>4. User Experience Goals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User should feel...</w:t>
            </w:r>
          </w:p>
        </w:tc>
        <w:tc>
          <w:tcPr>
            <w:tcW w:type="dxa" w:w="4320"/>
          </w:tcPr>
          <w:p>
            <w:r>
              <w:t>Design decision</w:t>
            </w:r>
          </w:p>
        </w:tc>
      </w:tr>
      <w:tr>
        <w:tc>
          <w:tcPr>
            <w:tcW w:type="dxa" w:w="4320"/>
          </w:tcPr>
          <w:p>
            <w:r>
              <w:t>Inspired</w:t>
            </w:r>
          </w:p>
        </w:tc>
        <w:tc>
          <w:tcPr>
            <w:tcW w:type="dxa" w:w="4320"/>
          </w:tcPr>
          <w:p>
            <w:r>
              <w:t>Large event imagery and artist content</w:t>
            </w:r>
          </w:p>
        </w:tc>
      </w:tr>
      <w:tr>
        <w:tc>
          <w:tcPr>
            <w:tcW w:type="dxa" w:w="4320"/>
          </w:tcPr>
          <w:p>
            <w:r>
              <w:t>In control</w:t>
            </w:r>
          </w:p>
        </w:tc>
        <w:tc>
          <w:tcPr>
            <w:tcW w:type="dxa" w:w="4320"/>
          </w:tcPr>
          <w:p>
            <w:r>
              <w:t>Simple navigation and predictable interactions</w:t>
            </w:r>
          </w:p>
        </w:tc>
      </w:tr>
      <w:tr>
        <w:tc>
          <w:tcPr>
            <w:tcW w:type="dxa" w:w="4320"/>
          </w:tcPr>
          <w:p>
            <w:r>
              <w:t>Connected</w:t>
            </w:r>
          </w:p>
        </w:tc>
        <w:tc>
          <w:tcPr>
            <w:tcW w:type="dxa" w:w="4320"/>
          </w:tcPr>
          <w:p>
            <w:r>
              <w:t>Community features are easy to reach</w:t>
            </w:r>
          </w:p>
        </w:tc>
      </w:tr>
      <w:tr>
        <w:tc>
          <w:tcPr>
            <w:tcW w:type="dxa" w:w="4320"/>
          </w:tcPr>
          <w:p>
            <w:r>
              <w:t>Excited</w:t>
            </w:r>
          </w:p>
        </w:tc>
        <w:tc>
          <w:tcPr>
            <w:tcW w:type="dxa" w:w="4320"/>
          </w:tcPr>
          <w:p>
            <w:r>
              <w:t>Content creates emotion, not visual clutter</w:t>
            </w:r>
          </w:p>
        </w:tc>
      </w:tr>
      <w:tr>
        <w:tc>
          <w:tcPr>
            <w:tcW w:type="dxa" w:w="4320"/>
          </w:tcPr>
          <w:p>
            <w:r>
              <w:t>Confident</w:t>
            </w:r>
          </w:p>
        </w:tc>
        <w:tc>
          <w:tcPr>
            <w:tcW w:type="dxa" w:w="4320"/>
          </w:tcPr>
          <w:p>
            <w:r>
              <w:t>Fast, consistent interface</w:t>
            </w:r>
          </w:p>
        </w:tc>
      </w:tr>
    </w:tbl>
    <w:p>
      <w:pPr>
        <w:pStyle w:val="Heading2"/>
      </w:pPr>
      <w:r>
        <w:t>5. Non-Negotiable Rules</w:t>
      </w:r>
    </w:p>
    <w:p>
      <w:pPr>
        <w:pStyle w:val="ListBullet"/>
      </w:pPr>
      <w:r>
        <w:t>No unnecessary visual noise.</w:t>
      </w:r>
    </w:p>
    <w:p>
      <w:pPr>
        <w:pStyle w:val="ListBullet"/>
      </w:pPr>
      <w:r>
        <w:t>No more than one primary action per screen.</w:t>
      </w:r>
    </w:p>
    <w:p>
      <w:pPr>
        <w:pStyle w:val="ListBullet"/>
      </w:pPr>
      <w:r>
        <w:t>Accent color is used intentionally.</w:t>
      </w:r>
    </w:p>
    <w:p>
      <w:pPr>
        <w:pStyle w:val="ListBullet"/>
      </w:pPr>
      <w:r>
        <w:t>Whitespace is a design tool.</w:t>
      </w:r>
    </w:p>
    <w:p>
      <w:pPr>
        <w:pStyle w:val="ListBullet"/>
      </w:pPr>
      <w:r>
        <w:t>If removing an element improves clarity, remove it.</w:t>
      </w:r>
    </w:p>
    <w:p>
      <w:pPr>
        <w:pStyle w:val="Heading2"/>
      </w:pPr>
      <w:r>
        <w:t>Next Chapters</w:t>
      </w:r>
    </w:p>
    <w:p>
      <w:r>
        <w:t>Chapter 2 will define Foundations: colors, typography, spacing, grids, radii, elevation, motion tokens and design tokens in implementation-ready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