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ABC International Bank: Risk assessment</w:t>
      </w:r>
    </w:p>
    <w:p w:rsidR="00000000" w:rsidDel="00000000" w:rsidP="00000000" w:rsidRDefault="00000000" w:rsidRPr="00000000" w14:paraId="00000002">
      <w:pPr>
        <w:pStyle w:val="Heading2"/>
        <w:jc w:val="both"/>
        <w:rPr>
          <w:rFonts w:ascii="Google Sans" w:cs="Google Sans" w:eastAsia="Google Sans" w:hAnsi="Google Sans"/>
        </w:rPr>
      </w:pPr>
      <w:bookmarkStart w:colFirst="0" w:colLast="0" w:name="_jdudu6fs5rtm" w:id="1"/>
      <w:bookmarkEnd w:id="1"/>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3">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4">
      <w:pPr>
        <w:jc w:val="both"/>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numPr>
          <w:ilvl w:val="0"/>
          <w:numId w:val="1"/>
        </w:numPr>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servers, routers, switches, firewalls, storage devices, etc.</w:t>
      </w:r>
    </w:p>
    <w:p w:rsidR="00000000" w:rsidDel="00000000" w:rsidP="00000000" w:rsidRDefault="00000000" w:rsidRPr="00000000" w14:paraId="00000006">
      <w:pPr>
        <w:numPr>
          <w:ilvl w:val="0"/>
          <w:numId w:val="1"/>
        </w:numPr>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 laptops, smartphones), remote workstations, peripherals (headsets, cables, keyboards, mice), docking stations, etc.</w:t>
      </w:r>
    </w:p>
    <w:p w:rsidR="00000000" w:rsidDel="00000000" w:rsidP="00000000" w:rsidRDefault="00000000" w:rsidRPr="00000000" w14:paraId="00000007">
      <w:pPr>
        <w:numPr>
          <w:ilvl w:val="0"/>
          <w:numId w:val="1"/>
        </w:numPr>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core banking system, CRM system, telecommunication systems, database management systems, security systems, ecommerce platforms, and inventory management systems.</w:t>
      </w:r>
    </w:p>
    <w:p w:rsidR="00000000" w:rsidDel="00000000" w:rsidP="00000000" w:rsidRDefault="00000000" w:rsidRPr="00000000" w14:paraId="00000008">
      <w:pPr>
        <w:numPr>
          <w:ilvl w:val="0"/>
          <w:numId w:val="1"/>
        </w:numPr>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 connectivity to external networks and the internet.</w:t>
      </w:r>
    </w:p>
    <w:p w:rsidR="00000000" w:rsidDel="00000000" w:rsidP="00000000" w:rsidRDefault="00000000" w:rsidRPr="00000000" w14:paraId="00000009">
      <w:pPr>
        <w:numPr>
          <w:ilvl w:val="0"/>
          <w:numId w:val="1"/>
        </w:numPr>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 infrastructure supporting internal communication and data transfer.</w:t>
      </w:r>
    </w:p>
    <w:p w:rsidR="00000000" w:rsidDel="00000000" w:rsidP="00000000" w:rsidRDefault="00000000" w:rsidRPr="00000000" w14:paraId="0000000A">
      <w:pPr>
        <w:numPr>
          <w:ilvl w:val="0"/>
          <w:numId w:val="1"/>
        </w:numPr>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Vendor access management: controls for third-party access to systems and data.</w:t>
      </w:r>
    </w:p>
    <w:p w:rsidR="00000000" w:rsidDel="00000000" w:rsidP="00000000" w:rsidRDefault="00000000" w:rsidRPr="00000000" w14:paraId="0000000B">
      <w:pPr>
        <w:numPr>
          <w:ilvl w:val="0"/>
          <w:numId w:val="1"/>
        </w:numPr>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center hosting services: facilities hosting critical systems and data.</w:t>
      </w:r>
    </w:p>
    <w:p w:rsidR="00000000" w:rsidDel="00000000" w:rsidP="00000000" w:rsidRDefault="00000000" w:rsidRPr="00000000" w14:paraId="0000000C">
      <w:pPr>
        <w:numPr>
          <w:ilvl w:val="0"/>
          <w:numId w:val="1"/>
        </w:numPr>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 systems and processes for storing and managing customer and transactional data.</w:t>
      </w:r>
    </w:p>
    <w:p w:rsidR="00000000" w:rsidDel="00000000" w:rsidP="00000000" w:rsidRDefault="00000000" w:rsidRPr="00000000" w14:paraId="0000000D">
      <w:pPr>
        <w:numPr>
          <w:ilvl w:val="0"/>
          <w:numId w:val="1"/>
        </w:numPr>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Badge readers: access control mechanisms for physical locations.</w:t>
      </w:r>
    </w:p>
    <w:p w:rsidR="00000000" w:rsidDel="00000000" w:rsidP="00000000" w:rsidRDefault="00000000" w:rsidRPr="00000000" w14:paraId="0000000E">
      <w:pPr>
        <w:numPr>
          <w:ilvl w:val="0"/>
          <w:numId w:val="1"/>
        </w:numPr>
        <w:ind w:left="720" w:hanging="360"/>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maintenance and monitoring of outdated systems requiring manual intervention.</w:t>
      </w:r>
      <w:r w:rsidDel="00000000" w:rsidR="00000000" w:rsidRPr="00000000">
        <w:rPr>
          <w:rtl w:val="0"/>
        </w:rPr>
      </w:r>
    </w:p>
    <w:p w:rsidR="00000000" w:rsidDel="00000000" w:rsidP="00000000" w:rsidRDefault="00000000" w:rsidRPr="00000000" w14:paraId="0000000F">
      <w:pPr>
        <w:ind w:left="0" w:firstLine="0"/>
        <w:jc w:val="both"/>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pStyle w:val="Heading2"/>
        <w:jc w:val="both"/>
        <w:rPr>
          <w:rFonts w:ascii="Google Sans" w:cs="Google Sans" w:eastAsia="Google Sans" w:hAnsi="Google Sans"/>
        </w:rPr>
      </w:pPr>
      <w:bookmarkStart w:colFirst="0" w:colLast="0" w:name="_5i80k6dm51vy" w:id="2"/>
      <w:bookmarkEnd w:id="2"/>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1">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ABC International Bank faces risks related to inadequate management of assets and non-compliance with relevant regulations and standards. Insufficient controls are in place, exposing the bank to potential vulnerabilities and regulatory penalties.</w:t>
      </w:r>
    </w:p>
    <w:p w:rsidR="00000000" w:rsidDel="00000000" w:rsidP="00000000" w:rsidRDefault="00000000" w:rsidRPr="00000000" w14:paraId="00000012">
      <w:pPr>
        <w:pStyle w:val="Heading2"/>
        <w:jc w:val="both"/>
        <w:rPr>
          <w:rFonts w:ascii="Google Sans" w:cs="Google Sans" w:eastAsia="Google Sans" w:hAnsi="Google Sans"/>
        </w:rPr>
      </w:pPr>
      <w:bookmarkStart w:colFirst="0" w:colLast="0" w:name="_pepjp18yvpjs" w:id="3"/>
      <w:bookmarkEnd w:id="3"/>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3">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Following the NIST CSF framework, ABC International Bank should focus on the "Identify" function. They should allocate resources to effectively manage and track their assets, ensuring proper control and compliance. It is important to assess the impact of asset loss on business continuity and take appropriate measures to mitigate risks.</w:t>
      </w:r>
    </w:p>
    <w:p w:rsidR="00000000" w:rsidDel="00000000" w:rsidP="00000000" w:rsidRDefault="00000000" w:rsidRPr="00000000" w14:paraId="00000014">
      <w:pPr>
        <w:pStyle w:val="Heading2"/>
        <w:jc w:val="both"/>
        <w:rPr>
          <w:rFonts w:ascii="Google Sans" w:cs="Google Sans" w:eastAsia="Google Sans" w:hAnsi="Google Sans"/>
        </w:rPr>
      </w:pPr>
      <w:bookmarkStart w:colFirst="0" w:colLast="0" w:name="_ghnlzhum2uiy" w:id="4"/>
      <w:bookmarkEnd w:id="4"/>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5">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determined to be 8, indicating a significant risk level. This high score is due to the lack of adequate controls and non-compliance with regulations and standards, which increases the likelihood of asset loss, regulatory fines, and reputational damage.</w:t>
      </w:r>
    </w:p>
    <w:p w:rsidR="00000000" w:rsidDel="00000000" w:rsidP="00000000" w:rsidRDefault="00000000" w:rsidRPr="00000000" w14:paraId="00000016">
      <w:pPr>
        <w:pStyle w:val="Heading2"/>
        <w:jc w:val="both"/>
        <w:rPr>
          <w:rFonts w:ascii="Google Sans" w:cs="Google Sans" w:eastAsia="Google Sans" w:hAnsi="Google Sans"/>
        </w:rPr>
      </w:pPr>
      <w:bookmarkStart w:colFirst="0" w:colLast="0" w:name="_kmpxjpzb7q2o" w:id="5"/>
      <w:bookmarkEnd w:id="5"/>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7">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as it is currently unclear which specific assets would be affected. However, considering the bank's reliance on various systems and data, the loss could disrupt operations and compromise sensitive information. The likelihood of asset loss or fines imposed by regulatory bodies is high due to the absence of necessary controls and non-compliance with regulations, particularly related to data privacy and security.</w:t>
      </w:r>
    </w:p>
    <w:p w:rsidR="00000000" w:rsidDel="00000000" w:rsidP="00000000" w:rsidRDefault="00000000" w:rsidRPr="00000000" w14:paraId="00000018">
      <w:pPr>
        <w:jc w:val="both"/>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jc w:val="both"/>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It is crucial for ABC International Bank to address these risks promptly, implement robust control measures, enhance compliance practices, and prioritize the protection of customer data and financial operations.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