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Experiment Log #01 — Inter-utility "cascade" hypothesis tested and rejected; venture pivoted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68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*[your Team ID]*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Founder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Moise Tchivwila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Venture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AquaCascade AI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Submitted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2026-05-17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Entry #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Major hypothesis test → strategic pivot</w:t>
            </w:r>
          </w:p>
        </w:tc>
      </w:tr>
    </w:tbl>
    <w:p/>
    <w:p>
      <w:pPr>
        <w:pStyle w:val="Heading2"/>
      </w:pPr>
      <w:r>
        <w:t>Assumption tested</w:t>
      </w:r>
    </w:p>
    <w:p>
      <w:r>
        <w:t xml:space="preserve">That risk in water-utility infrastructure </w:t>
      </w:r>
      <w:r>
        <w:rPr>
          <w:b/>
        </w:rPr>
        <w:t>cascades across utilities</w:t>
      </w:r>
      <w:r>
        <w:t xml:space="preserve"> the way it does in air-traffic control networks (the framing I brought from my FAA NEXTOR research), and that a Katz-style multi-hop network propagation model on a real adjacency graph would produce a defensible nationwide risk product.</w:t>
      </w:r>
    </w:p>
    <w:p>
      <w:pPr>
        <w:pStyle w:val="Heading2"/>
      </w:pPr>
      <w:r>
        <w:t>Method (what we did)</w:t>
      </w:r>
    </w:p>
    <w:p>
      <w:pPr>
        <w:pStyle w:val="ListNumber"/>
      </w:pPr>
      <w:r>
        <w:t>Built the per-system signature risk model on real EPA SDWA data and confirmed the base predictive signal (51,056 community water systems; out-of-fold CV ROC-AUC 0.683, leakage-corrected).</w:t>
      </w:r>
    </w:p>
    <w:p>
      <w:pPr>
        <w:pStyle w:val="ListNumber"/>
      </w:pPr>
      <w:r>
        <w:t xml:space="preserve">Constructed the </w:t>
      </w:r>
      <w:r>
        <w:rPr>
          <w:b/>
        </w:rPr>
        <w:t>true polygon-adjacency graph</w:t>
      </w:r>
      <w:r>
        <w:t xml:space="preserve"> of U.S. community water systems from EPA's Service Area Boundary Layer (4,993 polygons, GIS, geopandas + STRtree spatial index).</w:t>
      </w:r>
    </w:p>
    <w:p>
      <w:pPr>
        <w:pStyle w:val="ListNumber"/>
      </w:pPr>
      <w:r>
        <w:t xml:space="preserve">Tested the cascade hypothesis end-to-end on the same training data: leakage-safe 1-hop neighbor-risk feature, then multi-hop </w:t>
      </w:r>
      <w:r>
        <w:rPr>
          <w:b/>
        </w:rPr>
        <w:t>Katz propagation</w:t>
      </w:r>
      <w:r>
        <w:t xml:space="preserve"> (α=0.4, 6 hops) — the exact operator from my FAA work, transferred IP-clean.</w:t>
      </w:r>
    </w:p>
    <w:p>
      <w:pPr>
        <w:pStyle w:val="ListNumber"/>
      </w:pPr>
      <w:r>
        <w:t xml:space="preserve">Compared against a non-cascade alternative (a leakage-safe </w:t>
      </w:r>
      <w:r>
        <w:rPr>
          <w:b/>
        </w:rPr>
        <w:t>county regional-risk</w:t>
      </w:r>
      <w:r>
        <w:t xml:space="preserve"> term computed from training labels only, per fold).</w:t>
      </w:r>
    </w:p>
    <w:p>
      <w:pPr>
        <w:pStyle w:val="Heading2"/>
      </w:pPr>
      <w:r>
        <w:t>Evidence gathered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468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GIS coverage on modelled systems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3,591 / 65,720 covered, </w:t>
            </w:r>
            <w:r>
              <w:rPr>
                <w:b/>
                <w:sz w:val="19"/>
              </w:rPr>
              <w:t>2,289 edges, mean degree 1.27</w:t>
            </w:r>
            <w:r>
              <w:rPr>
                <w:sz w:val="19"/>
              </w:rPr>
              <w:t xml:space="preserve">, only </w:t>
            </w:r>
            <w:r>
              <w:rPr>
                <w:b/>
                <w:sz w:val="19"/>
              </w:rPr>
              <w:t>52.5%</w:t>
            </w:r>
            <w:r>
              <w:rPr>
                <w:sz w:val="19"/>
              </w:rPr>
              <w:t xml:space="preserve"> of systems have any neighbor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Base ROC on GIS subset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0.827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+ 1-hop neighbor risk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0.833 ( </w:t>
            </w:r>
            <w:r>
              <w:rPr>
                <w:b/>
                <w:sz w:val="19"/>
              </w:rPr>
              <w:t>Δ +0.006</w:t>
            </w:r>
            <w:r>
              <w:rPr>
                <w:sz w:val="19"/>
              </w:rPr>
              <w:t xml:space="preserve"> — within CV noise 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+ Multi-hop Katz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0.782</w:t>
            </w:r>
            <w:r>
              <w:rPr>
                <w:sz w:val="19"/>
              </w:rPr>
              <w:t xml:space="preserve"> ( </w:t>
            </w:r>
            <w:r>
              <w:rPr>
                <w:b/>
                <w:sz w:val="19"/>
              </w:rPr>
              <w:t>Δ −0.045 — actually hurt</w:t>
            </w:r>
            <w:r>
              <w:rPr>
                <w:sz w:val="19"/>
              </w:rPr>
              <w:t xml:space="preserve"> 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County regional-risk term (alternative)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base 0.695 → </w:t>
            </w:r>
            <w:r>
              <w:rPr>
                <w:b/>
                <w:sz w:val="19"/>
              </w:rPr>
              <w:t>0.742 (+0.047 ROC)</w:t>
            </w:r>
            <w:r>
              <w:rPr>
                <w:sz w:val="19"/>
              </w:rPr>
              <w:t>, stable across every rebuild</w:t>
            </w:r>
          </w:p>
        </w:tc>
      </w:tr>
    </w:tbl>
    <w:p/>
    <w:p>
      <w:r>
        <w:t xml:space="preserve">Artifacts: </w:t>
      </w:r>
      <w:r>
        <w:rPr>
          <w:rFonts w:ascii="Consolas" w:hAnsi="Consolas"/>
          <w:sz w:val="20"/>
        </w:rPr>
        <w:t>05_Modeling/polygon_cascade.py</w:t>
      </w:r>
      <w:r>
        <w:t xml:space="preserve">, </w:t>
      </w:r>
      <w:r>
        <w:rPr>
          <w:rFonts w:ascii="Consolas" w:hAnsi="Consolas"/>
          <w:sz w:val="20"/>
        </w:rPr>
        <w:t>05_Modeling/polygon_results.json</w:t>
      </w:r>
      <w:r>
        <w:t xml:space="preserve">, </w:t>
      </w:r>
      <w:r>
        <w:rPr>
          <w:rFonts w:ascii="Consolas" w:hAnsi="Consolas"/>
          <w:sz w:val="20"/>
        </w:rPr>
        <w:t>05_Modeling/spatial_cascade.py</w:t>
      </w:r>
      <w:r>
        <w:t xml:space="preserve">, </w:t>
      </w:r>
      <w:r>
        <w:rPr>
          <w:rFonts w:ascii="Consolas" w:hAnsi="Consolas"/>
          <w:sz w:val="20"/>
        </w:rPr>
        <w:t>05_Modeling/spatial_results.json</w:t>
      </w:r>
      <w:r>
        <w:t xml:space="preserve">, </w:t>
      </w:r>
      <w:r>
        <w:rPr>
          <w:rFonts w:ascii="Consolas" w:hAnsi="Consolas"/>
          <w:sz w:val="20"/>
        </w:rPr>
        <w:t>03_Outputs/Charts/polygon_cascade_results.png</w:t>
      </w:r>
      <w:r>
        <w:t>.</w:t>
      </w:r>
    </w:p>
    <w:p>
      <w:pPr>
        <w:pStyle w:val="Heading2"/>
      </w:pPr>
      <w:r>
        <w:t>Learning</w:t>
      </w:r>
    </w:p>
    <w:p>
      <w:r>
        <w:t xml:space="preserve">Separate public water systems are </w:t>
      </w:r>
      <w:r>
        <w:rPr>
          <w:b/>
        </w:rPr>
        <w:t>geographically isolated entities</w:t>
      </w:r>
      <w:r>
        <w:t xml:space="preserve">, not a connected pipe network. The cascade graph is too sparse for propagation to add signal; multi-hop Katz over-smooths a near-disconnected graph and </w:t>
      </w:r>
      <w:r>
        <w:rPr>
          <w:b/>
        </w:rPr>
        <w:t>degrades</w:t>
      </w:r>
      <w:r>
        <w:t xml:space="preserve"> predictive performance. The real, robust spatial signal is </w:t>
      </w:r>
      <w:r>
        <w:rPr>
          <w:b/>
        </w:rPr>
        <w:t>regional correlation</w:t>
      </w:r>
      <w:r>
        <w:t xml:space="preserve"> (shared regulator, source water, environmental context — captured by the county term), not physical inter-utility cascade.</w:t>
      </w:r>
    </w:p>
    <w:p>
      <w:pPr>
        <w:pStyle w:val="Heading2"/>
      </w:pPr>
      <w:r>
        <w:t>Decision</w:t>
      </w:r>
    </w:p>
    <w:p>
      <w:r>
        <w:rPr>
          <w:b/>
        </w:rPr>
        <w:t>Reject the inter-utility cascade framing.</w:t>
      </w:r>
      <w:r>
        <w:t xml:space="preserve"> Keep the county regional-risk feature as a legitimate auxiliary signal but stop calling it "cascade." Pivot the venture to the bottleneck the EPA data actually supports: the </w:t>
      </w:r>
      <w:r>
        <w:rPr>
          <w:b/>
        </w:rPr>
        <w:t>22.5 million "lead-status-unknown" service lines</w:t>
      </w:r>
      <w:r>
        <w:t xml:space="preserve"> mandated by EPA's Lead and Copper Rule Improvements (LCRI) — a real, unsolved national prioritization problem with public ground truth (the SDWIS service-line inventory) where the FAA criticality/scheduling methodology transfers IP-clean.</w:t>
      </w:r>
    </w:p>
    <w:p>
      <w:pPr>
        <w:pStyle w:val="Heading2"/>
      </w:pPr>
      <w:r>
        <w:t>How the venture changed</w:t>
      </w:r>
    </w:p>
    <w:p>
      <w:pPr>
        <w:pStyle w:val="ListBullet"/>
      </w:pPr>
      <w:r>
        <w:t>Stated venture statement moved from *"network-cascade risk analytics for U.S. water utilities"* → *"calibrated decision-support tool that prioritizes which lead-status-unknown service lines to investigate first under LCRI."*</w:t>
      </w:r>
    </w:p>
    <w:p>
      <w:pPr>
        <w:pStyle w:val="ListBullet"/>
      </w:pPr>
      <w:r>
        <w:t xml:space="preserve">Market sizing re-anchored on the SDWIS unknown-line inventory: ~49,000 community water systems, 2.96 M known Lead/GRR lines, </w:t>
      </w:r>
      <w:r>
        <w:rPr>
          <w:b/>
        </w:rPr>
        <w:t>22.5 M unknowns</w:t>
      </w:r>
      <w:r>
        <w:t xml:space="preserve"> (~7.6× the known problem), ~$4.5B investigation @ $200/line.</w:t>
      </w:r>
    </w:p>
    <w:p>
      <w:pPr>
        <w:pStyle w:val="ListBullet"/>
      </w:pPr>
      <w:r>
        <w:t>Methodology centerpiece (path signatures) retained for the risk model; cascade operator demoted to "tested and rejected — see Log #01."</w:t>
      </w:r>
    </w:p>
    <w:p>
      <w:pPr>
        <w:pStyle w:val="Heading2"/>
      </w:pPr>
      <w:r>
        <w:t>AI leverage</w:t>
      </w:r>
    </w:p>
    <w:p>
      <w:r>
        <w:t>Hypothesis generation and the entire test harness were AI-assisted: rapid construction of the polygon-adjacency graph (geopandas + STRtree), the Katz propagation operator, the leakage-safe cross-validation, the alternative spatial baseline, and side-by-side comparison — built and run in a single day. Without AI acceleration, a test of this rigor (real GIS data, real CV, honest decision criterion fixed in advance) would have taken weeks; we'd likely have shipped the cascade story unchallenged.</w:t>
      </w:r>
    </w:p>
    <w:p>
      <w:pPr>
        <w:pStyle w:val="Heading2"/>
      </w:pPr>
      <w:r>
        <w:t>Responsible impact</w:t>
      </w:r>
    </w:p>
    <w:p>
      <w:r>
        <w:t xml:space="preserve">We discovered (and avoided shipping) a framing that *sounded* technically sophisticated to non-specialist judges and customers but is </w:t>
      </w:r>
      <w:r>
        <w:rPr>
          <w:b/>
        </w:rPr>
        <w:t>not supported by the data</w:t>
      </w:r>
      <w:r>
        <w:t>. Putting a refuted hypothesis on the home page would have misled state drinking-water programs and ratepayers. Surfacing this negative result openly is the integrity standard the venture is committing to.</w:t>
      </w:r>
    </w:p>
    <w:p>
      <w:pPr>
        <w:pStyle w:val="Heading2"/>
      </w:pPr>
      <w:r>
        <w:t>Next experiment defined by this result</w:t>
      </w:r>
    </w:p>
    <w:p>
      <w:r>
        <w:t xml:space="preserve">A </w:t>
      </w:r>
      <w:r>
        <w:rPr>
          <w:b/>
        </w:rPr>
        <w:t>hierarchical / per-state-calibrated</w:t>
      </w:r>
      <w:r>
        <w:t xml:space="preserve"> model on the new (unknown-line triage) target, falsifiable in advance: success means group-by-state ROC materially above the cold-start baseline. (See Log #03 for why this experiment is the natural next step.)</w:t>
      </w:r>
    </w:p>
    <w:p>
      <w:pPr>
        <w:pStyle w:val="Heading2"/>
      </w:pPr>
      <w:r>
        <w:t>Verifiable artifacts</w:t>
      </w:r>
    </w:p>
    <w:p>
      <w:pPr>
        <w:pStyle w:val="ListBullet"/>
      </w:pPr>
      <w:r>
        <w:rPr>
          <w:rFonts w:ascii="Consolas" w:hAnsi="Consolas"/>
          <w:sz w:val="20"/>
        </w:rPr>
        <w:t>05_Modeling/polygon_cascade.py</w:t>
      </w:r>
      <w:r>
        <w:t xml:space="preserve"> (engine and CV)</w:t>
      </w:r>
    </w:p>
    <w:p>
      <w:pPr>
        <w:pStyle w:val="ListBullet"/>
      </w:pPr>
      <w:r>
        <w:rPr>
          <w:rFonts w:ascii="Consolas" w:hAnsi="Consolas"/>
          <w:sz w:val="20"/>
        </w:rPr>
        <w:t>05_Modeling/polygon_results.json</w:t>
      </w:r>
      <w:r>
        <w:t xml:space="preserve"> (exact numbers above)</w:t>
      </w:r>
    </w:p>
    <w:p>
      <w:pPr>
        <w:pStyle w:val="ListBullet"/>
      </w:pPr>
      <w:r>
        <w:rPr>
          <w:rFonts w:ascii="Consolas" w:hAnsi="Consolas"/>
          <w:sz w:val="20"/>
        </w:rPr>
        <w:t>05_Modeling/spatial_cascade.py</w:t>
      </w:r>
      <w:r>
        <w:t xml:space="preserve"> and </w:t>
      </w:r>
      <w:r>
        <w:rPr>
          <w:rFonts w:ascii="Consolas" w:hAnsi="Consolas"/>
          <w:sz w:val="20"/>
        </w:rPr>
        <w:t>spatial_results.json</w:t>
      </w:r>
      <w:r>
        <w:t xml:space="preserve"> (county comparison)</w:t>
      </w:r>
    </w:p>
    <w:p>
      <w:pPr>
        <w:pStyle w:val="ListBullet"/>
      </w:pPr>
      <w:r>
        <w:rPr>
          <w:rFonts w:ascii="Consolas" w:hAnsi="Consolas"/>
          <w:sz w:val="20"/>
        </w:rPr>
        <w:t>03_Outputs/Charts/polygon_cascade_results.png</w:t>
      </w:r>
      <w:r>
        <w:t xml:space="preserve"> (visual)</w:t>
      </w:r>
    </w:p>
    <w:p>
      <w:pPr>
        <w:pStyle w:val="ListBullet"/>
      </w:pPr>
      <w:r>
        <w:rPr>
          <w:rFonts w:ascii="Consolas" w:hAnsi="Consolas"/>
          <w:sz w:val="20"/>
        </w:rPr>
        <w:t>06_Reports/A_Methods_Decision_Log.md</w:t>
      </w:r>
      <w:r>
        <w:t xml:space="preserve"> §1–2 (decision narrative)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