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40"/>
        </w:rPr>
        <w:t>Experiment Log #02 — Signature methodology chosen by experiment, not assumption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1B3A5B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</w:r>
          </w:p>
        </w:tc>
        <w:tc>
          <w:tcPr>
            <w:tcW w:type="dxa" w:w="4680"/>
            <w:shd w:val="clear" w:fill="1B3A5B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Team ID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*[your Team ID]*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Founder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Moise Tchivwila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Venture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AquaCascade AI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Submitted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2026-05-17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Entry #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2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Type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Methodology rigor — paired A/B testing</w:t>
            </w:r>
          </w:p>
        </w:tc>
      </w:tr>
    </w:tbl>
    <w:p/>
    <w:p>
      <w:pPr>
        <w:pStyle w:val="Heading2"/>
      </w:pPr>
      <w:r>
        <w:t>Assumption tested</w:t>
      </w:r>
    </w:p>
    <w:p>
      <w:r>
        <w:t>Two design choices at the heart of the venture's mathematical centerpiece (the path-signature transform that linearizes per-system nonlinear trajectories) were inherited from my FAA work as defaults:</w:t>
      </w:r>
    </w:p>
    <w:p>
      <w:pPr>
        <w:pStyle w:val="ListNumber"/>
      </w:pPr>
      <w:r>
        <w:rPr>
          <w:b/>
        </w:rPr>
        <w:t>Truncation depth = 2</w:t>
      </w:r>
      <w:r>
        <w:t xml:space="preserve"> ("depth-2 should be enough; depth-3 quadruples dimensionality").</w:t>
      </w:r>
    </w:p>
    <w:p>
      <w:pPr>
        <w:pStyle w:val="ListNumber"/>
      </w:pPr>
      <w:r>
        <w:rPr>
          <w:b/>
        </w:rPr>
        <w:t>Geometric / Stratonovich</w:t>
      </w:r>
      <w:r>
        <w:t xml:space="preserve"> convention ("standard in the signature literature; Itô would not make a real difference on observed paths").</w:t>
      </w:r>
    </w:p>
    <w:p>
      <w:r>
        <w:t xml:space="preserve">Both deserved to be tested on </w:t>
      </w:r>
      <w:r>
        <w:rPr>
          <w:b/>
        </w:rPr>
        <w:t>our</w:t>
      </w:r>
      <w:r>
        <w:t xml:space="preserve"> data rather than asserted from outside literature.</w:t>
      </w:r>
    </w:p>
    <w:p>
      <w:pPr>
        <w:pStyle w:val="Heading2"/>
      </w:pPr>
      <w:r>
        <w:t>Method (what we did)</w:t>
      </w:r>
    </w:p>
    <w:p>
      <w:r>
        <w:t>For every methodology choice we used the same rigorous protocol so the results are comparable:</w:t>
      </w:r>
    </w:p>
    <w:p>
      <w:pPr>
        <w:pStyle w:val="ListBullet"/>
      </w:pPr>
      <w:r>
        <w:t>Same train/test data (51,056 community water systems; target = a 2022+ health-based SDWA violation; predictor window strictly pre-2022 → no temporal leakage).</w:t>
      </w:r>
    </w:p>
    <w:p>
      <w:pPr>
        <w:pStyle w:val="ListBullet"/>
      </w:pPr>
      <w:r>
        <w:t>Same downstream pipeline (LASSO feature selection → calibrated gradient-boosted trees).</w:t>
      </w:r>
    </w:p>
    <w:p>
      <w:pPr>
        <w:pStyle w:val="ListBullet"/>
      </w:pPr>
      <w:r>
        <w:rPr>
          <w:b/>
        </w:rPr>
        <w:t>RepeatedStratifiedKFold 5 × 5 = 25 paired CV splits</w:t>
      </w:r>
      <w:r>
        <w:t>, identical splits across variants, paired delta — the right test for small effects.</w:t>
      </w:r>
    </w:p>
    <w:p>
      <w:pPr>
        <w:pStyle w:val="ListBullet"/>
      </w:pPr>
      <w:r>
        <w:t>Decision criterion fixed in advance: a variant wins only if mean Δ &gt; 0.005 ROC AND beats the other on a clear majority of paired splits (&gt;≈ 90%).</w:t>
      </w:r>
    </w:p>
    <w:p>
      <w:r>
        <w:t>Two A/B experiments run:</w:t>
      </w:r>
    </w:p>
    <w:p>
      <w:r>
        <w:rPr>
          <w:b/>
        </w:rPr>
        <w:t>A/B-1 — Signature depth (3 variants):</w:t>
      </w:r>
      <w:r>
        <w:t xml:space="preserve"> depth-2 signature (20 dims), depth-3 signature (84 dims), depth-3 *log-signature* (84 dims, less-redundant coordinates).</w:t>
      </w:r>
    </w:p>
    <w:p>
      <w:r>
        <w:rPr>
          <w:b/>
        </w:rPr>
        <w:t>A/B-2 — Stochastic-calculus convention:</w:t>
      </w:r>
      <w:r>
        <w:t xml:space="preserve"> Stratonovich (geometric) vs Itô (left-point iterated sums), at depth 3.</w:t>
      </w:r>
    </w:p>
    <w:p>
      <w:pPr>
        <w:pStyle w:val="Heading2"/>
      </w:pPr>
      <w:r>
        <w:t>Evidence gathered</w:t>
      </w:r>
    </w:p>
    <w:p>
      <w:r>
        <w:rPr>
          <w:b/>
        </w:rPr>
        <w:t>A/B-1 — Depth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val="clear" w:fill="1B3A5B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Variant</w:t>
            </w:r>
          </w:p>
        </w:tc>
        <w:tc>
          <w:tcPr>
            <w:tcW w:type="dxa" w:w="1560"/>
            <w:shd w:val="clear" w:fill="1B3A5B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sig dim</w:t>
            </w:r>
          </w:p>
        </w:tc>
        <w:tc>
          <w:tcPr>
            <w:tcW w:type="dxa" w:w="1560"/>
            <w:shd w:val="clear" w:fill="1B3A5B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LASSO selected</w:t>
            </w:r>
          </w:p>
        </w:tc>
        <w:tc>
          <w:tcPr>
            <w:tcW w:type="dxa" w:w="1560"/>
            <w:shd w:val="clear" w:fill="1B3A5B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CV ROC-AUC (25 splits)</w:t>
            </w:r>
          </w:p>
        </w:tc>
        <w:tc>
          <w:tcPr>
            <w:tcW w:type="dxa" w:w="1560"/>
            <w:shd w:val="clear" w:fill="1B3A5B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Paired Δ vs depth-2</w:t>
            </w:r>
          </w:p>
        </w:tc>
        <w:tc>
          <w:tcPr>
            <w:tcW w:type="dxa" w:w="1560"/>
            <w:shd w:val="clear" w:fill="1B3A5B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% splits favouring</w:t>
            </w:r>
          </w:p>
        </w:tc>
      </w:tr>
      <w:tr>
        <w:tc>
          <w:tcPr>
            <w:tcW w:type="dxa" w:w="156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A · depth-2</w:t>
            </w:r>
          </w:p>
        </w:tc>
        <w:tc>
          <w:tcPr>
            <w:tcW w:type="dxa" w:w="156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20</w:t>
            </w:r>
          </w:p>
        </w:tc>
        <w:tc>
          <w:tcPr>
            <w:tcW w:type="dxa" w:w="156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30</w:t>
            </w:r>
          </w:p>
        </w:tc>
        <w:tc>
          <w:tcPr>
            <w:tcW w:type="dxa" w:w="156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0.6753 ± 0.0056</w:t>
            </w:r>
          </w:p>
        </w:tc>
        <w:tc>
          <w:tcPr>
            <w:tcW w:type="dxa" w:w="156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156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</w:tr>
      <w:tr>
        <w:tc>
          <w:tcPr>
            <w:tcW w:type="dxa" w:w="156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B · depth-3</w:t>
            </w:r>
          </w:p>
        </w:tc>
        <w:tc>
          <w:tcPr>
            <w:tcW w:type="dxa" w:w="156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84</w:t>
            </w:r>
          </w:p>
        </w:tc>
        <w:tc>
          <w:tcPr>
            <w:tcW w:type="dxa" w:w="156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66</w:t>
            </w:r>
          </w:p>
        </w:tc>
        <w:tc>
          <w:tcPr>
            <w:tcW w:type="dxa" w:w="156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0.6818 ± 0.0057</w:t>
            </w:r>
          </w:p>
        </w:tc>
        <w:tc>
          <w:tcPr>
            <w:tcW w:type="dxa" w:w="156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+0.0065 ± 0.0026</w:t>
            </w:r>
          </w:p>
        </w:tc>
        <w:tc>
          <w:tcPr>
            <w:tcW w:type="dxa" w:w="156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25 / 25 (100 %)</w:t>
            </w:r>
          </w:p>
        </w:tc>
      </w:tr>
      <w:tr>
        <w:tc>
          <w:tcPr>
            <w:tcW w:type="dxa" w:w="156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C · depth-3 log-sig</w:t>
            </w:r>
          </w:p>
        </w:tc>
        <w:tc>
          <w:tcPr>
            <w:tcW w:type="dxa" w:w="156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84</w:t>
            </w:r>
          </w:p>
        </w:tc>
        <w:tc>
          <w:tcPr>
            <w:tcW w:type="dxa" w:w="156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90</w:t>
            </w:r>
          </w:p>
        </w:tc>
        <w:tc>
          <w:tcPr>
            <w:tcW w:type="dxa" w:w="156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0.6736 ± 0.0051</w:t>
            </w:r>
          </w:p>
        </w:tc>
        <w:tc>
          <w:tcPr>
            <w:tcW w:type="dxa" w:w="156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−0.0018</w:t>
            </w:r>
          </w:p>
        </w:tc>
        <w:tc>
          <w:tcPr>
            <w:tcW w:type="dxa" w:w="156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6 / 25 (24 %)</w:t>
            </w:r>
          </w:p>
        </w:tc>
      </w:tr>
    </w:tbl>
    <w:p/>
    <w:p>
      <w:r>
        <w:rPr>
          <w:b/>
        </w:rPr>
        <w:t>A/B-2 — Calculus</w:t>
      </w:r>
      <w:r>
        <w:t xml:space="preserve"> (depth-3, 25 paired splits)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fill="1B3A5B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Variant</w:t>
            </w:r>
          </w:p>
        </w:tc>
        <w:tc>
          <w:tcPr>
            <w:tcW w:type="dxa" w:w="1872"/>
            <w:shd w:val="clear" w:fill="1B3A5B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CV ROC-AUC</w:t>
            </w:r>
          </w:p>
        </w:tc>
        <w:tc>
          <w:tcPr>
            <w:tcW w:type="dxa" w:w="1872"/>
            <w:shd w:val="clear" w:fill="1B3A5B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Paired Δ (Itô − Strat)</w:t>
            </w:r>
          </w:p>
        </w:tc>
        <w:tc>
          <w:tcPr>
            <w:tcW w:type="dxa" w:w="1872"/>
            <w:shd w:val="clear" w:fill="1B3A5B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% splits Itô beats Strat</w:t>
            </w:r>
          </w:p>
        </w:tc>
        <w:tc>
          <w:tcPr>
            <w:tcW w:type="dxa" w:w="1872"/>
            <w:shd w:val="clear" w:fill="1B3A5B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Feature relative L2 difference (median per system)</w:t>
            </w:r>
          </w:p>
        </w:tc>
      </w:tr>
      <w:tr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Stratonovich (geometric)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0.6818 ± 0.0057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</w:tr>
      <w:tr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Itô (iterated sums)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0.6819 ± 0.0065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+0.0001 ± 0.0026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11 / 25 (44 %)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2.3 %</w:t>
            </w:r>
          </w:p>
        </w:tc>
      </w:tr>
    </w:tbl>
    <w:p/>
    <w:p>
      <w:r>
        <w:t xml:space="preserve">Artifacts: </w:t>
      </w:r>
      <w:r>
        <w:rPr>
          <w:rFonts w:ascii="Consolas" w:hAnsi="Consolas"/>
          <w:sz w:val="20"/>
        </w:rPr>
        <w:t>05_Modeling/sig_depth_ab.py</w:t>
      </w:r>
      <w:r>
        <w:t xml:space="preserve">, </w:t>
      </w:r>
      <w:r>
        <w:rPr>
          <w:rFonts w:ascii="Consolas" w:hAnsi="Consolas"/>
          <w:sz w:val="20"/>
        </w:rPr>
        <w:t>sig_depth_ab_results.json</w:t>
      </w:r>
      <w:r>
        <w:t xml:space="preserve">, </w:t>
      </w:r>
      <w:r>
        <w:rPr>
          <w:rFonts w:ascii="Consolas" w:hAnsi="Consolas"/>
          <w:sz w:val="20"/>
        </w:rPr>
        <w:t>03_Outputs/Charts/sig_depth_ab.png</w:t>
      </w:r>
      <w:r>
        <w:t xml:space="preserve">; </w:t>
      </w:r>
      <w:r>
        <w:rPr>
          <w:rFonts w:ascii="Consolas" w:hAnsi="Consolas"/>
          <w:sz w:val="20"/>
        </w:rPr>
        <w:t>05_Modeling/sig_calculus_ab.py</w:t>
      </w:r>
      <w:r>
        <w:t xml:space="preserve">, </w:t>
      </w:r>
      <w:r>
        <w:rPr>
          <w:rFonts w:ascii="Consolas" w:hAnsi="Consolas"/>
          <w:sz w:val="20"/>
        </w:rPr>
        <w:t>sig_calculus_ab_results.json</w:t>
      </w:r>
      <w:r>
        <w:t xml:space="preserve">, </w:t>
      </w:r>
      <w:r>
        <w:rPr>
          <w:rFonts w:ascii="Consolas" w:hAnsi="Consolas"/>
          <w:sz w:val="20"/>
        </w:rPr>
        <w:t>03_Outputs/Charts/sig_calculus_ab.png</w:t>
      </w:r>
      <w:r>
        <w:t>.</w:t>
      </w:r>
    </w:p>
    <w:p>
      <w:pPr>
        <w:pStyle w:val="Heading2"/>
      </w:pPr>
      <w:r>
        <w:t>Learning</w:t>
      </w:r>
    </w:p>
    <w:p>
      <w:pPr>
        <w:pStyle w:val="ListBullet"/>
      </w:pPr>
      <w:r>
        <w:rPr>
          <w:b/>
        </w:rPr>
        <w:t>Depth-3 robustly beats depth-2.</w:t>
      </w:r>
      <w:r>
        <w:t xml:space="preserve"> A first single-split read suggested the +0.0065 gain was within noise. The proper *paired* analysis overturned that doubt: 100 % of 25 splits favour depth-3, mean Δ ≈ 12 standard errors above zero. Small but real.</w:t>
      </w:r>
    </w:p>
    <w:p>
      <w:pPr>
        <w:pStyle w:val="ListBullet"/>
      </w:pPr>
      <w:r>
        <w:rPr>
          <w:b/>
        </w:rPr>
        <w:t>Log-signature does NOT help on this data.</w:t>
      </w:r>
      <w:r>
        <w:t xml:space="preserve"> Slightly worse and *less* parsimonious (LASSO kept 90 features vs 30); the parametrization story does not survive contact with our data.</w:t>
      </w:r>
    </w:p>
    <w:p>
      <w:pPr>
        <w:pStyle w:val="ListBullet"/>
      </w:pPr>
      <w:r>
        <w:rPr>
          <w:b/>
        </w:rPr>
        <w:t>Itô vs Stratonovich are predictively indistinguishable</w:t>
      </w:r>
      <w:r>
        <w:t xml:space="preserve"> even though the feature blocks differ ~2 % L2 — meaningful difference in inputs, zero difference in outputs.</w:t>
      </w:r>
    </w:p>
    <w:p>
      <w:pPr>
        <w:pStyle w:val="Heading2"/>
      </w:pPr>
      <w:r>
        <w:t>Decision</w:t>
      </w:r>
    </w:p>
    <w:p>
      <w:pPr>
        <w:pStyle w:val="ListNumber"/>
      </w:pPr>
      <w:r>
        <w:rPr>
          <w:b/>
        </w:rPr>
        <w:t>Adopt depth-3 Stratonovich signature</w:t>
      </w:r>
      <w:r>
        <w:t xml:space="preserve"> as the canonical methodology — robust evidence, paired test passes the pre-registered bar.</w:t>
      </w:r>
    </w:p>
    <w:p>
      <w:pPr>
        <w:pStyle w:val="ListNumber"/>
      </w:pPr>
      <w:r>
        <w:rPr>
          <w:b/>
        </w:rPr>
        <w:t>Reject the log-signature variant.</w:t>
      </w:r>
    </w:p>
    <w:p>
      <w:pPr>
        <w:pStyle w:val="ListNumber"/>
      </w:pPr>
      <w:r>
        <w:rPr>
          <w:b/>
        </w:rPr>
        <w:t>Keep Stratonovich</w:t>
      </w:r>
      <w:r>
        <w:t xml:space="preserve"> on principled grounds (shuffle identity, reparameterization invariance) — but the choice is now data-backed rather than asserted.</w:t>
      </w:r>
    </w:p>
    <w:p>
      <w:pPr>
        <w:pStyle w:val="Heading2"/>
      </w:pPr>
      <w:r>
        <w:t>How the venture changed</w:t>
      </w:r>
    </w:p>
    <w:p>
      <w:pPr>
        <w:pStyle w:val="ListBullet"/>
      </w:pPr>
      <w:r>
        <w:t>The venture's methodological story moved from *"we use the signature method from rough-path theory"* (assertive) to *"we tested depth and calculus by paired CV; here are the numbers and the decisions they justify"* (rigorous).</w:t>
      </w:r>
    </w:p>
    <w:p>
      <w:pPr>
        <w:pStyle w:val="ListBullet"/>
      </w:pPr>
      <w:r>
        <w:t xml:space="preserve">The full methodology audit (Report A in </w:t>
      </w:r>
      <w:r>
        <w:rPr>
          <w:rFonts w:ascii="Consolas" w:hAnsi="Consolas"/>
          <w:sz w:val="20"/>
        </w:rPr>
        <w:t>06_Reports/</w:t>
      </w:r>
      <w:r>
        <w:t>) is now a defensible companion document.</w:t>
      </w:r>
    </w:p>
    <w:p>
      <w:pPr>
        <w:pStyle w:val="ListBullet"/>
      </w:pPr>
      <w:r>
        <w:t>For a competition weighting *Experimentation Rigor* at 30 %, this is the discipline I'm explicitly committing to.</w:t>
      </w:r>
    </w:p>
    <w:p>
      <w:pPr>
        <w:pStyle w:val="Heading2"/>
      </w:pPr>
      <w:r>
        <w:t>AI leverage</w:t>
      </w:r>
    </w:p>
    <w:p>
      <w:r>
        <w:t xml:space="preserve">The paired-CV harness, the depth-3 Chen-recursion implementation, the truncated tensor-logarithm, the Itô variant (= drop the symmetric correction terms; exactly the discrete left-point iterated-sums signature), the same-splits paired-delta accounting, and the publication-quality figures were all built with AI assistance in under a day. The depth and calculus experiments took </w:t>
      </w:r>
      <w:r>
        <w:rPr>
          <w:b/>
        </w:rPr>
        <w:t>3 minutes each</w:t>
      </w:r>
      <w:r>
        <w:t xml:space="preserve"> of compute and </w:t>
      </w:r>
      <w:r>
        <w:rPr>
          <w:b/>
        </w:rPr>
        <w:t>~half a day</w:t>
      </w:r>
      <w:r>
        <w:t xml:space="preserve"> of design + interpretation. Running the same A/Bs by hand would have taken weeks and very likely yielded a single-split "within noise" conclusion that the rigorous test contradicted.</w:t>
      </w:r>
    </w:p>
    <w:p>
      <w:pPr>
        <w:pStyle w:val="Heading2"/>
      </w:pPr>
      <w:r>
        <w:t>Responsible impact</w:t>
      </w:r>
    </w:p>
    <w:p>
      <w:r>
        <w:t>The headline finding I was tempted to brag about (an early run showed +0.040 ROC — a flashy number) was traced to a confound; the *honest* paired test gave +0.0065. We are publishing the small, honest number with its statistical justification, not the inflated one — and the same discipline now applies to every modeling choice in the venture.</w:t>
      </w:r>
    </w:p>
    <w:p>
      <w:pPr>
        <w:pStyle w:val="Heading2"/>
      </w:pPr>
      <w:r>
        <w:t>Next experiment defined by this result</w:t>
      </w:r>
    </w:p>
    <w:p>
      <w:r>
        <w:t xml:space="preserve">The *content* of the signature is settled; what is </w:t>
      </w:r>
      <w:r>
        <w:rPr>
          <w:b/>
        </w:rPr>
        <w:t>not</w:t>
      </w:r>
      <w:r>
        <w:t xml:space="preserve"> settled is the </w:t>
      </w:r>
      <w:r>
        <w:rPr>
          <w:b/>
        </w:rPr>
        <w:t>target generalization</w:t>
      </w:r>
      <w:r>
        <w:t xml:space="preserve"> — see Log #03 for the production-grade triage validation that surfaced the state-generalization limit.</w:t>
      </w:r>
    </w:p>
    <w:p>
      <w:pPr>
        <w:pStyle w:val="Heading2"/>
      </w:pPr>
      <w:r>
        <w:t>Verifiable artifacts</w:t>
      </w:r>
    </w:p>
    <w:p>
      <w:pPr>
        <w:pStyle w:val="ListBullet"/>
      </w:pPr>
      <w:r>
        <w:rPr>
          <w:rFonts w:ascii="Consolas" w:hAnsi="Consolas"/>
          <w:sz w:val="20"/>
        </w:rPr>
        <w:t>05_Modeling/sig_depth_ab.py</w:t>
      </w:r>
      <w:r>
        <w:t xml:space="preserve"> + </w:t>
      </w:r>
      <w:r>
        <w:rPr>
          <w:rFonts w:ascii="Consolas" w:hAnsi="Consolas"/>
          <w:sz w:val="20"/>
        </w:rPr>
        <w:t>sig_depth_ab_results.json</w:t>
      </w:r>
      <w:r>
        <w:t xml:space="preserve"> + </w:t>
      </w:r>
      <w:r>
        <w:rPr>
          <w:rFonts w:ascii="Consolas" w:hAnsi="Consolas"/>
          <w:sz w:val="20"/>
        </w:rPr>
        <w:t>03_Outputs/Charts/sig_depth_ab.png</w:t>
      </w:r>
    </w:p>
    <w:p>
      <w:pPr>
        <w:pStyle w:val="ListBullet"/>
      </w:pPr>
      <w:r>
        <w:rPr>
          <w:rFonts w:ascii="Consolas" w:hAnsi="Consolas"/>
          <w:sz w:val="20"/>
        </w:rPr>
        <w:t>05_Modeling/sig_calculus_ab.py</w:t>
      </w:r>
      <w:r>
        <w:t xml:space="preserve"> + </w:t>
      </w:r>
      <w:r>
        <w:rPr>
          <w:rFonts w:ascii="Consolas" w:hAnsi="Consolas"/>
          <w:sz w:val="20"/>
        </w:rPr>
        <w:t>sig_calculus_ab_results.json</w:t>
      </w:r>
      <w:r>
        <w:t xml:space="preserve"> + </w:t>
      </w:r>
      <w:r>
        <w:rPr>
          <w:rFonts w:ascii="Consolas" w:hAnsi="Consolas"/>
          <w:sz w:val="20"/>
        </w:rPr>
        <w:t>03_Outputs/Charts/sig_calculus_ab.png</w:t>
      </w:r>
    </w:p>
    <w:p>
      <w:pPr>
        <w:pStyle w:val="ListBullet"/>
      </w:pPr>
      <w:r>
        <w:rPr>
          <w:rFonts w:ascii="Consolas" w:hAnsi="Consolas"/>
          <w:sz w:val="20"/>
        </w:rPr>
        <w:t>05_Modeling/signature_pipeline.py</w:t>
      </w:r>
      <w:r>
        <w:t xml:space="preserve"> (canonical pipeline — </w:t>
      </w:r>
      <w:r>
        <w:rPr>
          <w:rFonts w:ascii="Consolas" w:hAnsi="Consolas"/>
          <w:sz w:val="20"/>
        </w:rPr>
        <w:t>signatures_ex(depth=3, calculus="strat")</w:t>
      </w:r>
      <w:r>
        <w:t xml:space="preserve"> is now the default)</w:t>
      </w:r>
    </w:p>
    <w:p>
      <w:pPr>
        <w:pStyle w:val="ListBullet"/>
      </w:pPr>
      <w:r>
        <w:rPr>
          <w:rFonts w:ascii="Consolas" w:hAnsi="Consolas"/>
          <w:sz w:val="20"/>
        </w:rPr>
        <w:t>06_Reports/A_Methods_Decision_Log.md</w:t>
      </w:r>
      <w:r>
        <w:t xml:space="preserve"> §5–6 (decision narrative)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B3A5B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B3A5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B3A5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