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AquaCascade AI — Stage 2 Progress</w:t>
      </w:r>
    </w:p>
    <w:p>
      <w:r>
        <w:rPr>
          <w:b/>
        </w:rPr>
        <w:t>Founder:</w:t>
      </w:r>
      <w:r>
        <w:t xml:space="preserve"> Moise Tchivwila</w:t>
      </w:r>
    </w:p>
    <w:p>
      <w:r>
        <w:rPr>
          <w:b/>
        </w:rPr>
        <w:t>Venture (scoped honestly):</w:t>
      </w:r>
      <w:r>
        <w:t xml:space="preserve"> A calibrated decision-support tool that helps a water system or a state drinking-water program decide *which of its lead-status-unknown service lines to investigate first*, using that system's own historical EPA data. It improves triage where historical inventory data exists; it is not a nationwide cold-start predictor (the data does not support that claim — see *Limitation*).</w:t>
      </w:r>
    </w:p>
    <w:p>
      <w:pPr>
        <w:pBdr>
          <w:bottom w:val="single" w:sz="6" w:color="1B3A5B"/>
        </w:pBdr>
      </w:pPr>
    </w:p>
    <w:p>
      <w:pPr>
        <w:pStyle w:val="Heading2"/>
      </w:pPr>
      <w:r>
        <w:t>1. What changed since Stage 1</w:t>
      </w:r>
    </w:p>
    <w:p>
      <w:r>
        <w:t>My Stage 1 idea was network "cascade" modeling for water utilities. I tested it and the data did not support it (Section 4). Following the evidence, I moved to a problem the data *does* support and that has a binding national mandate: prioritizing lead and lead-status-unknown service line work under EPA's Lead and Copper Rule Improvements (LCRI, finalized October 2024). Every U.S. community water system must inventory and replace lead and galvanized-requiring-replacement service lines on a ~10-year horizon, with disadvantaged communities prioritized. This pivot is the central learning of Stage 1→2, and it was driven by experiments, not preference.</w:t>
      </w:r>
    </w:p>
    <w:p>
      <w:pPr>
        <w:pStyle w:val="Heading2"/>
      </w:pPr>
      <w:r>
        <w:t>2. The problem, quantified from real EPA data</w:t>
      </w:r>
    </w:p>
    <w:p>
      <w:r>
        <w:t>All figures below are computed directly from EPA SDWIS / SDWA public datasets on file (a reproducibility manifest with SHA-256 hashes and row counts of every input is included with this submission):</w:t>
      </w:r>
    </w:p>
    <w:p>
      <w:pPr>
        <w:pStyle w:val="ListBullet"/>
      </w:pPr>
      <w:r>
        <w:rPr>
          <w:b/>
        </w:rPr>
        <w:t>49,387</w:t>
      </w:r>
      <w:r>
        <w:t xml:space="preserve"> active community water systems analyzed.</w:t>
      </w:r>
    </w:p>
    <w:p>
      <w:pPr>
        <w:pStyle w:val="ListBullet"/>
      </w:pPr>
      <w:r>
        <w:rPr>
          <w:b/>
        </w:rPr>
        <w:t>2.96 million</w:t>
      </w:r>
      <w:r>
        <w:t xml:space="preserve"> lead + galvanized-requiring-replacement service lines that must be replaced (~$16.7B at a literature mid-range of $4,700/line — stated as an explicit assumption, not a finding).</w:t>
      </w:r>
    </w:p>
    <w:p>
      <w:pPr>
        <w:pStyle w:val="ListBullet"/>
      </w:pPr>
      <w:r>
        <w:rPr>
          <w:b/>
        </w:rPr>
        <w:t>22.5 million</w:t>
      </w:r>
      <w:r>
        <w:t xml:space="preserve"> "lead status unknown" service lines. This is </w:t>
      </w:r>
      <w:r>
        <w:rPr>
          <w:b/>
        </w:rPr>
        <w:t>~7.6× larger than the known lead problem</w:t>
      </w:r>
      <w:r>
        <w:t xml:space="preserve"> and is the real bottleneck: every system is legally required to resolve these unknowns, investigation is cheap (~$200/line) relative to replacement, and there is no operational tool for deciding *which unknowns to investigate first*. This is where I focused.</w:t>
      </w:r>
    </w:p>
    <w:p>
      <w:pPr>
        <w:pStyle w:val="Heading2"/>
      </w:pPr>
      <w:r>
        <w:t>3. What I built (real, reproducible)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149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The pipeline, step by step.</w:t>
      </w:r>
    </w:p>
    <w:p>
      <w:r>
        <w:t>A reproducible pipeline on the full EPA record:</w:t>
      </w:r>
    </w:p>
    <w:p>
      <w:pPr>
        <w:pStyle w:val="ListBullet"/>
      </w:pPr>
      <w:r>
        <w:rPr>
          <w:b/>
        </w:rPr>
        <w:t>Step 1 — trajectory:</w:t>
      </w:r>
      <w:r>
        <w:t xml:space="preserve"> per-system quarterly time series (EPA Water System Summary, 2013Q1–2026Q1, the full 53-quarter panel).</w:t>
      </w:r>
    </w:p>
    <w:p>
      <w:pPr>
        <w:pStyle w:val="ListBullet"/>
      </w:pPr>
      <w:r>
        <w:rPr>
          <w:b/>
        </w:rPr>
        <w:t>Step 2 — path signature transform</w:t>
      </w:r>
      <w:r>
        <w:t xml:space="preserve"> (geometric/Stratonovich, time-augmented) to linearize each system's nonlinear trajectory. Depth and stochastic-calculus convention were *chosen by experiment*, not assumption (Section 4).</w:t>
      </w:r>
    </w:p>
    <w:p>
      <w:pPr>
        <w:pStyle w:val="ListBullet"/>
      </w:pPr>
      <w:r>
        <w:rPr>
          <w:b/>
        </w:rPr>
        <w:t>Step 3 — LASSO feature selection → gradient-boosted classifier</w:t>
      </w:r>
      <w:r>
        <w:t>, with isotonic probability calibration.</w:t>
      </w:r>
    </w:p>
    <w:p>
      <w:pPr>
        <w:pStyle w:val="ListBullet"/>
      </w:pPr>
      <w:r>
        <w:t>A real wholesale buyer→seller dependency network (EPA SAB data) is included as a feature.</w:t>
      </w:r>
    </w:p>
    <w:p>
      <w:r>
        <w:t>Every result below is cross-validated, leakage-controlled, and reproducible from the included manifest with one command.</w:t>
      </w:r>
    </w:p>
    <w:p>
      <w:pPr>
        <w:pStyle w:val="Heading2"/>
      </w:pPr>
      <w:r>
        <w:t>4. Experiment log — what I tested, the evidence, the decision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568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56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Every hypothesis tested and the evidence-based decision.</w:t>
      </w:r>
    </w:p>
    <w:p>
      <w:r>
        <w:t>The point of this section is the discipline, including the ideas I killed.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Hypothesis tested</w:t>
            </w:r>
          </w:p>
        </w:tc>
        <w:tc>
          <w:tcPr>
            <w:tcW w:type="dxa" w:w="312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120"/>
            <w:shd w:val="clear" w:fill="1B3A5B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Inter-utility physical "cascade" (risk propagates between adjacent systems)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Built the true service-area-polygon adjacency graph; only 52% of systems even have a neighbor, multi-hop propagation gave </w:t>
            </w:r>
            <w:r>
              <w:rPr>
                <w:b/>
                <w:sz w:val="19"/>
              </w:rPr>
              <w:t>no</w:t>
            </w:r>
            <w:r>
              <w:rPr>
                <w:sz w:val="19"/>
              </w:rPr>
              <w:t xml:space="preserve"> lift and over-smoothing *hurt*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Rejected.</w:t>
            </w:r>
            <w:r>
              <w:rPr>
                <w:sz w:val="19"/>
              </w:rPr>
              <w:t xml:space="preserve"> Separate utilities are not a connected pipe network.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Risk is regionally clustered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Leakage-safe county-risk term lifts the health-violation model </w:t>
            </w:r>
            <w:r>
              <w:rPr>
                <w:b/>
                <w:sz w:val="19"/>
              </w:rPr>
              <w:t>+0.047 ROC-AUC</w:t>
            </w:r>
            <w:r>
              <w:rPr>
                <w:sz w:val="19"/>
              </w:rPr>
              <w:t xml:space="preserve"> (0.695→0.742), residual Moran +0.06, stable across every rebuild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Kept</w:t>
            </w:r>
            <w:r>
              <w:rPr>
                <w:sz w:val="19"/>
              </w:rPr>
              <w:t xml:space="preserve"> (for the violation-risk model).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Long-run 2013–2025 distress trajectory predicts which unknowns are lead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Built it from local EPA data; A/B showed </w:t>
            </w:r>
            <w:r>
              <w:rPr>
                <w:b/>
                <w:sz w:val="19"/>
              </w:rPr>
              <w:t>−0.008 ROC</w:t>
            </w:r>
            <w:r>
              <w:rPr>
                <w:sz w:val="19"/>
              </w:rPr>
              <w:t>, no lift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Rejected.</w:t>
            </w:r>
            <w:r>
              <w:rPr>
                <w:sz w:val="19"/>
              </w:rPr>
              <w:t xml:space="preserve"> Lead pipe material is set by installation era, not violation history.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Original signature model AUC 0.727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Found a temporal-ordering flaw: predictors post-dated part of the target window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Corrected.</w:t>
            </w:r>
            <w:r>
              <w:rPr>
                <w:sz w:val="19"/>
              </w:rPr>
              <w:t xml:space="preserve"> Honest leakage-free number is </w:t>
            </w:r>
            <w:r>
              <w:rPr>
                <w:b/>
                <w:sz w:val="19"/>
              </w:rPr>
              <w:t>0.683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Signature truncation depth (2 vs 3)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25 paired CV splits: depth-3 beats depth-2 by </w:t>
            </w:r>
            <w:r>
              <w:rPr>
                <w:b/>
                <w:sz w:val="19"/>
              </w:rPr>
              <w:t>+0.0065 ROC, 100% of splits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Depth-3 adopted on evidence; log-signature tested and rejected.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Itô vs Stratonovich signature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25 paired splits: indistinguishable (Δ +0.0001) though feature blocks differ ~2–16%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Stratonovich kept on principled grounds (now data-backed).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>Does the triage model generalize to unseen states?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Group-by-state CV: ROC collapses </w:t>
            </w:r>
            <w:r>
              <w:rPr>
                <w:b/>
                <w:sz w:val="19"/>
              </w:rPr>
              <w:t>0.71 → 0.57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Material limitation found</w:t>
            </w:r>
            <w:r>
              <w:rPr>
                <w:sz w:val="19"/>
              </w:rPr>
              <w:t xml:space="preserve"> (Section 6).</w:t>
            </w:r>
          </w:p>
        </w:tc>
      </w:tr>
    </w:tbl>
    <w:p/>
    <w:p>
      <w:pPr>
        <w:pStyle w:val="Heading2"/>
      </w:pPr>
      <w:r>
        <w:t>5. Headline verified result — the unknown-line triage tool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6894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age_produ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89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B6B7B"/>
          <w:sz w:val="18"/>
        </w:rPr>
        <w:t>Figure. Calibrated triage model: calibration, PR, and lift.</w:t>
      </w:r>
    </w:p>
    <w:p>
      <w:r>
        <w:t>Production-hardened, calibrated, validated three independent ways, fully reproducible:</w:t>
      </w:r>
    </w:p>
    <w:p>
      <w:pPr>
        <w:pStyle w:val="ListBullet"/>
      </w:pPr>
      <w:r>
        <w:rPr>
          <w:b/>
        </w:rPr>
        <w:t>Within-distribution (repeated stratified 5×5 CV):</w:t>
      </w:r>
      <w:r>
        <w:t xml:space="preserve"> ROC-AUC </w:t>
      </w:r>
      <w:r>
        <w:rPr>
          <w:b/>
        </w:rPr>
        <w:t>0.71</w:t>
      </w:r>
      <w:r>
        <w:t xml:space="preserve"> (per-repeat 0.710 ± 0.007), PR-AUC </w:t>
      </w:r>
      <w:r>
        <w:rPr>
          <w:b/>
        </w:rPr>
        <w:t>0.22</w:t>
      </w:r>
      <w:r>
        <w:t xml:space="preserve"> vs a 0.092 base rate (~2.4×).</w:t>
      </w:r>
    </w:p>
    <w:p>
      <w:pPr>
        <w:pStyle w:val="ListBullet"/>
      </w:pPr>
      <w:r>
        <w:rPr>
          <w:b/>
        </w:rPr>
        <w:t>Well-calibrated:</w:t>
      </w:r>
      <w:r>
        <w:t xml:space="preserve"> ECE </w:t>
      </w:r>
      <w:r>
        <w:rPr>
          <w:b/>
        </w:rPr>
        <w:t>0.024</w:t>
      </w:r>
      <w:r>
        <w:t xml:space="preserve">, Brier </w:t>
      </w:r>
      <w:r>
        <w:rPr>
          <w:b/>
        </w:rPr>
        <w:t>0.079</w:t>
      </w:r>
      <w:r>
        <w:t xml:space="preserve"> — the predicted probabilities are usable for budgeting, not just ranking.</w:t>
      </w:r>
    </w:p>
    <w:p>
      <w:pPr>
        <w:pStyle w:val="ListBullet"/>
      </w:pPr>
      <w:r>
        <w:rPr>
          <w:b/>
        </w:rPr>
        <w:t>Operational value:</w:t>
      </w:r>
      <w:r>
        <w:t xml:space="preserve"> prioritizing by the model, the </w:t>
      </w:r>
      <w:r>
        <w:rPr>
          <w:b/>
        </w:rPr>
        <w:t>top 10% of systems contains ~33% of the lead-rich systems</w:t>
      </w:r>
      <w:r>
        <w:t xml:space="preserve"> (~3.3× better than choosing at random) — directly relevant to spending the cheap investigation dollars first.</w:t>
      </w:r>
    </w:p>
    <w:p>
      <w:r>
        <w:t>I am deliberately *not* quoting a "$X billion saved" figure. Earlier versions of that calculation were artifacts of a flawed exposure proxy and a circular metric; I removed them. The honest, defensible claim is ranking and calibration quality, not a headline dollar number.</w:t>
      </w:r>
    </w:p>
    <w:p>
      <w:pPr>
        <w:pStyle w:val="Heading2"/>
      </w:pPr>
      <w:r>
        <w:t>6. The limitation I am not hiding</w:t>
      </w:r>
    </w:p>
    <w:p>
      <w:r>
        <w:t xml:space="preserve">Under group-by-state cross-validation — training on some states, testing on entirely unseen states — ROC-AUC falls from 0.71 to </w:t>
      </w:r>
      <w:r>
        <w:rPr>
          <w:b/>
        </w:rPr>
        <w:t>0.57</w:t>
      </w:r>
      <w:r>
        <w:t xml:space="preserve">, near chance. The model learns state- and program-specific reclassification patterns; it does </w:t>
      </w:r>
      <w:r>
        <w:rPr>
          <w:b/>
        </w:rPr>
        <w:t>not</w:t>
      </w:r>
      <w:r>
        <w:t xml:space="preserve"> currently generalize cold to a new state.</w:t>
      </w:r>
    </w:p>
    <w:p>
      <w:r>
        <w:t xml:space="preserve">This is why the venture is scoped as it is: it improves triage for a utility or state program </w:t>
      </w:r>
      <w:r>
        <w:rPr>
          <w:b/>
        </w:rPr>
        <w:t>using its own historical SDWIS data</w:t>
      </w:r>
      <w:r>
        <w:t xml:space="preserve"> (which most have), not as a turnkey nationwide oracle. Stating this honestly is the point — weaker validation would have hidden it.</w:t>
      </w:r>
    </w:p>
    <w:p>
      <w:pPr>
        <w:pStyle w:val="Heading2"/>
      </w:pPr>
      <w:r>
        <w:t>7. Next experiments (defined by the evidence, not by hope)</w:t>
      </w:r>
    </w:p>
    <w:p>
      <w:pPr>
        <w:pStyle w:val="ListNumber"/>
      </w:pPr>
      <w:r>
        <w:rPr>
          <w:b/>
        </w:rPr>
        <w:t>Recover cross-state generalization:</w:t>
      </w:r>
      <w:r>
        <w:t xml:space="preserve"> test a hierarchical / state-aware model (state as a modeled level; per-state calibration). Clean, falsifiable; success criterion fixed in advance (group-by-state ROC materially above 0.57).</w:t>
      </w:r>
    </w:p>
    <w:p>
      <w:pPr>
        <w:pStyle w:val="ListNumber"/>
      </w:pPr>
      <w:r>
        <w:rPr>
          <w:b/>
        </w:rPr>
        <w:t>Customer-discovery validation (not yet done — stated honestly):</w:t>
      </w:r>
      <w:r>
        <w:t xml:space="preserve"> structured interviews with state drinking-water program engineers and mid-size utility asset managers to test (a) whether unknown-line investigation triage is a real budget pain, (b) whether a calibrated priority list changes their sequencing, (c) what evidence they require to trust a model recommendation. No interviews or pilots have been conducted yet; this is the immediate next step, and I will report outcomes honestly whatever they are.</w:t>
      </w:r>
    </w:p>
    <w:p>
      <w:pPr>
        <w:pStyle w:val="ListNumber"/>
      </w:pPr>
      <w:r>
        <w:rPr>
          <w:b/>
        </w:rPr>
        <w:t>Equity layer:</w:t>
      </w:r>
      <w:r>
        <w:t xml:space="preserve"> integrate the EPA Census-linked service-area demographics to test whether disadvantaged-community weighting (an explicit LCRI requirement) changes the priority ranking.</w:t>
      </w:r>
    </w:p>
    <w:p>
      <w:pPr>
        <w:pStyle w:val="Heading2"/>
      </w:pPr>
      <w:r>
        <w:t>8. How AI was used</w:t>
      </w:r>
    </w:p>
    <w:p>
      <w:r>
        <w:t>AI was the engine of the velocity shown in Section 4: rapid hypothesis generation, building and discarding the polygon-cascade, trajectory, and log-signature variants, the leakage audit that corrected 0.727→0.683, the depth and calculus A/B designs, and the reproducibility tooling. The compounding here is in *experiments run and killed per week*, not lines of code.</w:t>
      </w:r>
    </w:p>
    <w:p>
      <w:pPr>
        <w:pStyle w:val="Heading2"/>
      </w:pPr>
      <w:r>
        <w:t>9. Responsible AI and public interest</w:t>
      </w:r>
    </w:p>
    <w:p>
      <w:r>
        <w:t>This model allocates public health spending, so the standards are explicit and built in, not added later:</w:t>
      </w:r>
    </w:p>
    <w:p>
      <w:pPr>
        <w:pStyle w:val="ListBullet"/>
      </w:pPr>
      <w:r>
        <w:rPr>
          <w:b/>
        </w:rPr>
        <w:t>Transparency / reproducibility:</w:t>
      </w:r>
      <w:r>
        <w:t xml:space="preserve"> every input is hashed; the full pipeline re-runs from one command. Any reviewer or agency can verify the numbers independently.</w:t>
      </w:r>
    </w:p>
    <w:p>
      <w:pPr>
        <w:pStyle w:val="ListBullet"/>
      </w:pPr>
      <w:r>
        <w:rPr>
          <w:b/>
        </w:rPr>
        <w:t>Honest scope:</w:t>
      </w:r>
      <w:r>
        <w:t xml:space="preserve"> the state-generalization limit is stated up front so no agency over-trusts the tool outside its validated regime.</w:t>
      </w:r>
    </w:p>
    <w:p>
      <w:pPr>
        <w:pStyle w:val="ListBullet"/>
      </w:pPr>
      <w:r>
        <w:rPr>
          <w:b/>
        </w:rPr>
        <w:t>Equity:</w:t>
      </w:r>
      <w:r>
        <w:t xml:space="preserve"> LCRI requires prioritizing disadvantaged communities; the planned Census-linked equity layer makes that explicit and auditable.</w:t>
      </w:r>
    </w:p>
    <w:p>
      <w:pPr>
        <w:pStyle w:val="ListBullet"/>
      </w:pPr>
      <w:r>
        <w:rPr>
          <w:b/>
        </w:rPr>
        <w:t>No fabricated evidence:</w:t>
      </w:r>
      <w:r>
        <w:t xml:space="preserve"> every number in this document is computed from public EPA data and cross-validated. Claims that could not be substantiated were removed rather than softened.</w:t>
      </w:r>
    </w:p>
    <w:p>
      <w:pPr>
        <w:pBdr>
          <w:bottom w:val="single" w:sz="6" w:color="1B3A5B"/>
        </w:pBdr>
      </w:pPr>
    </w:p>
    <w:p>
      <w:r>
        <w:t>*All metrics are reproducible from the included manifest (</w:t>
      </w:r>
      <w:r>
        <w:rPr>
          <w:rFonts w:ascii="Consolas" w:hAnsi="Consolas"/>
          <w:sz w:val="20"/>
        </w:rPr>
        <w:t>triage_production_manifest.json</w:t>
      </w:r>
      <w:r>
        <w:t>): input file SHA-256 hashes, row counts, library versions, fixed random seed, and exact outputs.*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B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B3A5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B3A5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