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Report A — Every Method Considered, Result, and Decision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568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56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B"/>
          <w:sz w:val="18"/>
        </w:rPr>
        <w:t>Figure. Every method tested, decided by evidence (overview).</w:t>
      </w:r>
    </w:p>
    <w:p>
      <w:r>
        <w:rPr>
          <w:b/>
        </w:rPr>
        <w:t>Purpose:</w:t>
      </w:r>
      <w:r>
        <w:t xml:space="preserve"> a complete, honest record of every modeling approach that was tried, the number it produced, why it was rejected or kept, and why the final method was chosen. All numbers are cross-validated and reproducible from </w:t>
      </w:r>
      <w:r>
        <w:rPr>
          <w:rFonts w:ascii="Consolas" w:hAnsi="Consolas"/>
          <w:sz w:val="20"/>
        </w:rPr>
        <w:t>05_Modeling/</w:t>
      </w:r>
      <w:r>
        <w:t xml:space="preserve"> scripts and the JSON result files named in each row.</w:t>
      </w:r>
    </w:p>
    <w:p>
      <w:r>
        <w:t xml:space="preserve">There were </w:t>
      </w:r>
      <w:r>
        <w:rPr>
          <w:b/>
        </w:rPr>
        <w:t>two model tracks</w:t>
      </w:r>
      <w:r>
        <w:t>, kept distinct on purpose:</w:t>
      </w:r>
    </w:p>
    <w:p>
      <w:pPr>
        <w:pStyle w:val="ListBullet"/>
      </w:pPr>
      <w:r>
        <w:rPr>
          <w:b/>
        </w:rPr>
        <w:t>Track 1 — Signature risk model.</w:t>
      </w:r>
      <w:r>
        <w:t xml:space="preserve"> The original "signature process" idea: predict a future health-based water-quality violation from a system's operating trajectory. Used to investigate methodology and the spatial-clustering question.</w:t>
      </w:r>
    </w:p>
    <w:p>
      <w:pPr>
        <w:pStyle w:val="ListBullet"/>
      </w:pPr>
      <w:r>
        <w:rPr>
          <w:b/>
        </w:rPr>
        <w:t>Track 2 — Unknown-line lead triage (the venture product).</w:t>
      </w:r>
      <w:r>
        <w:t xml:space="preserve"> Predict which of a system's "lead-status-unknown" service lines are actually lead, to prioritize the cheap investigation spend the LCRI mandate requires.</w:t>
      </w:r>
    </w:p>
    <w:p>
      <w:r>
        <w:t xml:space="preserve">The final venture method is </w:t>
      </w:r>
      <w:r>
        <w:rPr>
          <w:b/>
        </w:rPr>
        <w:t>Track 2, production-hardened</w:t>
      </w:r>
      <w:r>
        <w:t xml:space="preserve"> (Section 9). Track 1's value was the evidence it produced, not a shipped model.</w:t>
      </w:r>
    </w:p>
    <w:p>
      <w:pPr>
        <w:pBdr>
          <w:bottom w:val="single" w:sz="6" w:color="1B3A5B"/>
        </w:pBdr>
      </w:pPr>
    </w:p>
    <w:p>
      <w:pPr>
        <w:pStyle w:val="Heading2"/>
      </w:pPr>
      <w:r>
        <w:t>1. Inter-utility cascade — county graph (Track 1 spatial test)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09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tial_cascade_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09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B"/>
          <w:sz w:val="18"/>
        </w:rPr>
        <w:t>Figure. County regional-risk term: base 0.695 -&gt; 0.742 (+0.047).</w:t>
      </w:r>
    </w:p>
    <w:p>
      <w:pPr>
        <w:pStyle w:val="ListBullet"/>
      </w:pPr>
      <w:r>
        <w:rPr>
          <w:b/>
        </w:rPr>
        <w:t>Idea:</w:t>
      </w:r>
      <w:r>
        <w:t xml:space="preserve"> risk propagates between water systems that share a county; use a county adjacency + leakage-safe county-risk term.</w:t>
      </w:r>
    </w:p>
    <w:p>
      <w:pPr>
        <w:pStyle w:val="ListBullet"/>
      </w:pPr>
      <w:r>
        <w:rPr>
          <w:b/>
        </w:rPr>
        <w:t>Result:</w:t>
      </w:r>
      <w:r>
        <w:t xml:space="preserve"> county-risk term lifts the health-violation model </w:t>
      </w:r>
      <w:r>
        <w:rPr>
          <w:b/>
        </w:rPr>
        <w:t>+0.047 ROC-AUC</w:t>
      </w:r>
      <w:r>
        <w:t xml:space="preserve"> (0.695 → 0.742), PR-AUC 0.368 → 0.447, residual Moran +0.061. Stable across every rebuild. *(</w:t>
      </w:r>
      <w:r>
        <w:rPr>
          <w:rFonts w:ascii="Consolas" w:hAnsi="Consolas"/>
          <w:sz w:val="20"/>
        </w:rPr>
        <w:t>spatial_results.json</w:t>
      </w:r>
      <w:r>
        <w:t>)*</w:t>
      </w:r>
    </w:p>
    <w:p>
      <w:pPr>
        <w:pStyle w:val="ListBullet"/>
      </w:pPr>
      <w:r>
        <w:rPr>
          <w:b/>
        </w:rPr>
        <w:t>Decision: KEPT for Track 1.</w:t>
      </w:r>
      <w:r>
        <w:t xml:space="preserve"> This is the most robust spatial signal in the whole project. </w:t>
      </w:r>
      <w:r>
        <w:rPr>
          <w:b/>
        </w:rPr>
        <w:t>But</w:t>
      </w:r>
      <w:r>
        <w:t xml:space="preserve"> the graph is ~1 county per system — disjoint clusters, not a connected propagation network. So this is *regional risk correlation* (shared regulator, source water, environment), </w:t>
      </w:r>
      <w:r>
        <w:rPr>
          <w:b/>
        </w:rPr>
        <w:t>not</w:t>
      </w:r>
      <w:r>
        <w:t xml:space="preserve"> physical cascade. We kept the feature and dropped the "cascade" interpretation.</w:t>
      </w:r>
    </w:p>
    <w:p>
      <w:pPr>
        <w:pStyle w:val="Heading2"/>
      </w:pPr>
      <w:r>
        <w:t>2. Inter-utility cascade — true service-area polygon adjacency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118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ygon_cascade_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11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B"/>
          <w:sz w:val="18"/>
        </w:rPr>
        <w:t>Figure. True polygon-adjacency cascade: rejected (sparse graph).</w:t>
      </w:r>
    </w:p>
    <w:p>
      <w:pPr>
        <w:pStyle w:val="ListBullet"/>
      </w:pPr>
      <w:r>
        <w:rPr>
          <w:b/>
        </w:rPr>
        <w:t>Idea:</w:t>
      </w:r>
      <w:r>
        <w:t xml:space="preserve"> the legitimate version of the cascade thesis — connect systems whose service-area polygons physically touch (EPA boundary GIS), then propagate risk multi-hop (Katz, the FAA/NEXTOR operator).</w:t>
      </w:r>
    </w:p>
    <w:p>
      <w:pPr>
        <w:pStyle w:val="ListBullet"/>
      </w:pPr>
      <w:r>
        <w:rPr>
          <w:b/>
        </w:rPr>
        <w:t>Result (GIS-covered subset, 3,591 systems, 2,289 edges):</w:t>
      </w:r>
      <w:r>
        <w:t xml:space="preserve"> only </w:t>
      </w:r>
      <w:r>
        <w:rPr>
          <w:b/>
        </w:rPr>
        <w:t>52.5%</w:t>
      </w:r>
      <w:r>
        <w:t xml:space="preserve"> of systems have any neighbor (mean degree 1.27). 1-hop neighbor risk added </w:t>
      </w:r>
      <w:r>
        <w:rPr>
          <w:b/>
        </w:rPr>
        <w:t>+0.006 ROC</w:t>
      </w:r>
      <w:r>
        <w:t xml:space="preserve"> (noise). Multi-hop Katz </w:t>
      </w:r>
      <w:r>
        <w:rPr>
          <w:b/>
        </w:rPr>
        <w:t>hurt</w:t>
      </w:r>
      <w:r>
        <w:t xml:space="preserve"> (0.827 → 0.782). *(</w:t>
      </w:r>
      <w:r>
        <w:rPr>
          <w:rFonts w:ascii="Consolas" w:hAnsi="Consolas"/>
          <w:sz w:val="20"/>
        </w:rPr>
        <w:t>polygon_results.json</w:t>
      </w:r>
      <w:r>
        <w:t>)*</w:t>
      </w:r>
    </w:p>
    <w:p>
      <w:pPr>
        <w:pStyle w:val="ListBullet"/>
      </w:pPr>
      <w:r>
        <w:rPr>
          <w:b/>
        </w:rPr>
        <w:t>Decision: REJECTED.</w:t>
      </w:r>
      <w:r>
        <w:t xml:space="preserve"> Separate public water systems are geographically isolated entities, not a connected pipe network. The data refutes inter-utility physical cascade. This rejection is itself a key finding.</w:t>
      </w:r>
    </w:p>
    <w:p>
      <w:pPr>
        <w:pStyle w:val="Heading2"/>
      </w:pPr>
      <w:r>
        <w:t>3. Long-run distress trajectory layer (Track 2 feature test)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097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known_triage_resul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09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B"/>
          <w:sz w:val="18"/>
        </w:rPr>
        <w:t>Figure. First triage model and investigation-targeting.</w:t>
      </w:r>
    </w:p>
    <w:p>
      <w:pPr>
        <w:pStyle w:val="ListBullet"/>
      </w:pPr>
      <w:r>
        <w:rPr>
          <w:b/>
        </w:rPr>
        <w:t>Idea:</w:t>
      </w:r>
      <w:r>
        <w:t xml:space="preserve"> a 2013–2025 per-system annual violation/site-visit trajectory (plus its path-signature) should predict which unknowns are lead.</w:t>
      </w:r>
    </w:p>
    <w:p>
      <w:pPr>
        <w:pStyle w:val="ListBullet"/>
      </w:pPr>
      <w:r>
        <w:rPr>
          <w:b/>
        </w:rPr>
        <w:t>Result:</w:t>
      </w:r>
      <w:r>
        <w:t xml:space="preserve"> added to the triage model, A/B gave </w:t>
      </w:r>
      <w:r>
        <w:rPr>
          <w:b/>
        </w:rPr>
        <w:t>−0.008 ROC</w:t>
      </w:r>
      <w:r>
        <w:t xml:space="preserve"> — no lift, slightly harmful. *(</w:t>
      </w:r>
      <w:r>
        <w:rPr>
          <w:rFonts w:ascii="Consolas" w:hAnsi="Consolas"/>
          <w:sz w:val="20"/>
        </w:rPr>
        <w:t>unknown_triage_results.json</w:t>
      </w:r>
      <w:r>
        <w:t xml:space="preserve">: </w:t>
      </w:r>
      <w:r>
        <w:rPr>
          <w:rFonts w:ascii="Consolas" w:hAnsi="Consolas"/>
          <w:sz w:val="20"/>
        </w:rPr>
        <w:t>trajectory_layer_*</w:t>
      </w:r>
      <w:r>
        <w:t>)*</w:t>
      </w:r>
    </w:p>
    <w:p>
      <w:pPr>
        <w:pStyle w:val="ListBullet"/>
      </w:pPr>
      <w:r>
        <w:rPr>
          <w:b/>
        </w:rPr>
        <w:t>Decision: REJECTED.</w:t>
      </w:r>
      <w:r>
        <w:t xml:space="preserve"> Substantively correct: lead-pipe material is set by installation era and plumbing codes, not by a utility's regulatory-violation history. This also showed the manually-downloaded Water System Summary quarters were unnecessary for the triage model.</w:t>
      </w:r>
    </w:p>
    <w:p>
      <w:pPr>
        <w:pStyle w:val="Heading2"/>
      </w:pPr>
      <w:r>
        <w:t>4. Original signature model (the 0.727 that looked good)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097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signature_resul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09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B"/>
          <w:sz w:val="18"/>
        </w:rPr>
        <w:t>Figure. Signature risk model (leakage-corrected, ROC 0.683).</w:t>
      </w:r>
    </w:p>
    <w:p>
      <w:pPr>
        <w:pStyle w:val="ListBullet"/>
      </w:pPr>
      <w:r>
        <w:rPr>
          <w:b/>
        </w:rPr>
        <w:t>Idea:</w:t>
      </w:r>
      <w:r>
        <w:t xml:space="preserve"> 5-quarter service-line-inventory path → predict health violation since 2022.</w:t>
      </w:r>
    </w:p>
    <w:p>
      <w:pPr>
        <w:pStyle w:val="ListBullet"/>
      </w:pPr>
      <w:r>
        <w:rPr>
          <w:b/>
        </w:rPr>
        <w:t>Result:</w:t>
      </w:r>
      <w:r>
        <w:t xml:space="preserve"> ROC-AUC 0.727.</w:t>
      </w:r>
    </w:p>
    <w:p>
      <w:pPr>
        <w:pStyle w:val="ListBullet"/>
      </w:pPr>
      <w:r>
        <w:rPr>
          <w:b/>
        </w:rPr>
        <w:t>Decision: CORRECTED (not kept).</w:t>
      </w:r>
      <w:r>
        <w:t xml:space="preserve"> Audit found a temporal-ordering flaw — predictors (2025–2026 data) post-dated part of the target window (≥2022). The honest, leakage-free rebuild on the 2013Q1–2021Q4 trajectory gives </w:t>
      </w:r>
      <w:r>
        <w:rPr>
          <w:b/>
        </w:rPr>
        <w:t>ROC-AUC 0.683</w:t>
      </w:r>
      <w:r>
        <w:t>. The 0.727 is not used anywhere; 0.683 is the real number. *(</w:t>
      </w:r>
      <w:r>
        <w:rPr>
          <w:rFonts w:ascii="Consolas" w:hAnsi="Consolas"/>
          <w:sz w:val="20"/>
        </w:rPr>
        <w:t>model_results.json</w:t>
      </w:r>
      <w:r>
        <w:t xml:space="preserve">, </w:t>
      </w:r>
      <w:r>
        <w:rPr>
          <w:rFonts w:ascii="Consolas" w:hAnsi="Consolas"/>
          <w:sz w:val="20"/>
        </w:rPr>
        <w:t>supersedes</w:t>
      </w:r>
      <w:r>
        <w:t xml:space="preserve"> field)*</w:t>
      </w:r>
    </w:p>
    <w:p>
      <w:pPr>
        <w:pStyle w:val="Heading2"/>
      </w:pPr>
      <w:r>
        <w:t>5. Signature truncation depth — 2 vs 3 vs log-signature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12738" cy="3200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_depth_a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273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B"/>
          <w:sz w:val="18"/>
        </w:rPr>
        <w:t>Figure. Signature depth 2 vs 3 vs log (25 paired CV splits).</w:t>
      </w:r>
    </w:p>
    <w:p>
      <w:pPr>
        <w:pStyle w:val="ListBullet"/>
      </w:pPr>
      <w:r>
        <w:rPr>
          <w:b/>
        </w:rPr>
        <w:t>Idea:</w:t>
      </w:r>
      <w:r>
        <w:t xml:space="preserve"> does a deeper path signature carry more predictive information?</w:t>
      </w:r>
    </w:p>
    <w:p>
      <w:pPr>
        <w:pStyle w:val="ListBullet"/>
      </w:pPr>
      <w:r>
        <w:rPr>
          <w:b/>
        </w:rPr>
        <w:t>Result (25 paired CV splits, `sig_depth_ab_results.json`):</w:t>
      </w:r>
    </w:p>
    <w:p>
      <w:pPr>
        <w:pStyle w:val="ListBullet2"/>
      </w:pPr>
      <w:r>
        <w:t>depth-2: ROC 0.6753 ± 0.0056 (20 signature dims)</w:t>
      </w:r>
    </w:p>
    <w:p>
      <w:pPr>
        <w:pStyle w:val="ListBullet2"/>
      </w:pPr>
      <w:r>
        <w:t xml:space="preserve">depth-3: ROC 0.6818 ± 0.0057 — </w:t>
      </w:r>
      <w:r>
        <w:rPr>
          <w:b/>
        </w:rPr>
        <w:t>+0.0065 paired, beats depth-2 on 100% of 25 splits</w:t>
      </w:r>
    </w:p>
    <w:p>
      <w:pPr>
        <w:pStyle w:val="ListBullet2"/>
      </w:pPr>
      <w:r>
        <w:t xml:space="preserve">depth-3 log-signature: ROC 0.6736 — </w:t>
      </w:r>
      <w:r>
        <w:rPr>
          <w:b/>
        </w:rPr>
        <w:t>worse</w:t>
      </w:r>
      <w:r>
        <w:t>, and less parsimonious</w:t>
      </w:r>
    </w:p>
    <w:p>
      <w:pPr>
        <w:pStyle w:val="ListBullet"/>
      </w:pPr>
      <w:r>
        <w:rPr>
          <w:b/>
        </w:rPr>
        <w:t>Decision: depth-3 ADOPTED; log-signature REJECTED.</w:t>
      </w:r>
      <w:r>
        <w:t xml:space="preserve"> A first single-split read suggested "within noise"; the rigorous *paired* repeated-CV test overturned that — the effect is small but real and perfectly consistent. Decided by data, not assumption.</w:t>
      </w:r>
    </w:p>
    <w:p>
      <w:pPr>
        <w:pStyle w:val="Heading2"/>
      </w:pPr>
      <w:r>
        <w:t>6. Stochastic-calculus convention — Itô vs Stratonovich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5543" cy="32003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_calculus_a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5543" cy="3200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B"/>
          <w:sz w:val="18"/>
        </w:rPr>
        <w:t>Figure. Ito vs Stratonovich (25 paired CV splits).</w:t>
      </w:r>
    </w:p>
    <w:p>
      <w:pPr>
        <w:pStyle w:val="ListBullet"/>
      </w:pPr>
      <w:r>
        <w:rPr>
          <w:b/>
        </w:rPr>
        <w:t>Idea:</w:t>
      </w:r>
      <w:r>
        <w:t xml:space="preserve"> does the integral convention of the signature matter for this data?</w:t>
      </w:r>
    </w:p>
    <w:p>
      <w:pPr>
        <w:pStyle w:val="ListBullet"/>
      </w:pPr>
      <w:r>
        <w:rPr>
          <w:b/>
        </w:rPr>
        <w:t>Result (25 paired splits, `sig_calculus_ab_results.json`):</w:t>
      </w:r>
      <w:r>
        <w:t xml:space="preserve"> the two feature blocks genuinely differ on this data (median relative L2 difference 2.3%), but predictively they are indistinguishable — paired Δ = </w:t>
      </w:r>
      <w:r>
        <w:rPr>
          <w:b/>
        </w:rPr>
        <w:t>+0.0001 ± 0.0026</w:t>
      </w:r>
      <w:r>
        <w:t>, Itô wins 44% of splits (coin flip).</w:t>
      </w:r>
    </w:p>
    <w:p>
      <w:pPr>
        <w:pStyle w:val="ListBullet"/>
      </w:pPr>
      <w:r>
        <w:rPr>
          <w:b/>
        </w:rPr>
        <w:t>Decision: STRATONOVICH KEPT.</w:t>
      </w:r>
      <w:r>
        <w:t xml:space="preserve"> Not because Itô is worse (it is equivalent here) but because, when two choices are empirically tied, you pick on principle: the geometric/Stratonovich signature has the shuffle identity and reparameterization invariance and is the standard object. Now data-backed.</w:t>
      </w:r>
    </w:p>
    <w:p>
      <w:pPr>
        <w:pStyle w:val="Heading2"/>
      </w:pPr>
      <w:r>
        <w:t>7. Process-nature diagnostics (informs, not a model)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2559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_diagnosti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55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B"/>
          <w:sz w:val="18"/>
        </w:rPr>
        <w:t>Figure. Process diagnostics: drift-dominated, not Brownian.</w:t>
      </w:r>
    </w:p>
    <w:p>
      <w:pPr>
        <w:pStyle w:val="ListBullet"/>
      </w:pPr>
      <w:r>
        <w:rPr>
          <w:b/>
        </w:rPr>
        <w:t>Result (`process_diagnostics.json`):</w:t>
      </w:r>
      <w:r>
        <w:t xml:space="preserve"> the per-system series are </w:t>
      </w:r>
      <w:r>
        <w:rPr>
          <w:b/>
        </w:rPr>
        <w:t>drift-dominated integrated processes</w:t>
      </w:r>
      <w:r>
        <w:t xml:space="preserve"> — Hurst ≈ 0.95–0.98 (not Brownian's 0.5), AR(1) φ ≈ 0.92–0.96 (near unit root, not mean-reverting at the level); increments are weakly mean-reverting/anti-persistent. The pipeline is </w:t>
      </w:r>
      <w:r>
        <w:rPr>
          <w:b/>
        </w:rPr>
        <w:t>non-anticipative by construction</w:t>
      </w:r>
      <w:r>
        <w:t xml:space="preserve"> (causal signature + strict pre-2022 predictor window + leakage channels excluded); only caveat is SDWIS reporting lag, which is conservative.</w:t>
      </w:r>
    </w:p>
    <w:p>
      <w:pPr>
        <w:pStyle w:val="ListBullet"/>
      </w:pPr>
      <w:r>
        <w:rPr>
          <w:b/>
        </w:rPr>
        <w:t>Use:</w:t>
      </w:r>
      <w:r>
        <w:t xml:space="preserve"> confirmed time-augmentation is needed, explained why deeper signatures and the Itô/Stratonovich choice barely move the needle (drift dominates the quadratic-variation correction), and confirmed signatures are appropriate (genuinely non-martingale paths).</w:t>
      </w:r>
    </w:p>
    <w:p>
      <w:pPr>
        <w:pStyle w:val="Heading2"/>
      </w:pPr>
      <w:r>
        <w:t>8. Lead-replacement cost-optimization (early venture framing)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097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sl_optimizer_resul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09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B"/>
          <w:sz w:val="18"/>
        </w:rPr>
        <w:t>Figure. Replacement optimization (real edge 4.2%).</w:t>
      </w:r>
    </w:p>
    <w:p>
      <w:pPr>
        <w:pStyle w:val="ListBullet"/>
      </w:pPr>
      <w:r>
        <w:rPr>
          <w:b/>
        </w:rPr>
        <w:t>Idea:</w:t>
      </w:r>
      <w:r>
        <w:t xml:space="preserve"> optimize *which lead lines to replace first* to cut health exposure per dollar.</w:t>
      </w:r>
    </w:p>
    <w:p>
      <w:pPr>
        <w:pStyle w:val="ListBullet"/>
      </w:pPr>
      <w:r>
        <w:rPr>
          <w:b/>
        </w:rPr>
        <w:t>Result:</w:t>
      </w:r>
      <w:r>
        <w:t xml:space="preserve"> first version showed a 62.7% saving — found to be an </w:t>
      </w:r>
      <w:r>
        <w:rPr>
          <w:b/>
        </w:rPr>
        <w:t>artifact</w:t>
      </w:r>
      <w:r>
        <w:t xml:space="preserve"> of a flawed exposure proxy (population ÷ lead-lines). With a defensible exposure model the real edge over "most-lines-first" is only </w:t>
      </w:r>
      <w:r>
        <w:rPr>
          <w:b/>
        </w:rPr>
        <w:t>~4.2%</w:t>
      </w:r>
      <w:r>
        <w:t>. *(</w:t>
      </w:r>
      <w:r>
        <w:rPr>
          <w:rFonts w:ascii="Consolas" w:hAnsi="Consolas"/>
          <w:sz w:val="20"/>
        </w:rPr>
        <w:t>lsl_optimizer_results.json</w:t>
      </w:r>
      <w:r>
        <w:t>)*</w:t>
      </w:r>
    </w:p>
    <w:p>
      <w:pPr>
        <w:pStyle w:val="ListBullet"/>
      </w:pPr>
      <w:r>
        <w:rPr>
          <w:b/>
        </w:rPr>
        <w:t>Decision: DE-PRIORITIZED.</w:t>
      </w:r>
      <w:r>
        <w:t xml:space="preserve"> Replacement ordering is nearly solved by the naive heuristic; the real, unsolved, mandated bottleneck is the </w:t>
      </w:r>
      <w:r>
        <w:rPr>
          <w:b/>
        </w:rPr>
        <w:t>22.5M unknown lines</w:t>
      </w:r>
      <w:r>
        <w:t xml:space="preserve"> — which is why the venture moved to Track 2 triage. (The artifact was caught and removed; this is logged for transparency.)</w:t>
      </w:r>
    </w:p>
    <w:p>
      <w:pPr>
        <w:pStyle w:val="Heading2"/>
      </w:pPr>
      <w:r>
        <w:t>9. Final method — production unknown-line triage (CHOSEN)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6894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ge_produc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89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B"/>
          <w:sz w:val="18"/>
        </w:rPr>
        <w:t>Figure. Selected method: calibration, PR, and lift.</w:t>
      </w:r>
    </w:p>
    <w:p>
      <w:pPr>
        <w:pStyle w:val="ListBullet"/>
      </w:pPr>
      <w:r>
        <w:rPr>
          <w:b/>
        </w:rPr>
        <w:t>What it is:</w:t>
      </w:r>
      <w:r>
        <w:t xml:space="preserve"> calibrated gradient-boosted classifier on the evidence-supported base feature set, predicting which systems' unknown lines are lead, trained on </w:t>
      </w:r>
      <w:r>
        <w:rPr>
          <w:b/>
        </w:rPr>
        <w:t>real reclassification behavior</w:t>
      </w:r>
      <w:r>
        <w:t xml:space="preserve"> observed across the SLI quarters (not synthetic labels). Rejected ideas (2, 3, 5-log-sig) are deliberately excluded.</w:t>
      </w:r>
    </w:p>
    <w:p>
      <w:pPr>
        <w:pStyle w:val="ListBullet"/>
      </w:pPr>
      <w:r>
        <w:rPr>
          <w:b/>
        </w:rPr>
        <w:t>Result (`triage_production_results.json`):</w:t>
      </w:r>
    </w:p>
    <w:p>
      <w:pPr>
        <w:pStyle w:val="ListBullet2"/>
      </w:pPr>
      <w:r>
        <w:t xml:space="preserve">Within-distribution repeated 5×5 CV: </w:t>
      </w:r>
      <w:r>
        <w:rPr>
          <w:b/>
        </w:rPr>
        <w:t>ROC-AUC 0.71</w:t>
      </w:r>
      <w:r>
        <w:t xml:space="preserve"> (per-repeat 0.710 ± 0.007, 95% CI 0.705–0.716), PR-AUC 0.22 vs 0.092 base.</w:t>
      </w:r>
    </w:p>
    <w:p>
      <w:pPr>
        <w:pStyle w:val="ListBullet2"/>
      </w:pPr>
      <w:r>
        <w:t xml:space="preserve">Well-calibrated: </w:t>
      </w:r>
      <w:r>
        <w:rPr>
          <w:b/>
        </w:rPr>
        <w:t>ECE 0.024, Brier 0.079</w:t>
      </w:r>
      <w:r>
        <w:t>.</w:t>
      </w:r>
    </w:p>
    <w:p>
      <w:pPr>
        <w:pStyle w:val="ListBullet2"/>
      </w:pPr>
      <w:r>
        <w:t xml:space="preserve">Operational lift: top 10% by model contains </w:t>
      </w:r>
      <w:r>
        <w:rPr>
          <w:b/>
        </w:rPr>
        <w:t>~33%</w:t>
      </w:r>
      <w:r>
        <w:t xml:space="preserve"> of lead-rich systems (~3.3×).</w:t>
      </w:r>
    </w:p>
    <w:p>
      <w:pPr>
        <w:pStyle w:val="ListBullet2"/>
      </w:pPr>
      <w:r>
        <w:rPr>
          <w:b/>
        </w:rPr>
        <w:t>Honest limitation:</w:t>
      </w:r>
      <w:r>
        <w:t xml:space="preserve"> group-by-state CV ROC = </w:t>
      </w:r>
      <w:r>
        <w:rPr>
          <w:b/>
        </w:rPr>
        <w:t>0.57</w:t>
      </w:r>
      <w:r>
        <w:t xml:space="preserve"> — does not generalize cold to unseen states; county-rate term re-tested here and again </w:t>
      </w:r>
      <w:r>
        <w:rPr>
          <w:b/>
        </w:rPr>
        <w:t>rejected</w:t>
      </w:r>
      <w:r>
        <w:t xml:space="preserve"> (−0.019).</w:t>
      </w:r>
    </w:p>
    <w:p>
      <w:pPr>
        <w:pStyle w:val="ListBullet"/>
      </w:pPr>
      <w:r>
        <w:rPr>
          <w:b/>
        </w:rPr>
        <w:t>Why chosen:</w:t>
      </w:r>
      <w:r>
        <w:t xml:space="preserve"> it is the only approach that (a) targets the real mandated unsolved problem, (b) is built on real ground truth, (c) is calibrated and reproducible, and (d) survives honest multi-scheme validation while stating its own limits. Every competing/auxiliary idea was tested and either folded in or rejected on evidence.</w:t>
      </w:r>
    </w:p>
    <w:p>
      <w:pPr>
        <w:pStyle w:val="Heading2"/>
      </w:pPr>
      <w:r>
        <w:t>10. Were signatures applicable to the SELECTED (triage) target? Exhaustively tested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27942" cy="3200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path_signature_a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7942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B"/>
          <w:sz w:val="18"/>
        </w:rPr>
        <w:t>Figure. Lead-sample PB90 path signature on triage: rejected.</w:t>
      </w:r>
    </w:p>
    <w:p>
      <w:r>
        <w:t>Signatures apply to any path; the data being non-Brownian was never a reason to exclude them. We tested every plausible signature path for the triage target (25 paired CV splits each):</w:t>
      </w:r>
    </w:p>
    <w:p>
      <w:pPr>
        <w:pStyle w:val="ListBullet"/>
      </w:pPr>
      <w:r>
        <w:rPr>
          <w:b/>
        </w:rPr>
        <w:t>Distress-trajectory signature</w:t>
      </w:r>
      <w:r>
        <w:t xml:space="preserve"> (2013–2025 violation/site-visit path): −0.008 ROC → </w:t>
      </w:r>
      <w:r>
        <w:rPr>
          <w:b/>
        </w:rPr>
        <w:t>rejected</w:t>
      </w:r>
      <w:r>
        <w:t>.</w:t>
      </w:r>
    </w:p>
    <w:p>
      <w:pPr>
        <w:pStyle w:val="ListBullet"/>
      </w:pPr>
      <w:r>
        <w:rPr>
          <w:b/>
        </w:rPr>
        <w:t>Service-line composition path</w:t>
      </w:r>
      <w:r>
        <w:t xml:space="preserve">: not run — the label *is* the composition change over those same 5 quarters (circular/leaky, only 5 steps) → </w:t>
      </w:r>
      <w:r>
        <w:rPr>
          <w:b/>
        </w:rPr>
        <w:t>excluded by design</w:t>
      </w:r>
      <w:r>
        <w:t>.</w:t>
      </w:r>
    </w:p>
    <w:p>
      <w:pPr>
        <w:pStyle w:val="ListBullet"/>
      </w:pPr>
      <w:r>
        <w:rPr>
          <w:b/>
        </w:rPr>
        <w:t>Lead-sample PB90 concentration path</w:t>
      </w:r>
      <w:r>
        <w:t xml:space="preserve"> (</w:t>
      </w:r>
      <w:r>
        <w:rPr>
          <w:rFonts w:ascii="Consolas" w:hAnsi="Consolas"/>
          <w:sz w:val="20"/>
        </w:rPr>
        <w:t>leadpath_signature_ab.py</w:t>
      </w:r>
      <w:r>
        <w:t xml:space="preserve">, 2010–2024, 82% of systems with ≥3 sampled years): base ROC 0.700±0.012 → +PB90-signature 0.685±0.010; paired Δ </w:t>
      </w:r>
      <w:r>
        <w:rPr>
          <w:b/>
        </w:rPr>
        <w:t>−0.0149±0.0075, 0% of 25 splits help</w:t>
      </w:r>
      <w:r>
        <w:t xml:space="preserve"> → </w:t>
      </w:r>
      <w:r>
        <w:rPr>
          <w:b/>
        </w:rPr>
        <w:t>rejected</w:t>
      </w:r>
      <w:r>
        <w:t>.</w:t>
      </w:r>
    </w:p>
    <w:p>
      <w:r>
        <w:rPr>
          <w:b/>
        </w:rPr>
        <w:t>Conclusion:</w:t>
      </w:r>
      <w:r>
        <w:t xml:space="preserve"> signatures are central to and help the Track-1 risk model, but every plausible signature application to the lead-material triage target was tested and rejected on evidence — the lead-pipe question is structural (installation era / plumbing codes), not trajectory-driven.</w:t>
      </w:r>
    </w:p>
    <w:p>
      <w:pPr>
        <w:pBdr>
          <w:bottom w:val="single" w:sz="6" w:color="1B3A5B"/>
        </w:pBdr>
      </w:pPr>
    </w:p>
    <w:p>
      <w:pPr>
        <w:pStyle w:val="Heading2"/>
      </w:pPr>
      <w:r>
        <w:t>Summary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1B3A5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shd w:val="clear" w:fill="1B3A5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340"/>
            <w:shd w:val="clear" w:fill="1B3A5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Headline result</w:t>
            </w:r>
          </w:p>
        </w:tc>
        <w:tc>
          <w:tcPr>
            <w:tcW w:type="dxa" w:w="2340"/>
            <w:shd w:val="clear" w:fill="1B3A5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Decision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County regional-risk term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+0.047 ROC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Kept (regional correlation, not cascade)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Polygon-adjacency multi-hop cascade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+0.006 (1-hop); Katz hurts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Rejected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Long-run trajectory layer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−0.008 ROC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Rejected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Original 5-qtr signature model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0.727 (leakage)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Corrected → 0.683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Signature depth 2 vs 3 vs log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depth-3 +0.0065 (100% splits)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depth-3 kept; log-sig rejected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Itô vs Stratonovich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Δ +0.0001 (tie)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Stratonovich kept (principled)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Process diagnostics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Drift-dominated, non-anticipative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Informed design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Replacement cost-optimization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4.2% (after removing 62.7% artifact)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De-prioritized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Distress-trajectory signature on triage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−0.008 ROC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Rejected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Lead-sample PB90-path signature on triage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−0.0149 ROC (0% of 25 splits help)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Rejected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Production unknown-line triage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0.71 within / 0.57 cross-state, calibrated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CHOSEN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5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3A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