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Report B — Complete Step-by-Step Method &amp; Results</w:t>
      </w:r>
    </w:p>
    <w:p/>
    <w:p>
      <w:pPr>
        <w:jc w:val="center"/>
      </w:pPr>
      <w:r>
        <w:drawing>
          <wp:inline xmlns:a="http://schemas.openxmlformats.org/drawingml/2006/main" xmlns:pic="http://schemas.openxmlformats.org/drawingml/2006/picture">
            <wp:extent cx="5852160" cy="2956881"/>
            <wp:docPr id="1" name="Picture 1"/>
            <wp:cNvGraphicFramePr>
              <a:graphicFrameLocks noChangeAspect="1"/>
            </wp:cNvGraphicFramePr>
            <a:graphic>
              <a:graphicData uri="http://schemas.openxmlformats.org/drawingml/2006/picture">
                <pic:pic>
                  <pic:nvPicPr>
                    <pic:cNvPr id="0" name="experiment_map.png"/>
                    <pic:cNvPicPr/>
                  </pic:nvPicPr>
                  <pic:blipFill>
                    <a:blip r:embed="rId9"/>
                    <a:stretch>
                      <a:fillRect/>
                    </a:stretch>
                  </pic:blipFill>
                  <pic:spPr>
                    <a:xfrm>
                      <a:off x="0" y="0"/>
                      <a:ext cx="5852160" cy="2956881"/>
                    </a:xfrm>
                    <a:prstGeom prst="rect"/>
                  </pic:spPr>
                </pic:pic>
              </a:graphicData>
            </a:graphic>
          </wp:inline>
        </w:drawing>
      </w:r>
    </w:p>
    <w:p>
      <w:pPr>
        <w:jc w:val="center"/>
      </w:pPr>
      <w:r>
        <w:rPr>
          <w:i/>
          <w:color w:val="5B6B7B"/>
          <w:sz w:val="18"/>
        </w:rPr>
        <w:t>Figure. Project overview: every method tested and its decision.</w:t>
      </w:r>
    </w:p>
    <w:p>
      <w:r>
        <w:t xml:space="preserve">Every step, the method used at that step, and the exact result obtained. All numbers are cross-validated and reproducible from the named </w:t>
      </w:r>
      <w:r>
        <w:rPr>
          <w:rFonts w:ascii="Consolas" w:hAnsi="Consolas"/>
          <w:sz w:val="20"/>
        </w:rPr>
        <w:t>05_Modeling/</w:t>
      </w:r>
      <w:r>
        <w:t xml:space="preserve"> script and its result JSON. Two tracks are documented: </w:t>
      </w:r>
      <w:r>
        <w:rPr>
          <w:b/>
        </w:rPr>
        <w:t>Track 1</w:t>
      </w:r>
      <w:r>
        <w:t xml:space="preserve"> (signature risk model — the methodology engine) and </w:t>
      </w:r>
      <w:r>
        <w:rPr>
          <w:b/>
        </w:rPr>
        <w:t>Track 2</w:t>
      </w:r>
      <w:r>
        <w:t xml:space="preserve"> (the selected venture product: unknown-line lead triage).</w:t>
      </w:r>
    </w:p>
    <w:p>
      <w:pPr>
        <w:pBdr>
          <w:bottom w:val="single" w:sz="6" w:color="1B3A5B"/>
        </w:pBdr>
      </w:pPr>
    </w:p>
    <w:p>
      <w:pPr>
        <w:pStyle w:val="Heading2"/>
      </w:pPr>
      <w:r>
        <w:t>PART I — Data foundation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B3A5B"/>
          </w:tcPr>
          <w:p>
            <w:pPr>
              <w:spacing w:before="40" w:after="40"/>
            </w:pPr>
            <w:r>
              <w:rPr>
                <w:b/>
                <w:color w:val="FFFFFF"/>
                <w:sz w:val="19"/>
              </w:rPr>
            </w:r>
            <w:r>
              <w:rPr>
                <w:b/>
                <w:color w:val="FFFFFF"/>
                <w:sz w:val="19"/>
              </w:rPr>
              <w:t>Step</w:t>
            </w:r>
          </w:p>
        </w:tc>
        <w:tc>
          <w:tcPr>
            <w:tcW w:type="dxa" w:w="3120"/>
            <w:shd w:val="clear" w:fill="1B3A5B"/>
          </w:tcPr>
          <w:p>
            <w:pPr>
              <w:spacing w:before="40" w:after="40"/>
            </w:pPr>
            <w:r>
              <w:rPr>
                <w:b/>
                <w:color w:val="FFFFFF"/>
                <w:sz w:val="19"/>
              </w:rPr>
            </w:r>
            <w:r>
              <w:rPr>
                <w:b/>
                <w:color w:val="FFFFFF"/>
                <w:sz w:val="19"/>
              </w:rPr>
              <w:t>Method</w:t>
            </w:r>
          </w:p>
        </w:tc>
        <w:tc>
          <w:tcPr>
            <w:tcW w:type="dxa" w:w="3120"/>
            <w:shd w:val="clear" w:fill="1B3A5B"/>
          </w:tcPr>
          <w:p>
            <w:pPr>
              <w:spacing w:before="40" w:after="40"/>
            </w:pPr>
            <w:r>
              <w:rPr>
                <w:b/>
                <w:color w:val="FFFFFF"/>
                <w:sz w:val="19"/>
              </w:rPr>
            </w:r>
            <w:r>
              <w:rPr>
                <w:b/>
                <w:color w:val="FFFFFF"/>
                <w:sz w:val="19"/>
              </w:rPr>
              <w:t>Result</w:t>
            </w:r>
          </w:p>
        </w:tc>
      </w:tr>
      <w:tr>
        <w:tc>
          <w:tcPr>
            <w:tcW w:type="dxa" w:w="3120"/>
          </w:tcPr>
          <w:p>
            <w:pPr>
              <w:spacing w:before="40" w:after="40"/>
            </w:pPr>
            <w:r>
              <w:rPr>
                <w:sz w:val="19"/>
              </w:rPr>
            </w:r>
            <w:r>
              <w:rPr>
                <w:sz w:val="19"/>
              </w:rPr>
              <w:t>I.1 Acquire EPA data</w:t>
            </w:r>
          </w:p>
        </w:tc>
        <w:tc>
          <w:tcPr>
            <w:tcW w:type="dxa" w:w="3120"/>
          </w:tcPr>
          <w:p>
            <w:pPr>
              <w:spacing w:before="40" w:after="40"/>
            </w:pPr>
            <w:r>
              <w:rPr>
                <w:sz w:val="19"/>
              </w:rPr>
            </w:r>
            <w:r>
              <w:rPr>
                <w:sz w:val="19"/>
              </w:rPr>
              <w:t>Download SDWA/ECHO + SDWIS service-line inventory + Water System Summary (53 quarters 2013Q1–2026Q1) + service-area GIS + Census-linked boundaries + wholesale buyer→seller list</w:t>
            </w:r>
          </w:p>
        </w:tc>
        <w:tc>
          <w:tcPr>
            <w:tcW w:type="dxa" w:w="3120"/>
          </w:tcPr>
          <w:p>
            <w:pPr>
              <w:spacing w:before="40" w:after="40"/>
            </w:pPr>
            <w:r>
              <w:rPr>
                <w:sz w:val="19"/>
              </w:rPr>
            </w:r>
            <w:r>
              <w:rPr>
                <w:sz w:val="19"/>
              </w:rPr>
              <w:t>All inputs on disk; 49,387 active community water systems</w:t>
            </w:r>
          </w:p>
        </w:tc>
      </w:tr>
      <w:tr>
        <w:tc>
          <w:tcPr>
            <w:tcW w:type="dxa" w:w="3120"/>
          </w:tcPr>
          <w:p>
            <w:pPr>
              <w:spacing w:before="40" w:after="40"/>
            </w:pPr>
            <w:r>
              <w:rPr>
                <w:sz w:val="19"/>
              </w:rPr>
            </w:r>
            <w:r>
              <w:rPr>
                <w:sz w:val="19"/>
              </w:rPr>
              <w:t>I.2 Verify encoding/joins</w:t>
            </w:r>
          </w:p>
        </w:tc>
        <w:tc>
          <w:tcPr>
            <w:tcW w:type="dxa" w:w="3120"/>
          </w:tcPr>
          <w:p>
            <w:pPr>
              <w:spacing w:before="40" w:after="40"/>
            </w:pPr>
            <w:r>
              <w:rPr>
                <w:sz w:val="19"/>
              </w:rPr>
            </w:r>
            <w:r>
              <w:rPr>
                <w:sz w:val="19"/>
              </w:rPr>
              <w:t xml:space="preserve">Detected SDWA CSVs are latin-1; confirmed SLI </w:t>
            </w:r>
            <w:r>
              <w:rPr>
                <w:rFonts w:ascii="Consolas" w:hAnsi="Consolas"/>
                <w:sz w:val="20"/>
              </w:rPr>
              <w:t>PWS ID</w:t>
            </w:r>
            <w:r>
              <w:rPr>
                <w:sz w:val="19"/>
              </w:rPr>
              <w:t xml:space="preserve"> == SDWA </w:t>
            </w:r>
            <w:r>
              <w:rPr>
                <w:rFonts w:ascii="Consolas" w:hAnsi="Consolas"/>
                <w:sz w:val="20"/>
              </w:rPr>
              <w:t>PWSID</w:t>
            </w:r>
            <w:r>
              <w:rPr>
                <w:sz w:val="19"/>
              </w:rPr>
              <w:t xml:space="preserve"> (direct join, no fuzzy match)</w:t>
            </w:r>
          </w:p>
        </w:tc>
        <w:tc>
          <w:tcPr>
            <w:tcW w:type="dxa" w:w="3120"/>
          </w:tcPr>
          <w:p>
            <w:pPr>
              <w:spacing w:before="40" w:after="40"/>
            </w:pPr>
            <w:r>
              <w:rPr>
                <w:sz w:val="19"/>
              </w:rPr>
            </w:r>
            <w:r>
              <w:rPr>
                <w:sz w:val="19"/>
              </w:rPr>
              <w:t>Clean joins; 0 duplicate PWSIDs in WSS</w:t>
            </w:r>
          </w:p>
        </w:tc>
      </w:tr>
      <w:tr>
        <w:tc>
          <w:tcPr>
            <w:tcW w:type="dxa" w:w="3120"/>
          </w:tcPr>
          <w:p>
            <w:pPr>
              <w:spacing w:before="40" w:after="40"/>
            </w:pPr>
            <w:r>
              <w:rPr>
                <w:sz w:val="19"/>
              </w:rPr>
            </w:r>
            <w:r>
              <w:rPr>
                <w:sz w:val="19"/>
              </w:rPr>
              <w:t>I.3 Reproducibility manifest</w:t>
            </w:r>
          </w:p>
        </w:tc>
        <w:tc>
          <w:tcPr>
            <w:tcW w:type="dxa" w:w="3120"/>
          </w:tcPr>
          <w:p>
            <w:pPr>
              <w:spacing w:before="40" w:after="40"/>
            </w:pPr>
            <w:r>
              <w:rPr>
                <w:sz w:val="19"/>
              </w:rPr>
            </w:r>
            <w:r>
              <w:rPr>
                <w:sz w:val="19"/>
              </w:rPr>
              <w:t>SHA-256 + row counts of all inputs; pin python/numpy/pandas/sklearn versions and seed 42</w:t>
            </w:r>
          </w:p>
        </w:tc>
        <w:tc>
          <w:tcPr>
            <w:tcW w:type="dxa" w:w="3120"/>
          </w:tcPr>
          <w:p>
            <w:pPr>
              <w:spacing w:before="40" w:after="40"/>
            </w:pPr>
            <w:r>
              <w:rPr>
                <w:sz w:val="19"/>
              </w:rPr>
            </w:r>
            <w:r>
              <w:rPr>
                <w:rFonts w:ascii="Consolas" w:hAnsi="Consolas"/>
                <w:sz w:val="20"/>
              </w:rPr>
              <w:t>triage_production_manifest.json</w:t>
            </w:r>
          </w:p>
        </w:tc>
      </w:tr>
    </w:tbl>
    <w:p/>
    <w:p>
      <w:pPr>
        <w:pBdr>
          <w:bottom w:val="single" w:sz="6" w:color="1B3A5B"/>
        </w:pBdr>
      </w:pPr>
    </w:p>
    <w:p>
      <w:pPr>
        <w:pStyle w:val="Heading2"/>
      </w:pPr>
      <w:r>
        <w:t>PART II — Track 1: Signature risk model</w:t>
      </w:r>
    </w:p>
    <w:p/>
    <w:p>
      <w:pPr>
        <w:jc w:val="center"/>
      </w:pPr>
      <w:r>
        <w:drawing>
          <wp:inline xmlns:a="http://schemas.openxmlformats.org/drawingml/2006/main" xmlns:pic="http://schemas.openxmlformats.org/drawingml/2006/picture">
            <wp:extent cx="5852160" cy="2309710"/>
            <wp:docPr id="2" name="Picture 2"/>
            <wp:cNvGraphicFramePr>
              <a:graphicFrameLocks noChangeAspect="1"/>
            </wp:cNvGraphicFramePr>
            <a:graphic>
              <a:graphicData uri="http://schemas.openxmlformats.org/drawingml/2006/picture">
                <pic:pic>
                  <pic:nvPicPr>
                    <pic:cNvPr id="0" name="model_signature_results.png"/>
                    <pic:cNvPicPr/>
                  </pic:nvPicPr>
                  <pic:blipFill>
                    <a:blip r:embed="rId10"/>
                    <a:stretch>
                      <a:fillRect/>
                    </a:stretch>
                  </pic:blipFill>
                  <pic:spPr>
                    <a:xfrm>
                      <a:off x="0" y="0"/>
                      <a:ext cx="5852160" cy="2309710"/>
                    </a:xfrm>
                    <a:prstGeom prst="rect"/>
                  </pic:spPr>
                </pic:pic>
              </a:graphicData>
            </a:graphic>
          </wp:inline>
        </w:drawing>
      </w:r>
    </w:p>
    <w:p>
      <w:pPr>
        <w:jc w:val="center"/>
      </w:pPr>
      <w:r>
        <w:rPr>
          <w:i/>
          <w:color w:val="5B6B7B"/>
          <w:sz w:val="18"/>
        </w:rPr>
        <w:t>Figure. Track-1 signature model: ROC and top LASSO predictors.</w:t>
      </w:r>
    </w:p>
    <w:p/>
    <w:p>
      <w:pPr>
        <w:jc w:val="center"/>
      </w:pPr>
      <w:r>
        <w:drawing>
          <wp:inline xmlns:a="http://schemas.openxmlformats.org/drawingml/2006/main" xmlns:pic="http://schemas.openxmlformats.org/drawingml/2006/picture">
            <wp:extent cx="5852160" cy="2309710"/>
            <wp:docPr id="3" name="Picture 3"/>
            <wp:cNvGraphicFramePr>
              <a:graphicFrameLocks noChangeAspect="1"/>
            </wp:cNvGraphicFramePr>
            <a:graphic>
              <a:graphicData uri="http://schemas.openxmlformats.org/drawingml/2006/picture">
                <pic:pic>
                  <pic:nvPicPr>
                    <pic:cNvPr id="0" name="spatial_cascade_results.png"/>
                    <pic:cNvPicPr/>
                  </pic:nvPicPr>
                  <pic:blipFill>
                    <a:blip r:embed="rId11"/>
                    <a:stretch>
                      <a:fillRect/>
                    </a:stretch>
                  </pic:blipFill>
                  <pic:spPr>
                    <a:xfrm>
                      <a:off x="0" y="0"/>
                      <a:ext cx="5852160" cy="2309710"/>
                    </a:xfrm>
                    <a:prstGeom prst="rect"/>
                  </pic:spPr>
                </pic:pic>
              </a:graphicData>
            </a:graphic>
          </wp:inline>
        </w:drawing>
      </w:r>
    </w:p>
    <w:p>
      <w:pPr>
        <w:jc w:val="center"/>
      </w:pPr>
      <w:r>
        <w:rPr>
          <w:i/>
          <w:color w:val="5B6B7B"/>
          <w:sz w:val="18"/>
        </w:rPr>
        <w:t>Figure. County regional-risk term effect (+0.047 ROC).</w:t>
      </w:r>
    </w:p>
    <w:p>
      <w:r>
        <w:rPr>
          <w:b/>
        </w:rPr>
        <w:t>Goal:</w:t>
      </w:r>
      <w:r>
        <w:t xml:space="preserve"> predict a 2022+ health-based SDWA violation from a system's 2013–2021 operating trajectory.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B3A5B"/>
          </w:tcPr>
          <w:p>
            <w:pPr>
              <w:spacing w:before="40" w:after="40"/>
            </w:pPr>
            <w:r>
              <w:rPr>
                <w:b/>
                <w:color w:val="FFFFFF"/>
                <w:sz w:val="19"/>
              </w:rPr>
            </w:r>
            <w:r>
              <w:rPr>
                <w:b/>
                <w:color w:val="FFFFFF"/>
                <w:sz w:val="19"/>
              </w:rPr>
              <w:t>Step</w:t>
            </w:r>
          </w:p>
        </w:tc>
        <w:tc>
          <w:tcPr>
            <w:tcW w:type="dxa" w:w="3120"/>
            <w:shd w:val="clear" w:fill="1B3A5B"/>
          </w:tcPr>
          <w:p>
            <w:pPr>
              <w:spacing w:before="40" w:after="40"/>
            </w:pPr>
            <w:r>
              <w:rPr>
                <w:b/>
                <w:color w:val="FFFFFF"/>
                <w:sz w:val="19"/>
              </w:rPr>
            </w:r>
            <w:r>
              <w:rPr>
                <w:b/>
                <w:color w:val="FFFFFF"/>
                <w:sz w:val="19"/>
              </w:rPr>
              <w:t>Method</w:t>
            </w:r>
          </w:p>
        </w:tc>
        <w:tc>
          <w:tcPr>
            <w:tcW w:type="dxa" w:w="3120"/>
            <w:shd w:val="clear" w:fill="1B3A5B"/>
          </w:tcPr>
          <w:p>
            <w:pPr>
              <w:spacing w:before="40" w:after="40"/>
            </w:pPr>
            <w:r>
              <w:rPr>
                <w:b/>
                <w:color w:val="FFFFFF"/>
                <w:sz w:val="19"/>
              </w:rPr>
            </w:r>
            <w:r>
              <w:rPr>
                <w:b/>
                <w:color w:val="FFFFFF"/>
                <w:sz w:val="19"/>
              </w:rPr>
              <w:t>Result</w:t>
            </w:r>
          </w:p>
        </w:tc>
      </w:tr>
      <w:tr>
        <w:tc>
          <w:tcPr>
            <w:tcW w:type="dxa" w:w="3120"/>
          </w:tcPr>
          <w:p>
            <w:pPr>
              <w:spacing w:before="40" w:after="40"/>
            </w:pPr>
            <w:r>
              <w:rPr>
                <w:sz w:val="19"/>
              </w:rPr>
            </w:r>
            <w:r>
              <w:rPr>
                <w:sz w:val="19"/>
              </w:rPr>
              <w:t>II.1 Build path</w:t>
            </w:r>
          </w:p>
        </w:tc>
        <w:tc>
          <w:tcPr>
            <w:tcW w:type="dxa" w:w="3120"/>
          </w:tcPr>
          <w:p>
            <w:pPr>
              <w:spacing w:before="40" w:after="40"/>
            </w:pPr>
            <w:r>
              <w:rPr>
                <w:sz w:val="19"/>
              </w:rPr>
            </w:r>
            <w:r>
              <w:rPr>
                <w:sz w:val="19"/>
              </w:rPr>
              <w:t xml:space="preserve">Per-system quarterly path of [log Population, # Facilities, cumulative # Site Visits], 2013Q1–2021Q4 (36 quarters), ≥12 quarters required, ffill/bfill, z-scored, time-augmented. </w:t>
            </w:r>
            <w:r>
              <w:rPr>
                <w:rFonts w:ascii="Consolas" w:hAnsi="Consolas"/>
                <w:sz w:val="20"/>
              </w:rPr>
              <w:t>#Violations</w:t>
            </w:r>
            <w:r>
              <w:rPr>
                <w:sz w:val="19"/>
              </w:rPr>
              <w:t xml:space="preserve"> channel excluded (target leakage)</w:t>
            </w:r>
          </w:p>
        </w:tc>
        <w:tc>
          <w:tcPr>
            <w:tcW w:type="dxa" w:w="3120"/>
          </w:tcPr>
          <w:p>
            <w:pPr>
              <w:spacing w:before="40" w:after="40"/>
            </w:pPr>
            <w:r>
              <w:rPr>
                <w:sz w:val="19"/>
              </w:rPr>
            </w:r>
            <w:r>
              <w:rPr>
                <w:sz w:val="19"/>
              </w:rPr>
              <w:t>51,056 systems; path array (51056, 36, 4)</w:t>
            </w:r>
          </w:p>
        </w:tc>
      </w:tr>
      <w:tr>
        <w:tc>
          <w:tcPr>
            <w:tcW w:type="dxa" w:w="3120"/>
          </w:tcPr>
          <w:p>
            <w:pPr>
              <w:spacing w:before="40" w:after="40"/>
            </w:pPr>
            <w:r>
              <w:rPr>
                <w:sz w:val="19"/>
              </w:rPr>
            </w:r>
            <w:r>
              <w:rPr>
                <w:sz w:val="19"/>
              </w:rPr>
              <w:t>II.2 Signature transform</w:t>
            </w:r>
          </w:p>
        </w:tc>
        <w:tc>
          <w:tcPr>
            <w:tcW w:type="dxa" w:w="3120"/>
          </w:tcPr>
          <w:p>
            <w:pPr>
              <w:spacing w:before="40" w:after="40"/>
            </w:pPr>
            <w:r>
              <w:rPr>
                <w:sz w:val="19"/>
              </w:rPr>
            </w:r>
            <w:r>
              <w:rPr>
                <w:sz w:val="19"/>
              </w:rPr>
              <w:t>Geometric/Stratonovich path signature, depth 3, exact Chen recursion (</w:t>
            </w:r>
            <w:r>
              <w:rPr>
                <w:rFonts w:ascii="Consolas" w:hAnsi="Consolas"/>
                <w:sz w:val="20"/>
              </w:rPr>
              <w:t>signatures_ex</w:t>
            </w:r>
            <w:r>
              <w:rPr>
                <w:sz w:val="19"/>
              </w:rPr>
              <w:t>)</w:t>
            </w:r>
          </w:p>
        </w:tc>
        <w:tc>
          <w:tcPr>
            <w:tcW w:type="dxa" w:w="3120"/>
          </w:tcPr>
          <w:p>
            <w:pPr>
              <w:spacing w:before="40" w:after="40"/>
            </w:pPr>
            <w:r>
              <w:rPr>
                <w:sz w:val="19"/>
              </w:rPr>
            </w:r>
            <w:r>
              <w:rPr>
                <w:sz w:val="19"/>
              </w:rPr>
              <w:t>84 signature features (+16 static = 100)</w:t>
            </w:r>
          </w:p>
        </w:tc>
      </w:tr>
      <w:tr>
        <w:tc>
          <w:tcPr>
            <w:tcW w:type="dxa" w:w="3120"/>
          </w:tcPr>
          <w:p>
            <w:pPr>
              <w:spacing w:before="40" w:after="40"/>
            </w:pPr>
            <w:r>
              <w:rPr>
                <w:sz w:val="19"/>
              </w:rPr>
            </w:r>
            <w:r>
              <w:rPr>
                <w:sz w:val="19"/>
              </w:rPr>
              <w:t>II.3 Feature selection</w:t>
            </w:r>
          </w:p>
        </w:tc>
        <w:tc>
          <w:tcPr>
            <w:tcW w:type="dxa" w:w="3120"/>
          </w:tcPr>
          <w:p>
            <w:pPr>
              <w:spacing w:before="40" w:after="40"/>
            </w:pPr>
            <w:r>
              <w:rPr>
                <w:sz w:val="19"/>
              </w:rPr>
            </w:r>
            <w:r>
              <w:rPr>
                <w:sz w:val="19"/>
              </w:rPr>
              <w:t>L1 logistic (saga, l1_ratio=1.0, C=0.1)</w:t>
            </w:r>
          </w:p>
        </w:tc>
        <w:tc>
          <w:tcPr>
            <w:tcW w:type="dxa" w:w="3120"/>
          </w:tcPr>
          <w:p>
            <w:pPr>
              <w:spacing w:before="40" w:after="40"/>
            </w:pPr>
            <w:r>
              <w:rPr>
                <w:sz w:val="19"/>
              </w:rPr>
            </w:r>
            <w:r>
              <w:rPr>
                <w:sz w:val="19"/>
              </w:rPr>
              <w:t>66 / 100 features kept</w:t>
            </w:r>
          </w:p>
        </w:tc>
      </w:tr>
      <w:tr>
        <w:tc>
          <w:tcPr>
            <w:tcW w:type="dxa" w:w="3120"/>
          </w:tcPr>
          <w:p>
            <w:pPr>
              <w:spacing w:before="40" w:after="40"/>
            </w:pPr>
            <w:r>
              <w:rPr>
                <w:sz w:val="19"/>
              </w:rPr>
            </w:r>
            <w:r>
              <w:rPr>
                <w:sz w:val="19"/>
              </w:rPr>
              <w:t>II.4 Classifier + validation</w:t>
            </w:r>
          </w:p>
        </w:tc>
        <w:tc>
          <w:tcPr>
            <w:tcW w:type="dxa" w:w="3120"/>
          </w:tcPr>
          <w:p>
            <w:pPr>
              <w:spacing w:before="40" w:after="40"/>
            </w:pPr>
            <w:r>
              <w:rPr>
                <w:sz w:val="19"/>
              </w:rPr>
            </w:r>
            <w:r>
              <w:rPr>
                <w:sz w:val="19"/>
              </w:rPr>
              <w:t>HistGradientBoosting, class-balanced, 5-fold stratified CV</w:t>
            </w:r>
          </w:p>
        </w:tc>
        <w:tc>
          <w:tcPr>
            <w:tcW w:type="dxa" w:w="3120"/>
          </w:tcPr>
          <w:p>
            <w:pPr>
              <w:spacing w:before="40" w:after="40"/>
            </w:pPr>
            <w:r>
              <w:rPr>
                <w:sz w:val="19"/>
              </w:rPr>
            </w:r>
            <w:r>
              <w:rPr>
                <w:b/>
                <w:sz w:val="19"/>
              </w:rPr>
              <w:t>CV ROC-AUC 0.683</w:t>
            </w:r>
            <w:r>
              <w:rPr>
                <w:sz w:val="19"/>
              </w:rPr>
              <w:t>, PR-AUC 0.357 vs 0.196 base</w:t>
            </w:r>
          </w:p>
        </w:tc>
      </w:tr>
      <w:tr>
        <w:tc>
          <w:tcPr>
            <w:tcW w:type="dxa" w:w="3120"/>
          </w:tcPr>
          <w:p>
            <w:pPr>
              <w:spacing w:before="40" w:after="40"/>
            </w:pPr>
            <w:r>
              <w:rPr>
                <w:sz w:val="19"/>
              </w:rPr>
            </w:r>
            <w:r>
              <w:rPr>
                <w:sz w:val="19"/>
              </w:rPr>
              <w:t>II.5 Leakage audit &amp; correction</w:t>
            </w:r>
          </w:p>
        </w:tc>
        <w:tc>
          <w:tcPr>
            <w:tcW w:type="dxa" w:w="3120"/>
          </w:tcPr>
          <w:p>
            <w:pPr>
              <w:spacing w:before="40" w:after="40"/>
            </w:pPr>
            <w:r>
              <w:rPr>
                <w:sz w:val="19"/>
              </w:rPr>
            </w:r>
            <w:r>
              <w:rPr>
                <w:sz w:val="19"/>
              </w:rPr>
              <w:t>Found original 5-quarter SLI version used 2025–26 predictors for a ≥2022 target (predictors post-dated target). Rebuilt with strict pre-2022 predictor window</w:t>
            </w:r>
          </w:p>
        </w:tc>
        <w:tc>
          <w:tcPr>
            <w:tcW w:type="dxa" w:w="3120"/>
          </w:tcPr>
          <w:p>
            <w:pPr>
              <w:spacing w:before="40" w:after="40"/>
            </w:pPr>
            <w:r>
              <w:rPr>
                <w:sz w:val="19"/>
              </w:rPr>
            </w:r>
            <w:r>
              <w:rPr>
                <w:sz w:val="19"/>
              </w:rPr>
              <w:t xml:space="preserve">0.727 (flawed) → </w:t>
            </w:r>
            <w:r>
              <w:rPr>
                <w:b/>
                <w:sz w:val="19"/>
              </w:rPr>
              <w:t>0.683 (honest)</w:t>
            </w:r>
            <w:r>
              <w:rPr>
                <w:sz w:val="19"/>
              </w:rPr>
              <w:t>. The 0.727 is not used anywhere</w:t>
            </w:r>
          </w:p>
        </w:tc>
      </w:tr>
      <w:tr>
        <w:tc>
          <w:tcPr>
            <w:tcW w:type="dxa" w:w="3120"/>
          </w:tcPr>
          <w:p>
            <w:pPr>
              <w:spacing w:before="40" w:after="40"/>
            </w:pPr>
            <w:r>
              <w:rPr>
                <w:sz w:val="19"/>
              </w:rPr>
            </w:r>
            <w:r>
              <w:rPr>
                <w:sz w:val="19"/>
              </w:rPr>
              <w:t>II.6 Spatial county term</w:t>
            </w:r>
          </w:p>
        </w:tc>
        <w:tc>
          <w:tcPr>
            <w:tcW w:type="dxa" w:w="3120"/>
          </w:tcPr>
          <w:p>
            <w:pPr>
              <w:spacing w:before="40" w:after="40"/>
            </w:pPr>
            <w:r>
              <w:rPr>
                <w:sz w:val="19"/>
              </w:rPr>
            </w:r>
            <w:r>
              <w:rPr>
                <w:sz w:val="19"/>
              </w:rPr>
              <w:t>Leakage-safe county-risk feature (county mean of y from training rows only, per fold) added; residual Moran-like spatial autocorrelation measured</w:t>
            </w:r>
          </w:p>
        </w:tc>
        <w:tc>
          <w:tcPr>
            <w:tcW w:type="dxa" w:w="3120"/>
          </w:tcPr>
          <w:p>
            <w:pPr>
              <w:spacing w:before="40" w:after="40"/>
            </w:pPr>
            <w:r>
              <w:rPr>
                <w:sz w:val="19"/>
              </w:rPr>
            </w:r>
            <w:r>
              <w:rPr>
                <w:sz w:val="19"/>
              </w:rPr>
              <w:t xml:space="preserve">base 0.695 → </w:t>
            </w:r>
            <w:r>
              <w:rPr>
                <w:b/>
                <w:sz w:val="19"/>
              </w:rPr>
              <w:t>+county 0.742 (+0.047 ROC)</w:t>
            </w:r>
            <w:r>
              <w:rPr>
                <w:sz w:val="19"/>
              </w:rPr>
              <w:t>, PR 0.368→0.447; Moran +0.061. County graph is ~1 county/system (disjoint clusters → regional correlation, NOT physical cascade)</w:t>
            </w:r>
          </w:p>
        </w:tc>
      </w:tr>
    </w:tbl>
    <w:p/>
    <w:p>
      <w:pPr>
        <w:pBdr>
          <w:bottom w:val="single" w:sz="6" w:color="1B3A5B"/>
        </w:pBdr>
      </w:pPr>
    </w:p>
    <w:p>
      <w:pPr>
        <w:pStyle w:val="Heading2"/>
      </w:pPr>
      <w:r>
        <w:t>PART III — Methodology experiments (each decided by paired experiment)</w:t>
      </w:r>
    </w:p>
    <w:p/>
    <w:p>
      <w:pPr>
        <w:jc w:val="center"/>
      </w:pPr>
      <w:r>
        <w:drawing>
          <wp:inline xmlns:a="http://schemas.openxmlformats.org/drawingml/2006/main" xmlns:pic="http://schemas.openxmlformats.org/drawingml/2006/picture">
            <wp:extent cx="4912738" cy="3200400"/>
            <wp:docPr id="4" name="Picture 4"/>
            <wp:cNvGraphicFramePr>
              <a:graphicFrameLocks noChangeAspect="1"/>
            </wp:cNvGraphicFramePr>
            <a:graphic>
              <a:graphicData uri="http://schemas.openxmlformats.org/drawingml/2006/picture">
                <pic:pic>
                  <pic:nvPicPr>
                    <pic:cNvPr id="0" name="sig_depth_ab.png"/>
                    <pic:cNvPicPr/>
                  </pic:nvPicPr>
                  <pic:blipFill>
                    <a:blip r:embed="rId12"/>
                    <a:stretch>
                      <a:fillRect/>
                    </a:stretch>
                  </pic:blipFill>
                  <pic:spPr>
                    <a:xfrm>
                      <a:off x="0" y="0"/>
                      <a:ext cx="4912738" cy="3200400"/>
                    </a:xfrm>
                    <a:prstGeom prst="rect"/>
                  </pic:spPr>
                </pic:pic>
              </a:graphicData>
            </a:graphic>
          </wp:inline>
        </w:drawing>
      </w:r>
    </w:p>
    <w:p>
      <w:pPr>
        <w:jc w:val="center"/>
      </w:pPr>
      <w:r>
        <w:rPr>
          <w:i/>
          <w:color w:val="5B6B7B"/>
          <w:sz w:val="18"/>
        </w:rPr>
        <w:t>Figure. Signature depth A/B (25 paired CV splits).</w:t>
      </w:r>
    </w:p>
    <w:p/>
    <w:p>
      <w:pPr>
        <w:jc w:val="center"/>
      </w:pPr>
      <w:r>
        <w:drawing>
          <wp:inline xmlns:a="http://schemas.openxmlformats.org/drawingml/2006/main" xmlns:pic="http://schemas.openxmlformats.org/drawingml/2006/picture">
            <wp:extent cx="4485543" cy="3200399"/>
            <wp:docPr id="5" name="Picture 5"/>
            <wp:cNvGraphicFramePr>
              <a:graphicFrameLocks noChangeAspect="1"/>
            </wp:cNvGraphicFramePr>
            <a:graphic>
              <a:graphicData uri="http://schemas.openxmlformats.org/drawingml/2006/picture">
                <pic:pic>
                  <pic:nvPicPr>
                    <pic:cNvPr id="0" name="sig_calculus_ab.png"/>
                    <pic:cNvPicPr/>
                  </pic:nvPicPr>
                  <pic:blipFill>
                    <a:blip r:embed="rId13"/>
                    <a:stretch>
                      <a:fillRect/>
                    </a:stretch>
                  </pic:blipFill>
                  <pic:spPr>
                    <a:xfrm>
                      <a:off x="0" y="0"/>
                      <a:ext cx="4485543" cy="3200399"/>
                    </a:xfrm>
                    <a:prstGeom prst="rect"/>
                  </pic:spPr>
                </pic:pic>
              </a:graphicData>
            </a:graphic>
          </wp:inline>
        </w:drawing>
      </w:r>
    </w:p>
    <w:p>
      <w:pPr>
        <w:jc w:val="center"/>
      </w:pPr>
      <w:r>
        <w:rPr>
          <w:i/>
          <w:color w:val="5B6B7B"/>
          <w:sz w:val="18"/>
        </w:rPr>
        <w:t>Figure. Ito vs Stratonovich A/B.</w:t>
      </w:r>
    </w:p>
    <w:p/>
    <w:p>
      <w:pPr>
        <w:jc w:val="center"/>
      </w:pPr>
      <w:r>
        <w:drawing>
          <wp:inline xmlns:a="http://schemas.openxmlformats.org/drawingml/2006/main" xmlns:pic="http://schemas.openxmlformats.org/drawingml/2006/picture">
            <wp:extent cx="5852160" cy="2255996"/>
            <wp:docPr id="6" name="Picture 6"/>
            <wp:cNvGraphicFramePr>
              <a:graphicFrameLocks noChangeAspect="1"/>
            </wp:cNvGraphicFramePr>
            <a:graphic>
              <a:graphicData uri="http://schemas.openxmlformats.org/drawingml/2006/picture">
                <pic:pic>
                  <pic:nvPicPr>
                    <pic:cNvPr id="0" name="process_diagnostics.png"/>
                    <pic:cNvPicPr/>
                  </pic:nvPicPr>
                  <pic:blipFill>
                    <a:blip r:embed="rId14"/>
                    <a:stretch>
                      <a:fillRect/>
                    </a:stretch>
                  </pic:blipFill>
                  <pic:spPr>
                    <a:xfrm>
                      <a:off x="0" y="0"/>
                      <a:ext cx="5852160" cy="2255996"/>
                    </a:xfrm>
                    <a:prstGeom prst="rect"/>
                  </pic:spPr>
                </pic:pic>
              </a:graphicData>
            </a:graphic>
          </wp:inline>
        </w:drawing>
      </w:r>
    </w:p>
    <w:p>
      <w:pPr>
        <w:jc w:val="center"/>
      </w:pPr>
      <w:r>
        <w:rPr>
          <w:i/>
          <w:color w:val="5B6B7B"/>
          <w:sz w:val="18"/>
        </w:rPr>
        <w:t>Figure. Stochastic-nature diagnostics.</w:t>
      </w:r>
    </w:p>
    <w:p>
      <w:r>
        <w:t xml:space="preserve">Protocol unless noted: RepeatedStratifiedKFold, 5 folds × 5 repeats = </w:t>
      </w:r>
      <w:r>
        <w:rPr>
          <w:b/>
        </w:rPr>
        <w:t>25 paired CV splits</w:t>
      </w:r>
      <w:r>
        <w:t>, same splits across variants, paired delta.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B3A5B"/>
          </w:tcPr>
          <w:p>
            <w:pPr>
              <w:spacing w:before="40" w:after="40"/>
            </w:pPr>
            <w:r>
              <w:rPr>
                <w:b/>
                <w:color w:val="FFFFFF"/>
                <w:sz w:val="19"/>
              </w:rPr>
            </w:r>
            <w:r>
              <w:rPr>
                <w:b/>
                <w:color w:val="FFFFFF"/>
                <w:sz w:val="19"/>
              </w:rPr>
              <w:t>Step</w:t>
            </w:r>
          </w:p>
        </w:tc>
        <w:tc>
          <w:tcPr>
            <w:tcW w:type="dxa" w:w="2340"/>
            <w:shd w:val="clear" w:fill="1B3A5B"/>
          </w:tcPr>
          <w:p>
            <w:pPr>
              <w:spacing w:before="40" w:after="40"/>
            </w:pPr>
            <w:r>
              <w:rPr>
                <w:b/>
                <w:color w:val="FFFFFF"/>
                <w:sz w:val="19"/>
              </w:rPr>
            </w:r>
            <w:r>
              <w:rPr>
                <w:b/>
                <w:color w:val="FFFFFF"/>
                <w:sz w:val="19"/>
              </w:rPr>
              <w:t>Hypothesis / method</w:t>
            </w:r>
          </w:p>
        </w:tc>
        <w:tc>
          <w:tcPr>
            <w:tcW w:type="dxa" w:w="2340"/>
            <w:shd w:val="clear" w:fill="1B3A5B"/>
          </w:tcPr>
          <w:p>
            <w:pPr>
              <w:spacing w:before="40" w:after="40"/>
            </w:pPr>
            <w:r>
              <w:rPr>
                <w:b/>
                <w:color w:val="FFFFFF"/>
                <w:sz w:val="19"/>
              </w:rPr>
            </w:r>
            <w:r>
              <w:rPr>
                <w:b/>
                <w:color w:val="FFFFFF"/>
                <w:sz w:val="19"/>
              </w:rPr>
              <w:t>Result</w:t>
            </w:r>
          </w:p>
        </w:tc>
        <w:tc>
          <w:tcPr>
            <w:tcW w:type="dxa" w:w="2340"/>
            <w:shd w:val="clear" w:fill="1B3A5B"/>
          </w:tcPr>
          <w:p>
            <w:pPr>
              <w:spacing w:before="40" w:after="40"/>
            </w:pPr>
            <w:r>
              <w:rPr>
                <w:b/>
                <w:color w:val="FFFFFF"/>
                <w:sz w:val="19"/>
              </w:rPr>
            </w:r>
            <w:r>
              <w:rPr>
                <w:b/>
                <w:color w:val="FFFFFF"/>
                <w:sz w:val="19"/>
              </w:rPr>
              <w:t>Decision</w:t>
            </w:r>
          </w:p>
        </w:tc>
      </w:tr>
      <w:tr>
        <w:tc>
          <w:tcPr>
            <w:tcW w:type="dxa" w:w="2340"/>
          </w:tcPr>
          <w:p>
            <w:pPr>
              <w:spacing w:before="40" w:after="40"/>
            </w:pPr>
            <w:r>
              <w:rPr>
                <w:sz w:val="19"/>
              </w:rPr>
            </w:r>
            <w:r>
              <w:rPr>
                <w:sz w:val="19"/>
              </w:rPr>
              <w:t>III.1 Signature depth</w:t>
            </w:r>
          </w:p>
        </w:tc>
        <w:tc>
          <w:tcPr>
            <w:tcW w:type="dxa" w:w="2340"/>
          </w:tcPr>
          <w:p>
            <w:pPr>
              <w:spacing w:before="40" w:after="40"/>
            </w:pPr>
            <w:r>
              <w:rPr>
                <w:sz w:val="19"/>
              </w:rPr>
            </w:r>
            <w:r>
              <w:rPr>
                <w:sz w:val="19"/>
              </w:rPr>
              <w:t>depth-2 vs depth-3 vs depth-3 log-signature</w:t>
            </w:r>
          </w:p>
        </w:tc>
        <w:tc>
          <w:tcPr>
            <w:tcW w:type="dxa" w:w="2340"/>
          </w:tcPr>
          <w:p>
            <w:pPr>
              <w:spacing w:before="40" w:after="40"/>
            </w:pPr>
            <w:r>
              <w:rPr>
                <w:sz w:val="19"/>
              </w:rPr>
            </w:r>
            <w:r>
              <w:rPr>
                <w:sz w:val="19"/>
              </w:rPr>
              <w:t xml:space="preserve">depth-2 ROC 0.6753±0.0056; </w:t>
            </w:r>
            <w:r>
              <w:rPr>
                <w:b/>
                <w:sz w:val="19"/>
              </w:rPr>
              <w:t>depth-3 0.6818±0.0057 (+0.0065 paired, 100% of 25 splits)</w:t>
            </w:r>
            <w:r>
              <w:rPr>
                <w:sz w:val="19"/>
              </w:rPr>
              <w:t>; log-sig 0.6736 (−0.0018, 24%)</w:t>
            </w:r>
          </w:p>
        </w:tc>
        <w:tc>
          <w:tcPr>
            <w:tcW w:type="dxa" w:w="2340"/>
          </w:tcPr>
          <w:p>
            <w:pPr>
              <w:spacing w:before="40" w:after="40"/>
            </w:pPr>
            <w:r>
              <w:rPr>
                <w:sz w:val="19"/>
              </w:rPr>
            </w:r>
            <w:r>
              <w:rPr>
                <w:b/>
                <w:sz w:val="19"/>
              </w:rPr>
              <w:t>depth-3 adopted; log-signature rejected</w:t>
            </w:r>
          </w:p>
        </w:tc>
      </w:tr>
      <w:tr>
        <w:tc>
          <w:tcPr>
            <w:tcW w:type="dxa" w:w="2340"/>
          </w:tcPr>
          <w:p>
            <w:pPr>
              <w:spacing w:before="40" w:after="40"/>
            </w:pPr>
            <w:r>
              <w:rPr>
                <w:sz w:val="19"/>
              </w:rPr>
            </w:r>
            <w:r>
              <w:rPr>
                <w:sz w:val="19"/>
              </w:rPr>
              <w:t>III.2 Stochastic calculus</w:t>
            </w:r>
          </w:p>
        </w:tc>
        <w:tc>
          <w:tcPr>
            <w:tcW w:type="dxa" w:w="2340"/>
          </w:tcPr>
          <w:p>
            <w:pPr>
              <w:spacing w:before="40" w:after="40"/>
            </w:pPr>
            <w:r>
              <w:rPr>
                <w:sz w:val="19"/>
              </w:rPr>
            </w:r>
            <w:r>
              <w:rPr>
                <w:sz w:val="19"/>
              </w:rPr>
              <w:t>Itô vs Stratonovich signature</w:t>
            </w:r>
          </w:p>
        </w:tc>
        <w:tc>
          <w:tcPr>
            <w:tcW w:type="dxa" w:w="2340"/>
          </w:tcPr>
          <w:p>
            <w:pPr>
              <w:spacing w:before="40" w:after="40"/>
            </w:pPr>
            <w:r>
              <w:rPr>
                <w:sz w:val="19"/>
              </w:rPr>
            </w:r>
            <w:r>
              <w:rPr>
                <w:sz w:val="19"/>
              </w:rPr>
              <w:t xml:space="preserve">feature blocks differ (median rel-L2 2.3%) but ROC: Strat 0.6818±0.0057, Itô 0.6819±0.0065; paired Δ </w:t>
            </w:r>
            <w:r>
              <w:rPr>
                <w:b/>
                <w:sz w:val="19"/>
              </w:rPr>
              <w:t>+0.0001±0.0026</w:t>
            </w:r>
            <w:r>
              <w:rPr>
                <w:sz w:val="19"/>
              </w:rPr>
              <w:t>, 44% splits</w:t>
            </w:r>
          </w:p>
        </w:tc>
        <w:tc>
          <w:tcPr>
            <w:tcW w:type="dxa" w:w="2340"/>
          </w:tcPr>
          <w:p>
            <w:pPr>
              <w:spacing w:before="40" w:after="40"/>
            </w:pPr>
            <w:r>
              <w:rPr>
                <w:sz w:val="19"/>
              </w:rPr>
            </w:r>
            <w:r>
              <w:rPr>
                <w:b/>
                <w:sz w:val="19"/>
              </w:rPr>
              <w:t>Stratonovich kept</w:t>
            </w:r>
            <w:r>
              <w:rPr>
                <w:sz w:val="19"/>
              </w:rPr>
              <w:t xml:space="preserve"> on shuffle/reparam-invariance grounds (now data-backed)</w:t>
            </w:r>
          </w:p>
        </w:tc>
      </w:tr>
      <w:tr>
        <w:tc>
          <w:tcPr>
            <w:tcW w:type="dxa" w:w="2340"/>
          </w:tcPr>
          <w:p>
            <w:pPr>
              <w:spacing w:before="40" w:after="40"/>
            </w:pPr>
            <w:r>
              <w:rPr>
                <w:sz w:val="19"/>
              </w:rPr>
            </w:r>
            <w:r>
              <w:rPr>
                <w:sz w:val="19"/>
              </w:rPr>
              <w:t>III.3 Process nature</w:t>
            </w:r>
          </w:p>
        </w:tc>
        <w:tc>
          <w:tcPr>
            <w:tcW w:type="dxa" w:w="2340"/>
          </w:tcPr>
          <w:p>
            <w:pPr>
              <w:spacing w:before="40" w:after="40"/>
            </w:pPr>
            <w:r>
              <w:rPr>
                <w:sz w:val="19"/>
              </w:rPr>
            </w:r>
            <w:r>
              <w:rPr>
                <w:sz w:val="19"/>
              </w:rPr>
              <w:t>Per-system AR(1) φ, variance-ratio VR(4), Hurst (aggregated-variance), on levels and increments, all 51k systems</w:t>
            </w:r>
          </w:p>
        </w:tc>
        <w:tc>
          <w:tcPr>
            <w:tcW w:type="dxa" w:w="2340"/>
          </w:tcPr>
          <w:p>
            <w:pPr>
              <w:spacing w:before="40" w:after="40"/>
            </w:pPr>
            <w:r>
              <w:rPr>
                <w:sz w:val="19"/>
              </w:rPr>
            </w:r>
            <w:r>
              <w:rPr>
                <w:sz w:val="19"/>
              </w:rPr>
              <w:t>logpop φ≈0.92 H≈0.95; nfac φ≈0.93 H≈0.96; cumsv φ≈0.96 H≈0.98, VR4≈0.75; increment AR(1)&lt;0 in 89–94%</w:t>
            </w:r>
          </w:p>
        </w:tc>
        <w:tc>
          <w:tcPr>
            <w:tcW w:type="dxa" w:w="2340"/>
          </w:tcPr>
          <w:p>
            <w:pPr>
              <w:spacing w:before="40" w:after="40"/>
            </w:pPr>
            <w:r>
              <w:rPr>
                <w:sz w:val="19"/>
              </w:rPr>
            </w:r>
            <w:r>
              <w:rPr>
                <w:sz w:val="19"/>
              </w:rPr>
              <w:t xml:space="preserve">Data is </w:t>
            </w:r>
            <w:r>
              <w:rPr>
                <w:b/>
                <w:sz w:val="19"/>
              </w:rPr>
              <w:t>drift-dominated integrated</w:t>
            </w:r>
            <w:r>
              <w:rPr>
                <w:sz w:val="19"/>
              </w:rPr>
              <w:t xml:space="preserve">, not Brownian, not OU; increments weakly mean-reverting. Pipeline </w:t>
            </w:r>
            <w:r>
              <w:rPr>
                <w:b/>
                <w:sz w:val="19"/>
              </w:rPr>
              <w:t>non-anticipative by construction</w:t>
            </w:r>
            <w:r>
              <w:rPr>
                <w:sz w:val="19"/>
              </w:rPr>
              <w:t>; only caveat = SDWIS reporting lag (conservative)</w:t>
            </w:r>
          </w:p>
        </w:tc>
      </w:tr>
    </w:tbl>
    <w:p/>
    <w:p>
      <w:pPr>
        <w:pBdr>
          <w:bottom w:val="single" w:sz="6" w:color="1B3A5B"/>
        </w:pBdr>
      </w:pPr>
    </w:p>
    <w:p>
      <w:pPr>
        <w:pStyle w:val="Heading2"/>
      </w:pPr>
      <w:r>
        <w:t>PART IV — Track 2: The SELECTED method (unknown-line lead triage)</w:t>
      </w:r>
    </w:p>
    <w:p/>
    <w:p>
      <w:pPr>
        <w:jc w:val="center"/>
      </w:pPr>
      <w:r>
        <w:drawing>
          <wp:inline xmlns:a="http://schemas.openxmlformats.org/drawingml/2006/main" xmlns:pic="http://schemas.openxmlformats.org/drawingml/2006/picture">
            <wp:extent cx="5852160" cy="2614991"/>
            <wp:docPr id="7" name="Picture 7"/>
            <wp:cNvGraphicFramePr>
              <a:graphicFrameLocks noChangeAspect="1"/>
            </wp:cNvGraphicFramePr>
            <a:graphic>
              <a:graphicData uri="http://schemas.openxmlformats.org/drawingml/2006/picture">
                <pic:pic>
                  <pic:nvPicPr>
                    <pic:cNvPr id="0" name="method_flow.png"/>
                    <pic:cNvPicPr/>
                  </pic:nvPicPr>
                  <pic:blipFill>
                    <a:blip r:embed="rId15"/>
                    <a:stretch>
                      <a:fillRect/>
                    </a:stretch>
                  </pic:blipFill>
                  <pic:spPr>
                    <a:xfrm>
                      <a:off x="0" y="0"/>
                      <a:ext cx="5852160" cy="2614991"/>
                    </a:xfrm>
                    <a:prstGeom prst="rect"/>
                  </pic:spPr>
                </pic:pic>
              </a:graphicData>
            </a:graphic>
          </wp:inline>
        </w:drawing>
      </w:r>
    </w:p>
    <w:p>
      <w:pPr>
        <w:jc w:val="center"/>
      </w:pPr>
      <w:r>
        <w:rPr>
          <w:i/>
          <w:color w:val="5B6B7B"/>
          <w:sz w:val="18"/>
        </w:rPr>
        <w:t>Figure. The selected method, step by step.</w:t>
      </w:r>
    </w:p>
    <w:p/>
    <w:p>
      <w:pPr>
        <w:jc w:val="center"/>
      </w:pPr>
      <w:r>
        <w:drawing>
          <wp:inline xmlns:a="http://schemas.openxmlformats.org/drawingml/2006/main" xmlns:pic="http://schemas.openxmlformats.org/drawingml/2006/picture">
            <wp:extent cx="5852160" cy="1689445"/>
            <wp:docPr id="8" name="Picture 8"/>
            <wp:cNvGraphicFramePr>
              <a:graphicFrameLocks noChangeAspect="1"/>
            </wp:cNvGraphicFramePr>
            <a:graphic>
              <a:graphicData uri="http://schemas.openxmlformats.org/drawingml/2006/picture">
                <pic:pic>
                  <pic:nvPicPr>
                    <pic:cNvPr id="0" name="triage_production.png"/>
                    <pic:cNvPicPr/>
                  </pic:nvPicPr>
                  <pic:blipFill>
                    <a:blip r:embed="rId16"/>
                    <a:stretch>
                      <a:fillRect/>
                    </a:stretch>
                  </pic:blipFill>
                  <pic:spPr>
                    <a:xfrm>
                      <a:off x="0" y="0"/>
                      <a:ext cx="5852160" cy="1689445"/>
                    </a:xfrm>
                    <a:prstGeom prst="rect"/>
                  </pic:spPr>
                </pic:pic>
              </a:graphicData>
            </a:graphic>
          </wp:inline>
        </w:drawing>
      </w:r>
    </w:p>
    <w:p>
      <w:pPr>
        <w:jc w:val="center"/>
      </w:pPr>
      <w:r>
        <w:rPr>
          <w:i/>
          <w:color w:val="5B6B7B"/>
          <w:sz w:val="18"/>
        </w:rPr>
        <w:t>Figure. Calibration, precision-recall, and investigation lift.</w:t>
      </w:r>
    </w:p>
    <w:p>
      <w:r>
        <w:rPr>
          <w:b/>
        </w:rPr>
        <w:t>What it does:</w:t>
      </w:r>
      <w:r>
        <w:t xml:space="preserve"> estimate the probability a system's "lead-status-unknown" service lines are actually lead, to spend the cheap (~$200/line) investigation budget before the expensive (~$4,700/line) replacement. Script: </w:t>
      </w:r>
      <w:r>
        <w:rPr>
          <w:rFonts w:ascii="Consolas" w:hAnsi="Consolas"/>
          <w:sz w:val="20"/>
        </w:rPr>
        <w:t>triage_production.py</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B3A5B"/>
          </w:tcPr>
          <w:p>
            <w:pPr>
              <w:spacing w:before="40" w:after="40"/>
            </w:pPr>
            <w:r>
              <w:rPr>
                <w:b/>
                <w:color w:val="FFFFFF"/>
                <w:sz w:val="19"/>
              </w:rPr>
            </w:r>
            <w:r>
              <w:rPr>
                <w:b/>
                <w:color w:val="FFFFFF"/>
                <w:sz w:val="19"/>
              </w:rPr>
              <w:t>Step</w:t>
            </w:r>
          </w:p>
        </w:tc>
        <w:tc>
          <w:tcPr>
            <w:tcW w:type="dxa" w:w="3120"/>
            <w:shd w:val="clear" w:fill="1B3A5B"/>
          </w:tcPr>
          <w:p>
            <w:pPr>
              <w:spacing w:before="40" w:after="40"/>
            </w:pPr>
            <w:r>
              <w:rPr>
                <w:b/>
                <w:color w:val="FFFFFF"/>
                <w:sz w:val="19"/>
              </w:rPr>
            </w:r>
            <w:r>
              <w:rPr>
                <w:b/>
                <w:color w:val="FFFFFF"/>
                <w:sz w:val="19"/>
              </w:rPr>
              <w:t>Method</w:t>
            </w:r>
          </w:p>
        </w:tc>
        <w:tc>
          <w:tcPr>
            <w:tcW w:type="dxa" w:w="3120"/>
            <w:shd w:val="clear" w:fill="1B3A5B"/>
          </w:tcPr>
          <w:p>
            <w:pPr>
              <w:spacing w:before="40" w:after="40"/>
            </w:pPr>
            <w:r>
              <w:rPr>
                <w:b/>
                <w:color w:val="FFFFFF"/>
                <w:sz w:val="19"/>
              </w:rPr>
            </w:r>
            <w:r>
              <w:rPr>
                <w:b/>
                <w:color w:val="FFFFFF"/>
                <w:sz w:val="19"/>
              </w:rPr>
              <w:t>Result</w:t>
            </w:r>
          </w:p>
        </w:tc>
      </w:tr>
      <w:tr>
        <w:tc>
          <w:tcPr>
            <w:tcW w:type="dxa" w:w="3120"/>
          </w:tcPr>
          <w:p>
            <w:pPr>
              <w:spacing w:before="40" w:after="40"/>
            </w:pPr>
            <w:r>
              <w:rPr>
                <w:sz w:val="19"/>
              </w:rPr>
            </w:r>
            <w:r>
              <w:rPr>
                <w:sz w:val="19"/>
              </w:rPr>
              <w:t>IV.0 Inputs &amp; manifest</w:t>
            </w:r>
          </w:p>
        </w:tc>
        <w:tc>
          <w:tcPr>
            <w:tcW w:type="dxa" w:w="3120"/>
          </w:tcPr>
          <w:p>
            <w:pPr>
              <w:spacing w:before="40" w:after="40"/>
            </w:pPr>
            <w:r>
              <w:rPr>
                <w:sz w:val="19"/>
              </w:rPr>
            </w:r>
            <w:r>
              <w:rPr>
                <w:sz w:val="19"/>
              </w:rPr>
              <w:t>7 EPA files hashed (SHA-256 + row counts), versions + seed pinned</w:t>
            </w:r>
          </w:p>
        </w:tc>
        <w:tc>
          <w:tcPr>
            <w:tcW w:type="dxa" w:w="3120"/>
          </w:tcPr>
          <w:p>
            <w:pPr>
              <w:spacing w:before="40" w:after="40"/>
            </w:pPr>
            <w:r>
              <w:rPr>
                <w:sz w:val="19"/>
              </w:rPr>
            </w:r>
            <w:r>
              <w:rPr>
                <w:rFonts w:ascii="Consolas" w:hAnsi="Consolas"/>
                <w:sz w:val="20"/>
              </w:rPr>
              <w:t>triage_production_manifest.json</w:t>
            </w:r>
          </w:p>
        </w:tc>
      </w:tr>
      <w:tr>
        <w:tc>
          <w:tcPr>
            <w:tcW w:type="dxa" w:w="3120"/>
          </w:tcPr>
          <w:p>
            <w:pPr>
              <w:spacing w:before="40" w:after="40"/>
            </w:pPr>
            <w:r>
              <w:rPr>
                <w:sz w:val="19"/>
              </w:rPr>
            </w:r>
            <w:r>
              <w:rPr>
                <w:sz w:val="19"/>
              </w:rPr>
              <w:t>IV.1 Real ground truth</w:t>
            </w:r>
          </w:p>
        </w:tc>
        <w:tc>
          <w:tcPr>
            <w:tcW w:type="dxa" w:w="3120"/>
          </w:tcPr>
          <w:p>
            <w:pPr>
              <w:spacing w:before="40" w:after="40"/>
            </w:pPr>
            <w:r>
              <w:rPr>
                <w:sz w:val="19"/>
              </w:rPr>
            </w:r>
            <w:r>
              <w:rPr>
                <w:sz w:val="19"/>
              </w:rPr>
              <w:t xml:space="preserve">For systems in both 2025Q1 &amp; 2026Q1 SLI: </w:t>
            </w:r>
            <w:r>
              <w:rPr>
                <w:rFonts w:ascii="Consolas" w:hAnsi="Consolas"/>
                <w:sz w:val="20"/>
              </w:rPr>
              <w:t>resolved</w:t>
            </w:r>
            <w:r>
              <w:rPr>
                <w:sz w:val="19"/>
              </w:rPr>
              <w:t xml:space="preserve">=unknowns reclassified; </w:t>
            </w:r>
            <w:r>
              <w:rPr>
                <w:rFonts w:ascii="Consolas" w:hAnsi="Consolas"/>
                <w:sz w:val="20"/>
              </w:rPr>
              <w:t>lead_yield</w:t>
            </w:r>
            <w:r>
              <w:rPr>
                <w:sz w:val="19"/>
              </w:rPr>
              <w:t xml:space="preserve">=Δ(lead+galv)/resolved; keep </w:t>
            </w:r>
            <w:r>
              <w:rPr>
                <w:rFonts w:ascii="Consolas" w:hAnsi="Consolas"/>
                <w:sz w:val="20"/>
              </w:rPr>
              <w:t>resolved≥10</w:t>
            </w:r>
            <w:r>
              <w:rPr>
                <w:sz w:val="19"/>
              </w:rPr>
              <w:t xml:space="preserve">; label </w:t>
            </w:r>
            <w:r>
              <w:rPr>
                <w:rFonts w:ascii="Consolas" w:hAnsi="Consolas"/>
                <w:sz w:val="20"/>
              </w:rPr>
              <w:t>y=1</w:t>
            </w:r>
            <w:r>
              <w:rPr>
                <w:sz w:val="19"/>
              </w:rPr>
              <w:t xml:space="preserve"> if lead_yield≥10%</w:t>
            </w:r>
          </w:p>
        </w:tc>
        <w:tc>
          <w:tcPr>
            <w:tcW w:type="dxa" w:w="3120"/>
          </w:tcPr>
          <w:p>
            <w:pPr>
              <w:spacing w:before="40" w:after="40"/>
            </w:pPr>
            <w:r>
              <w:rPr>
                <w:sz w:val="19"/>
              </w:rPr>
            </w:r>
            <w:r>
              <w:rPr>
                <w:b/>
                <w:sz w:val="19"/>
              </w:rPr>
              <w:t>1,935 ground-truth systems, 178 positive (9.2%)</w:t>
            </w:r>
            <w:r>
              <w:rPr>
                <w:sz w:val="19"/>
              </w:rPr>
              <w:t xml:space="preserve"> — observed, not synthetic</w:t>
            </w:r>
          </w:p>
        </w:tc>
      </w:tr>
      <w:tr>
        <w:tc>
          <w:tcPr>
            <w:tcW w:type="dxa" w:w="3120"/>
          </w:tcPr>
          <w:p>
            <w:pPr>
              <w:spacing w:before="40" w:after="40"/>
            </w:pPr>
            <w:r>
              <w:rPr>
                <w:sz w:val="19"/>
              </w:rPr>
            </w:r>
            <w:r>
              <w:rPr>
                <w:sz w:val="19"/>
              </w:rPr>
              <w:t>IV.2 Features (evidence-supported only)</w:t>
            </w:r>
          </w:p>
        </w:tc>
        <w:tc>
          <w:tcPr>
            <w:tcW w:type="dxa" w:w="3120"/>
          </w:tcPr>
          <w:p>
            <w:pPr>
              <w:spacing w:before="40" w:after="40"/>
            </w:pPr>
            <w:r>
              <w:rPr>
                <w:sz w:val="19"/>
              </w:rPr>
            </w:r>
            <w:r>
              <w:rPr>
                <w:sz w:val="19"/>
              </w:rPr>
              <w:t xml:space="preserve">19 features: log unknown/total/pop, prior lead fraction, measured </w:t>
            </w:r>
            <w:r>
              <w:rPr>
                <w:rFonts w:ascii="Consolas" w:hAnsi="Consolas"/>
                <w:sz w:val="20"/>
              </w:rPr>
              <w:t>lead90</w:t>
            </w:r>
            <w:r>
              <w:rPr>
                <w:sz w:val="19"/>
              </w:rPr>
              <w:t xml:space="preserve"> (LCR), wholesale seller lead-risk (Katz over real buyer→seller graph), is-buyer, historical site-visits, significant-deficiency count, service connections, school flag, owner, source. Rejected ideas excluded by design</w:t>
            </w:r>
          </w:p>
        </w:tc>
        <w:tc>
          <w:tcPr>
            <w:tcW w:type="dxa" w:w="3120"/>
          </w:tcPr>
          <w:p>
            <w:pPr>
              <w:spacing w:before="40" w:after="40"/>
            </w:pPr>
            <w:r>
              <w:rPr>
                <w:sz w:val="19"/>
              </w:rPr>
            </w:r>
            <w:r>
              <w:rPr>
                <w:sz w:val="19"/>
              </w:rPr>
              <w:t>19 modeled features, 44 states</w:t>
            </w:r>
          </w:p>
        </w:tc>
      </w:tr>
      <w:tr>
        <w:tc>
          <w:tcPr>
            <w:tcW w:type="dxa" w:w="3120"/>
          </w:tcPr>
          <w:p>
            <w:pPr>
              <w:spacing w:before="40" w:after="40"/>
            </w:pPr>
            <w:r>
              <w:rPr>
                <w:sz w:val="19"/>
              </w:rPr>
            </w:r>
            <w:r>
              <w:rPr>
                <w:sz w:val="19"/>
              </w:rPr>
              <w:t>IV.3 Model</w:t>
            </w:r>
          </w:p>
        </w:tc>
        <w:tc>
          <w:tcPr>
            <w:tcW w:type="dxa" w:w="3120"/>
          </w:tcPr>
          <w:p>
            <w:pPr>
              <w:spacing w:before="40" w:after="40"/>
            </w:pPr>
            <w:r>
              <w:rPr>
                <w:sz w:val="19"/>
              </w:rPr>
            </w:r>
            <w:r>
              <w:rPr>
                <w:sz w:val="19"/>
              </w:rPr>
              <w:t xml:space="preserve">HistGradientBoosting (class-balanced) + </w:t>
            </w:r>
            <w:r>
              <w:rPr>
                <w:b/>
                <w:sz w:val="19"/>
              </w:rPr>
              <w:t>isotonic probability calibration</w:t>
            </w:r>
            <w:r>
              <w:rPr>
                <w:sz w:val="19"/>
              </w:rPr>
              <w:t xml:space="preserve"> via internal 3-fold (nested)</w:t>
            </w:r>
          </w:p>
        </w:tc>
        <w:tc>
          <w:tcPr>
            <w:tcW w:type="dxa" w:w="3120"/>
          </w:tcPr>
          <w:p>
            <w:pPr>
              <w:spacing w:before="40" w:after="40"/>
            </w:pPr>
            <w:r>
              <w:rPr>
                <w:sz w:val="19"/>
              </w:rPr>
            </w:r>
            <w:r>
              <w:rPr>
                <w:sz w:val="19"/>
              </w:rPr>
              <w:t>Calibrated probabilities</w:t>
            </w:r>
          </w:p>
        </w:tc>
      </w:tr>
      <w:tr>
        <w:tc>
          <w:tcPr>
            <w:tcW w:type="dxa" w:w="3120"/>
          </w:tcPr>
          <w:p>
            <w:pPr>
              <w:spacing w:before="40" w:after="40"/>
            </w:pPr>
            <w:r>
              <w:rPr>
                <w:sz w:val="19"/>
              </w:rPr>
            </w:r>
            <w:r>
              <w:rPr>
                <w:sz w:val="19"/>
              </w:rPr>
              <w:t>IV.4 Validation A — repeated stratified CV</w:t>
            </w:r>
          </w:p>
        </w:tc>
        <w:tc>
          <w:tcPr>
            <w:tcW w:type="dxa" w:w="3120"/>
          </w:tcPr>
          <w:p>
            <w:pPr>
              <w:spacing w:before="40" w:after="40"/>
            </w:pPr>
            <w:r>
              <w:rPr>
                <w:sz w:val="19"/>
              </w:rPr>
            </w:r>
            <w:r>
              <w:rPr>
                <w:sz w:val="19"/>
              </w:rPr>
              <w:t>5×5 = 25 OOF evaluations; pooled + per-repeat</w:t>
            </w:r>
          </w:p>
        </w:tc>
        <w:tc>
          <w:tcPr>
            <w:tcW w:type="dxa" w:w="3120"/>
          </w:tcPr>
          <w:p>
            <w:pPr>
              <w:spacing w:before="40" w:after="40"/>
            </w:pPr>
            <w:r>
              <w:rPr>
                <w:sz w:val="19"/>
              </w:rPr>
            </w:r>
            <w:r>
              <w:rPr>
                <w:b/>
                <w:sz w:val="19"/>
              </w:rPr>
              <w:t>ROC-AUC 0.71</w:t>
            </w:r>
            <w:r>
              <w:rPr>
                <w:sz w:val="19"/>
              </w:rPr>
              <w:t xml:space="preserve"> (per-repeat 0.710±0.007, 95% CI 0.705–0.716); PR-AUC 0.22 vs 0.092; </w:t>
            </w:r>
            <w:r>
              <w:rPr>
                <w:b/>
                <w:sz w:val="19"/>
              </w:rPr>
              <w:t>Brier 0.079, ECE 0.024</w:t>
            </w:r>
            <w:r>
              <w:rPr>
                <w:sz w:val="19"/>
              </w:rPr>
              <w:t xml:space="preserve"> (well-calibrated); </w:t>
            </w:r>
            <w:r>
              <w:rPr>
                <w:b/>
                <w:sz w:val="19"/>
              </w:rPr>
              <w:t>top-10% captures ≈33%</w:t>
            </w:r>
            <w:r>
              <w:rPr>
                <w:sz w:val="19"/>
              </w:rPr>
              <w:t xml:space="preserve"> of lead-rich systems; precision@10% 0.31</w:t>
            </w:r>
          </w:p>
        </w:tc>
      </w:tr>
      <w:tr>
        <w:tc>
          <w:tcPr>
            <w:tcW w:type="dxa" w:w="3120"/>
          </w:tcPr>
          <w:p>
            <w:pPr>
              <w:spacing w:before="40" w:after="40"/>
            </w:pPr>
            <w:r>
              <w:rPr>
                <w:sz w:val="19"/>
              </w:rPr>
            </w:r>
            <w:r>
              <w:rPr>
                <w:sz w:val="19"/>
              </w:rPr>
              <w:t>IV.5 Validation B — group-by-state CV</w:t>
            </w:r>
          </w:p>
        </w:tc>
        <w:tc>
          <w:tcPr>
            <w:tcW w:type="dxa" w:w="3120"/>
          </w:tcPr>
          <w:p>
            <w:pPr>
              <w:spacing w:before="40" w:after="40"/>
            </w:pPr>
            <w:r>
              <w:rPr>
                <w:sz w:val="19"/>
              </w:rPr>
            </w:r>
            <w:r>
              <w:rPr>
                <w:sz w:val="19"/>
              </w:rPr>
              <w:t>Train on some states, test on entirely unseen states</w:t>
            </w:r>
          </w:p>
        </w:tc>
        <w:tc>
          <w:tcPr>
            <w:tcW w:type="dxa" w:w="3120"/>
          </w:tcPr>
          <w:p>
            <w:pPr>
              <w:spacing w:before="40" w:after="40"/>
            </w:pPr>
            <w:r>
              <w:rPr>
                <w:sz w:val="19"/>
              </w:rPr>
            </w:r>
            <w:r>
              <w:rPr>
                <w:b/>
                <w:sz w:val="19"/>
              </w:rPr>
              <w:t>ROC-AUC 0.57</w:t>
            </w:r>
            <w:r>
              <w:rPr>
                <w:sz w:val="19"/>
              </w:rPr>
              <w:t>, PR 0.12, top-decile 16% — does NOT generalize cold to a new state</w:t>
            </w:r>
          </w:p>
        </w:tc>
      </w:tr>
      <w:tr>
        <w:tc>
          <w:tcPr>
            <w:tcW w:type="dxa" w:w="3120"/>
          </w:tcPr>
          <w:p>
            <w:pPr>
              <w:spacing w:before="40" w:after="40"/>
            </w:pPr>
            <w:r>
              <w:rPr>
                <w:sz w:val="19"/>
              </w:rPr>
            </w:r>
            <w:r>
              <w:rPr>
                <w:sz w:val="19"/>
              </w:rPr>
              <w:t>IV.6 Validation C — leakage-safe spatial ablation</w:t>
            </w:r>
          </w:p>
        </w:tc>
        <w:tc>
          <w:tcPr>
            <w:tcW w:type="dxa" w:w="3120"/>
          </w:tcPr>
          <w:p>
            <w:pPr>
              <w:spacing w:before="40" w:after="40"/>
            </w:pPr>
            <w:r>
              <w:rPr>
                <w:sz w:val="19"/>
              </w:rPr>
            </w:r>
            <w:r>
              <w:rPr>
                <w:sz w:val="19"/>
              </w:rPr>
              <w:t>County lead-rate from training labels only, recomputed each fold, added as a feature</w:t>
            </w:r>
          </w:p>
        </w:tc>
        <w:tc>
          <w:tcPr>
            <w:tcW w:type="dxa" w:w="3120"/>
          </w:tcPr>
          <w:p>
            <w:pPr>
              <w:spacing w:before="40" w:after="40"/>
            </w:pPr>
            <w:r>
              <w:rPr>
                <w:sz w:val="19"/>
              </w:rPr>
            </w:r>
            <w:r>
              <w:rPr>
                <w:sz w:val="19"/>
              </w:rPr>
              <w:t xml:space="preserve">base 0.710 → +county </w:t>
            </w:r>
            <w:r>
              <w:rPr>
                <w:b/>
                <w:sz w:val="19"/>
              </w:rPr>
              <w:t>0.691</w:t>
            </w:r>
            <w:r>
              <w:rPr>
                <w:sz w:val="19"/>
              </w:rPr>
              <w:t xml:space="preserve">, Δ −0.019±0.009, helps 0% of repeats → spatial term </w:t>
            </w:r>
            <w:r>
              <w:rPr>
                <w:b/>
                <w:sz w:val="19"/>
              </w:rPr>
              <w:t>correctly excluded</w:t>
            </w:r>
          </w:p>
        </w:tc>
      </w:tr>
      <w:tr>
        <w:tc>
          <w:tcPr>
            <w:tcW w:type="dxa" w:w="3120"/>
          </w:tcPr>
          <w:p>
            <w:pPr>
              <w:spacing w:before="40" w:after="40"/>
            </w:pPr>
            <w:r>
              <w:rPr>
                <w:sz w:val="19"/>
              </w:rPr>
            </w:r>
            <w:r>
              <w:rPr>
                <w:sz w:val="19"/>
              </w:rPr>
              <w:t>IV.7 Outputs</w:t>
            </w:r>
          </w:p>
        </w:tc>
        <w:tc>
          <w:tcPr>
            <w:tcW w:type="dxa" w:w="3120"/>
          </w:tcPr>
          <w:p>
            <w:pPr>
              <w:spacing w:before="40" w:after="40"/>
            </w:pPr>
            <w:r>
              <w:rPr>
                <w:sz w:val="19"/>
              </w:rPr>
            </w:r>
            <w:r>
              <w:rPr>
                <w:sz w:val="19"/>
              </w:rPr>
              <w:t>Metrics JSON, manifest, 3-panel figure (calibration / PR / lift), prioritized CSV of unresolved-unknown systems</w:t>
            </w:r>
          </w:p>
        </w:tc>
        <w:tc>
          <w:tcPr>
            <w:tcW w:type="dxa" w:w="3120"/>
          </w:tcPr>
          <w:p>
            <w:pPr>
              <w:spacing w:before="40" w:after="40"/>
            </w:pPr>
            <w:r>
              <w:rPr>
                <w:sz w:val="19"/>
              </w:rPr>
            </w:r>
            <w:r>
              <w:rPr>
                <w:rFonts w:ascii="Consolas" w:hAnsi="Consolas"/>
                <w:sz w:val="20"/>
              </w:rPr>
              <w:t>triage_production_results.json</w:t>
            </w:r>
            <w:r>
              <w:rPr>
                <w:sz w:val="19"/>
              </w:rPr>
              <w:t xml:space="preserve">, </w:t>
            </w:r>
            <w:r>
              <w:rPr>
                <w:rFonts w:ascii="Consolas" w:hAnsi="Consolas"/>
                <w:sz w:val="20"/>
              </w:rPr>
              <w:t>unknown_triage_ranking.csv</w:t>
            </w:r>
            <w:r>
              <w:rPr>
                <w:sz w:val="19"/>
              </w:rPr>
              <w:t xml:space="preserve">, </w:t>
            </w:r>
            <w:r>
              <w:rPr>
                <w:rFonts w:ascii="Consolas" w:hAnsi="Consolas"/>
                <w:sz w:val="20"/>
              </w:rPr>
              <w:t>triage_production.png</w:t>
            </w:r>
          </w:p>
        </w:tc>
      </w:tr>
      <w:tr>
        <w:tc>
          <w:tcPr>
            <w:tcW w:type="dxa" w:w="3120"/>
          </w:tcPr>
          <w:p>
            <w:pPr>
              <w:spacing w:before="40" w:after="40"/>
            </w:pPr>
            <w:r>
              <w:rPr>
                <w:sz w:val="19"/>
              </w:rPr>
            </w:r>
            <w:r>
              <w:rPr>
                <w:sz w:val="19"/>
              </w:rPr>
              <w:t>IV.8 Market context (real EPA counts)</w:t>
            </w:r>
          </w:p>
        </w:tc>
        <w:tc>
          <w:tcPr>
            <w:tcW w:type="dxa" w:w="3120"/>
          </w:tcPr>
          <w:p>
            <w:pPr>
              <w:spacing w:before="40" w:after="40"/>
            </w:pPr>
            <w:r>
              <w:rPr>
                <w:sz w:val="19"/>
              </w:rPr>
            </w:r>
            <w:r>
              <w:rPr>
                <w:sz w:val="19"/>
              </w:rPr>
              <w:t>Count systems/lines still unresolved</w:t>
            </w:r>
          </w:p>
        </w:tc>
        <w:tc>
          <w:tcPr>
            <w:tcW w:type="dxa" w:w="3120"/>
          </w:tcPr>
          <w:p>
            <w:pPr>
              <w:spacing w:before="40" w:after="40"/>
            </w:pPr>
            <w:r>
              <w:rPr>
                <w:sz w:val="19"/>
              </w:rPr>
            </w:r>
            <w:r>
              <w:rPr>
                <w:sz w:val="19"/>
              </w:rPr>
              <w:t xml:space="preserve">14,113 systems, </w:t>
            </w:r>
            <w:r>
              <w:rPr>
                <w:b/>
                <w:sz w:val="19"/>
              </w:rPr>
              <w:t>22.5M unknown lines (~$4.5B to investigate)</w:t>
            </w:r>
            <w:r>
              <w:rPr>
                <w:sz w:val="19"/>
              </w:rPr>
              <w:t>; value framed as top-decile lift, NOT a dollar headline</w:t>
            </w:r>
          </w:p>
        </w:tc>
      </w:tr>
    </w:tbl>
    <w:p/>
    <w:p>
      <w:pPr>
        <w:pBdr>
          <w:bottom w:val="single" w:sz="6" w:color="1B3A5B"/>
        </w:pBdr>
      </w:pPr>
    </w:p>
    <w:p>
      <w:pPr>
        <w:pStyle w:val="Heading2"/>
      </w:pPr>
      <w:r>
        <w:t>PART V — Did signatures help the SELECTED (triage) method? Every test.</w:t>
      </w:r>
    </w:p>
    <w:p/>
    <w:p>
      <w:pPr>
        <w:jc w:val="center"/>
      </w:pPr>
      <w:r>
        <w:drawing>
          <wp:inline xmlns:a="http://schemas.openxmlformats.org/drawingml/2006/main" xmlns:pic="http://schemas.openxmlformats.org/drawingml/2006/picture">
            <wp:extent cx="4627942" cy="3200400"/>
            <wp:docPr id="9" name="Picture 9"/>
            <wp:cNvGraphicFramePr>
              <a:graphicFrameLocks noChangeAspect="1"/>
            </wp:cNvGraphicFramePr>
            <a:graphic>
              <a:graphicData uri="http://schemas.openxmlformats.org/drawingml/2006/picture">
                <pic:pic>
                  <pic:nvPicPr>
                    <pic:cNvPr id="0" name="leadpath_signature_ab.png"/>
                    <pic:cNvPicPr/>
                  </pic:nvPicPr>
                  <pic:blipFill>
                    <a:blip r:embed="rId17"/>
                    <a:stretch>
                      <a:fillRect/>
                    </a:stretch>
                  </pic:blipFill>
                  <pic:spPr>
                    <a:xfrm>
                      <a:off x="0" y="0"/>
                      <a:ext cx="4627942" cy="3200400"/>
                    </a:xfrm>
                    <a:prstGeom prst="rect"/>
                  </pic:spPr>
                </pic:pic>
              </a:graphicData>
            </a:graphic>
          </wp:inline>
        </w:drawing>
      </w:r>
    </w:p>
    <w:p>
      <w:pPr>
        <w:jc w:val="center"/>
      </w:pPr>
      <w:r>
        <w:rPr>
          <w:i/>
          <w:color w:val="5B6B7B"/>
          <w:sz w:val="18"/>
        </w:rPr>
        <w:t>Figure. Lead-sample PB90 path signature on the triage target.</w:t>
      </w:r>
    </w:p>
    <w:p>
      <w:r>
        <w:t>Signatures apply to any path — the data being non-Brownian was never a reason. We tested every plausible signature path for the triage target. Protocol: 25 paired CV splits.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B3A5B"/>
          </w:tcPr>
          <w:p>
            <w:pPr>
              <w:spacing w:before="40" w:after="40"/>
            </w:pPr>
            <w:r>
              <w:rPr>
                <w:b/>
                <w:color w:val="FFFFFF"/>
                <w:sz w:val="19"/>
              </w:rPr>
            </w:r>
            <w:r>
              <w:rPr>
                <w:b/>
                <w:color w:val="FFFFFF"/>
                <w:sz w:val="19"/>
              </w:rPr>
              <w:t>Step</w:t>
            </w:r>
          </w:p>
        </w:tc>
        <w:tc>
          <w:tcPr>
            <w:tcW w:type="dxa" w:w="1872"/>
            <w:shd w:val="clear" w:fill="1B3A5B"/>
          </w:tcPr>
          <w:p>
            <w:pPr>
              <w:spacing w:before="40" w:after="40"/>
            </w:pPr>
            <w:r>
              <w:rPr>
                <w:b/>
                <w:color w:val="FFFFFF"/>
                <w:sz w:val="19"/>
              </w:rPr>
            </w:r>
            <w:r>
              <w:rPr>
                <w:b/>
                <w:color w:val="FFFFFF"/>
                <w:sz w:val="19"/>
              </w:rPr>
              <w:t>Signature path tested</w:t>
            </w:r>
          </w:p>
        </w:tc>
        <w:tc>
          <w:tcPr>
            <w:tcW w:type="dxa" w:w="1872"/>
            <w:shd w:val="clear" w:fill="1B3A5B"/>
          </w:tcPr>
          <w:p>
            <w:pPr>
              <w:spacing w:before="40" w:after="40"/>
            </w:pPr>
            <w:r>
              <w:rPr>
                <w:b/>
                <w:color w:val="FFFFFF"/>
                <w:sz w:val="19"/>
              </w:rPr>
            </w:r>
            <w:r>
              <w:rPr>
                <w:b/>
                <w:color w:val="FFFFFF"/>
                <w:sz w:val="19"/>
              </w:rPr>
              <w:t>Method</w:t>
            </w:r>
          </w:p>
        </w:tc>
        <w:tc>
          <w:tcPr>
            <w:tcW w:type="dxa" w:w="1872"/>
            <w:shd w:val="clear" w:fill="1B3A5B"/>
          </w:tcPr>
          <w:p>
            <w:pPr>
              <w:spacing w:before="40" w:after="40"/>
            </w:pPr>
            <w:r>
              <w:rPr>
                <w:b/>
                <w:color w:val="FFFFFF"/>
                <w:sz w:val="19"/>
              </w:rPr>
            </w:r>
            <w:r>
              <w:rPr>
                <w:b/>
                <w:color w:val="FFFFFF"/>
                <w:sz w:val="19"/>
              </w:rPr>
              <w:t>Result</w:t>
            </w:r>
          </w:p>
        </w:tc>
        <w:tc>
          <w:tcPr>
            <w:tcW w:type="dxa" w:w="1872"/>
            <w:shd w:val="clear" w:fill="1B3A5B"/>
          </w:tcPr>
          <w:p>
            <w:pPr>
              <w:spacing w:before="40" w:after="40"/>
            </w:pPr>
            <w:r>
              <w:rPr>
                <w:b/>
                <w:color w:val="FFFFFF"/>
                <w:sz w:val="19"/>
              </w:rPr>
            </w:r>
            <w:r>
              <w:rPr>
                <w:b/>
                <w:color w:val="FFFFFF"/>
                <w:sz w:val="19"/>
              </w:rPr>
              <w:t>Decision</w:t>
            </w:r>
          </w:p>
        </w:tc>
      </w:tr>
      <w:tr>
        <w:tc>
          <w:tcPr>
            <w:tcW w:type="dxa" w:w="1872"/>
          </w:tcPr>
          <w:p>
            <w:pPr>
              <w:spacing w:before="40" w:after="40"/>
            </w:pPr>
            <w:r>
              <w:rPr>
                <w:sz w:val="19"/>
              </w:rPr>
            </w:r>
            <w:r>
              <w:rPr>
                <w:sz w:val="19"/>
              </w:rPr>
              <w:t>V.1 Distress trajectory</w:t>
            </w:r>
          </w:p>
        </w:tc>
        <w:tc>
          <w:tcPr>
            <w:tcW w:type="dxa" w:w="1872"/>
          </w:tcPr>
          <w:p>
            <w:pPr>
              <w:spacing w:before="40" w:after="40"/>
            </w:pPr>
            <w:r>
              <w:rPr>
                <w:sz w:val="19"/>
              </w:rPr>
            </w:r>
            <w:r>
              <w:rPr>
                <w:sz w:val="19"/>
              </w:rPr>
              <w:t>Signature of 2013–2025 annual violation/site-visit path added to triage</w:t>
            </w:r>
          </w:p>
        </w:tc>
        <w:tc>
          <w:tcPr>
            <w:tcW w:type="dxa" w:w="1872"/>
          </w:tcPr>
          <w:p>
            <w:pPr>
              <w:spacing w:before="40" w:after="40"/>
            </w:pPr>
            <w:r>
              <w:rPr>
                <w:sz w:val="19"/>
              </w:rPr>
            </w:r>
            <w:r>
              <w:rPr>
                <w:sz w:val="19"/>
              </w:rPr>
              <w:t>A/B vs base</w:t>
            </w:r>
          </w:p>
        </w:tc>
        <w:tc>
          <w:tcPr>
            <w:tcW w:type="dxa" w:w="1872"/>
          </w:tcPr>
          <w:p>
            <w:pPr>
              <w:spacing w:before="40" w:after="40"/>
            </w:pPr>
            <w:r>
              <w:rPr>
                <w:sz w:val="19"/>
              </w:rPr>
            </w:r>
            <w:r>
              <w:rPr>
                <w:b/>
                <w:sz w:val="19"/>
              </w:rPr>
              <w:t>−0.008 ROC, no lift</w:t>
            </w:r>
          </w:p>
        </w:tc>
        <w:tc>
          <w:tcPr>
            <w:tcW w:type="dxa" w:w="1872"/>
          </w:tcPr>
          <w:p>
            <w:pPr>
              <w:spacing w:before="40" w:after="40"/>
            </w:pPr>
            <w:r>
              <w:rPr>
                <w:sz w:val="19"/>
              </w:rPr>
            </w:r>
            <w:r>
              <w:rPr>
                <w:sz w:val="19"/>
              </w:rPr>
              <w:t>Rejected</w:t>
            </w:r>
          </w:p>
        </w:tc>
      </w:tr>
      <w:tr>
        <w:tc>
          <w:tcPr>
            <w:tcW w:type="dxa" w:w="1872"/>
          </w:tcPr>
          <w:p>
            <w:pPr>
              <w:spacing w:before="40" w:after="40"/>
            </w:pPr>
            <w:r>
              <w:rPr>
                <w:sz w:val="19"/>
              </w:rPr>
            </w:r>
            <w:r>
              <w:rPr>
                <w:sz w:val="19"/>
              </w:rPr>
              <w:t>V.2 Service-line composition path</w:t>
            </w:r>
          </w:p>
        </w:tc>
        <w:tc>
          <w:tcPr>
            <w:tcW w:type="dxa" w:w="1872"/>
          </w:tcPr>
          <w:p>
            <w:pPr>
              <w:spacing w:before="40" w:after="40"/>
            </w:pPr>
            <w:r>
              <w:rPr>
                <w:sz w:val="19"/>
              </w:rPr>
            </w:r>
            <w:r>
              <w:rPr>
                <w:sz w:val="19"/>
              </w:rPr>
              <w:t>Signature of the 5-quarter lead/galv/unknown composition path</w:t>
            </w:r>
          </w:p>
        </w:tc>
        <w:tc>
          <w:tcPr>
            <w:tcW w:type="dxa" w:w="1872"/>
          </w:tcPr>
          <w:p>
            <w:pPr>
              <w:spacing w:before="40" w:after="40"/>
            </w:pPr>
            <w:r>
              <w:rPr>
                <w:sz w:val="19"/>
              </w:rPr>
            </w:r>
            <w:r>
              <w:rPr>
                <w:sz w:val="19"/>
              </w:rPr>
              <w:t>Not run — the label *is* the composition change over those same 5 quarters → circular / leaky / only 5 steps</w:t>
            </w:r>
          </w:p>
        </w:tc>
        <w:tc>
          <w:tcPr>
            <w:tcW w:type="dxa" w:w="1872"/>
          </w:tcPr>
          <w:p>
            <w:pPr>
              <w:spacing w:before="40" w:after="40"/>
            </w:pPr>
            <w:r>
              <w:rPr>
                <w:sz w:val="19"/>
              </w:rPr>
            </w:r>
            <w:r>
              <w:rPr>
                <w:sz w:val="19"/>
              </w:rPr>
              <w:t>Excluded by design (documented)</w:t>
            </w:r>
          </w:p>
        </w:tc>
        <w:tc>
          <w:tcPr>
            <w:tcW w:type="dxa" w:w="1872"/>
          </w:tcPr>
          <w:p>
            <w:pPr>
              <w:spacing w:before="40" w:after="40"/>
            </w:pPr>
          </w:p>
        </w:tc>
      </w:tr>
      <w:tr>
        <w:tc>
          <w:tcPr>
            <w:tcW w:type="dxa" w:w="1872"/>
          </w:tcPr>
          <w:p>
            <w:pPr>
              <w:spacing w:before="40" w:after="40"/>
            </w:pPr>
            <w:r>
              <w:rPr>
                <w:sz w:val="19"/>
              </w:rPr>
            </w:r>
            <w:r>
              <w:rPr>
                <w:sz w:val="19"/>
              </w:rPr>
              <w:t>V.3 Lead-sample (PB90) path</w:t>
            </w:r>
          </w:p>
        </w:tc>
        <w:tc>
          <w:tcPr>
            <w:tcW w:type="dxa" w:w="1872"/>
          </w:tcPr>
          <w:p>
            <w:pPr>
              <w:spacing w:before="40" w:after="40"/>
            </w:pPr>
            <w:r>
              <w:rPr>
                <w:sz w:val="19"/>
              </w:rPr>
            </w:r>
            <w:r>
              <w:rPr>
                <w:sz w:val="19"/>
              </w:rPr>
              <w:t>Depth-3 Stratonovich signature of each system's yearly PB90 lead-concentration path (2010–2024, year≤2024 so non-anticipative); 82% of systems have ≥3 sampled years</w:t>
            </w:r>
          </w:p>
        </w:tc>
        <w:tc>
          <w:tcPr>
            <w:tcW w:type="dxa" w:w="1872"/>
          </w:tcPr>
          <w:p>
            <w:pPr>
              <w:spacing w:before="40" w:after="40"/>
            </w:pPr>
            <w:r>
              <w:rPr>
                <w:sz w:val="19"/>
              </w:rPr>
            </w:r>
            <w:r>
              <w:rPr>
                <w:sz w:val="19"/>
              </w:rPr>
              <w:t>A/B vs base, 25 paired splits (</w:t>
            </w:r>
            <w:r>
              <w:rPr>
                <w:rFonts w:ascii="Consolas" w:hAnsi="Consolas"/>
                <w:sz w:val="20"/>
              </w:rPr>
              <w:t>leadpath_signature_ab.py</w:t>
            </w:r>
            <w:r>
              <w:rPr>
                <w:sz w:val="19"/>
              </w:rPr>
              <w:t>)</w:t>
            </w:r>
          </w:p>
        </w:tc>
        <w:tc>
          <w:tcPr>
            <w:tcW w:type="dxa" w:w="1872"/>
          </w:tcPr>
          <w:p>
            <w:pPr>
              <w:spacing w:before="40" w:after="40"/>
            </w:pPr>
            <w:r>
              <w:rPr>
                <w:sz w:val="19"/>
              </w:rPr>
            </w:r>
            <w:r>
              <w:rPr>
                <w:sz w:val="19"/>
              </w:rPr>
              <w:t xml:space="preserve">base ROC </w:t>
            </w:r>
            <w:r>
              <w:rPr>
                <w:b/>
                <w:sz w:val="19"/>
              </w:rPr>
              <w:t>0.700±0.012</w:t>
            </w:r>
            <w:r>
              <w:rPr>
                <w:sz w:val="19"/>
              </w:rPr>
              <w:t xml:space="preserve"> → +PB90-sig </w:t>
            </w:r>
            <w:r>
              <w:rPr>
                <w:b/>
                <w:sz w:val="19"/>
              </w:rPr>
              <w:t>0.685±0.010</w:t>
            </w:r>
            <w:r>
              <w:rPr>
                <w:sz w:val="19"/>
              </w:rPr>
              <w:t xml:space="preserve">; paired Δ </w:t>
            </w:r>
            <w:r>
              <w:rPr>
                <w:b/>
                <w:sz w:val="19"/>
              </w:rPr>
              <w:t>−0.0149±0.0075, 0% of 25 splits help</w:t>
            </w:r>
          </w:p>
        </w:tc>
        <w:tc>
          <w:tcPr>
            <w:tcW w:type="dxa" w:w="1872"/>
          </w:tcPr>
          <w:p>
            <w:pPr>
              <w:spacing w:before="40" w:after="40"/>
            </w:pPr>
            <w:r>
              <w:rPr>
                <w:sz w:val="19"/>
              </w:rPr>
            </w:r>
            <w:r>
              <w:rPr>
                <w:b/>
                <w:sz w:val="19"/>
              </w:rPr>
              <w:t>Rejected</w:t>
            </w:r>
          </w:p>
        </w:tc>
      </w:tr>
    </w:tbl>
    <w:p/>
    <w:p>
      <w:r>
        <w:rPr>
          <w:b/>
        </w:rPr>
        <w:t>Conclusion:</w:t>
      </w:r>
      <w:r>
        <w:t xml:space="preserve"> signatures are central to and help the Track-1 risk model, but every plausible signature application to the Track-2 *lead-material* target was tested and rejected on evidence — because the lead-pipe question is structural (pipe installation era, plumbing codes), not trajectory-driven. This is a tested fact, not an assumption.</w:t>
      </w:r>
    </w:p>
    <w:p>
      <w:pPr>
        <w:pBdr>
          <w:bottom w:val="single" w:sz="6" w:color="1B3A5B"/>
        </w:pBdr>
      </w:pPr>
    </w:p>
    <w:p>
      <w:pPr>
        <w:pStyle w:val="Heading2"/>
      </w:pPr>
      <w:r>
        <w:t>PART VI — Other methods tested and rejected/de-prioritized</w:t>
      </w:r>
    </w:p>
    <w:p/>
    <w:p>
      <w:pPr>
        <w:jc w:val="center"/>
      </w:pPr>
      <w:r>
        <w:drawing>
          <wp:inline xmlns:a="http://schemas.openxmlformats.org/drawingml/2006/main" xmlns:pic="http://schemas.openxmlformats.org/drawingml/2006/picture">
            <wp:extent cx="5852160" cy="2311832"/>
            <wp:docPr id="10" name="Picture 10"/>
            <wp:cNvGraphicFramePr>
              <a:graphicFrameLocks noChangeAspect="1"/>
            </wp:cNvGraphicFramePr>
            <a:graphic>
              <a:graphicData uri="http://schemas.openxmlformats.org/drawingml/2006/picture">
                <pic:pic>
                  <pic:nvPicPr>
                    <pic:cNvPr id="0" name="polygon_cascade_results.png"/>
                    <pic:cNvPicPr/>
                  </pic:nvPicPr>
                  <pic:blipFill>
                    <a:blip r:embed="rId18"/>
                    <a:stretch>
                      <a:fillRect/>
                    </a:stretch>
                  </pic:blipFill>
                  <pic:spPr>
                    <a:xfrm>
                      <a:off x="0" y="0"/>
                      <a:ext cx="5852160" cy="2311832"/>
                    </a:xfrm>
                    <a:prstGeom prst="rect"/>
                  </pic:spPr>
                </pic:pic>
              </a:graphicData>
            </a:graphic>
          </wp:inline>
        </w:drawing>
      </w:r>
    </w:p>
    <w:p>
      <w:pPr>
        <w:jc w:val="center"/>
      </w:pPr>
      <w:r>
        <w:rPr>
          <w:i/>
          <w:color w:val="5B6B7B"/>
          <w:sz w:val="18"/>
        </w:rPr>
        <w:t>Figure. Inter-utility polygon cascade (rejected).</w:t>
      </w:r>
    </w:p>
    <w:p/>
    <w:p>
      <w:pPr>
        <w:jc w:val="center"/>
      </w:pPr>
      <w:r>
        <w:drawing>
          <wp:inline xmlns:a="http://schemas.openxmlformats.org/drawingml/2006/main" xmlns:pic="http://schemas.openxmlformats.org/drawingml/2006/picture">
            <wp:extent cx="5852160" cy="2309710"/>
            <wp:docPr id="11" name="Picture 11"/>
            <wp:cNvGraphicFramePr>
              <a:graphicFrameLocks noChangeAspect="1"/>
            </wp:cNvGraphicFramePr>
            <a:graphic>
              <a:graphicData uri="http://schemas.openxmlformats.org/drawingml/2006/picture">
                <pic:pic>
                  <pic:nvPicPr>
                    <pic:cNvPr id="0" name="lsl_optimizer_results.png"/>
                    <pic:cNvPicPr/>
                  </pic:nvPicPr>
                  <pic:blipFill>
                    <a:blip r:embed="rId19"/>
                    <a:stretch>
                      <a:fillRect/>
                    </a:stretch>
                  </pic:blipFill>
                  <pic:spPr>
                    <a:xfrm>
                      <a:off x="0" y="0"/>
                      <a:ext cx="5852160" cy="2309710"/>
                    </a:xfrm>
                    <a:prstGeom prst="rect"/>
                  </pic:spPr>
                </pic:pic>
              </a:graphicData>
            </a:graphic>
          </wp:inline>
        </w:drawing>
      </w:r>
    </w:p>
    <w:p>
      <w:pPr>
        <w:jc w:val="center"/>
      </w:pPr>
      <w:r>
        <w:rPr>
          <w:i/>
          <w:color w:val="5B6B7B"/>
          <w:sz w:val="18"/>
        </w:rPr>
        <w:t>Figure. Replacement cost-optimization (de-prioritized).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B3A5B"/>
          </w:tcPr>
          <w:p>
            <w:pPr>
              <w:spacing w:before="40" w:after="40"/>
            </w:pPr>
            <w:r>
              <w:rPr>
                <w:b/>
                <w:color w:val="FFFFFF"/>
                <w:sz w:val="19"/>
              </w:rPr>
            </w:r>
            <w:r>
              <w:rPr>
                <w:b/>
                <w:color w:val="FFFFFF"/>
                <w:sz w:val="19"/>
              </w:rPr>
              <w:t>Step</w:t>
            </w:r>
          </w:p>
        </w:tc>
        <w:tc>
          <w:tcPr>
            <w:tcW w:type="dxa" w:w="2340"/>
            <w:shd w:val="clear" w:fill="1B3A5B"/>
          </w:tcPr>
          <w:p>
            <w:pPr>
              <w:spacing w:before="40" w:after="40"/>
            </w:pPr>
            <w:r>
              <w:rPr>
                <w:b/>
                <w:color w:val="FFFFFF"/>
                <w:sz w:val="19"/>
              </w:rPr>
            </w:r>
            <w:r>
              <w:rPr>
                <w:b/>
                <w:color w:val="FFFFFF"/>
                <w:sz w:val="19"/>
              </w:rPr>
              <w:t>Method</w:t>
            </w:r>
          </w:p>
        </w:tc>
        <w:tc>
          <w:tcPr>
            <w:tcW w:type="dxa" w:w="2340"/>
            <w:shd w:val="clear" w:fill="1B3A5B"/>
          </w:tcPr>
          <w:p>
            <w:pPr>
              <w:spacing w:before="40" w:after="40"/>
            </w:pPr>
            <w:r>
              <w:rPr>
                <w:b/>
                <w:color w:val="FFFFFF"/>
                <w:sz w:val="19"/>
              </w:rPr>
            </w:r>
            <w:r>
              <w:rPr>
                <w:b/>
                <w:color w:val="FFFFFF"/>
                <w:sz w:val="19"/>
              </w:rPr>
              <w:t>Result</w:t>
            </w:r>
          </w:p>
        </w:tc>
        <w:tc>
          <w:tcPr>
            <w:tcW w:type="dxa" w:w="2340"/>
            <w:shd w:val="clear" w:fill="1B3A5B"/>
          </w:tcPr>
          <w:p>
            <w:pPr>
              <w:spacing w:before="40" w:after="40"/>
            </w:pPr>
            <w:r>
              <w:rPr>
                <w:b/>
                <w:color w:val="FFFFFF"/>
                <w:sz w:val="19"/>
              </w:rPr>
            </w:r>
            <w:r>
              <w:rPr>
                <w:b/>
                <w:color w:val="FFFFFF"/>
                <w:sz w:val="19"/>
              </w:rPr>
              <w:t>Decision</w:t>
            </w:r>
          </w:p>
        </w:tc>
      </w:tr>
      <w:tr>
        <w:tc>
          <w:tcPr>
            <w:tcW w:type="dxa" w:w="2340"/>
          </w:tcPr>
          <w:p>
            <w:pPr>
              <w:spacing w:before="40" w:after="40"/>
            </w:pPr>
            <w:r>
              <w:rPr>
                <w:sz w:val="19"/>
              </w:rPr>
            </w:r>
            <w:r>
              <w:rPr>
                <w:sz w:val="19"/>
              </w:rPr>
              <w:t>VI.1 Inter-utility polygon cascade</w:t>
            </w:r>
          </w:p>
        </w:tc>
        <w:tc>
          <w:tcPr>
            <w:tcW w:type="dxa" w:w="2340"/>
          </w:tcPr>
          <w:p>
            <w:pPr>
              <w:spacing w:before="40" w:after="40"/>
            </w:pPr>
            <w:r>
              <w:rPr>
                <w:sz w:val="19"/>
              </w:rPr>
            </w:r>
            <w:r>
              <w:rPr>
                <w:sz w:val="19"/>
              </w:rPr>
              <w:t>True service-area-polygon adjacency + multi-hop Katz (3,591 GIS-covered systems, 2,289 edges)</w:t>
            </w:r>
          </w:p>
        </w:tc>
        <w:tc>
          <w:tcPr>
            <w:tcW w:type="dxa" w:w="2340"/>
          </w:tcPr>
          <w:p>
            <w:pPr>
              <w:spacing w:before="40" w:after="40"/>
            </w:pPr>
            <w:r>
              <w:rPr>
                <w:sz w:val="19"/>
              </w:rPr>
            </w:r>
            <w:r>
              <w:rPr>
                <w:sz w:val="19"/>
              </w:rPr>
              <w:t xml:space="preserve">only 52% have any neighbor; +1-hop +0.006 (noise); Katz </w:t>
            </w:r>
            <w:r>
              <w:rPr>
                <w:b/>
                <w:sz w:val="19"/>
              </w:rPr>
              <w:t>hurt</w:t>
            </w:r>
            <w:r>
              <w:rPr>
                <w:sz w:val="19"/>
              </w:rPr>
              <w:t xml:space="preserve"> (0.827→0.782)</w:t>
            </w:r>
          </w:p>
        </w:tc>
        <w:tc>
          <w:tcPr>
            <w:tcW w:type="dxa" w:w="2340"/>
          </w:tcPr>
          <w:p>
            <w:pPr>
              <w:spacing w:before="40" w:after="40"/>
            </w:pPr>
            <w:r>
              <w:rPr>
                <w:sz w:val="19"/>
              </w:rPr>
            </w:r>
            <w:r>
              <w:rPr>
                <w:sz w:val="19"/>
              </w:rPr>
              <w:t>Rejected</w:t>
            </w:r>
          </w:p>
        </w:tc>
      </w:tr>
      <w:tr>
        <w:tc>
          <w:tcPr>
            <w:tcW w:type="dxa" w:w="2340"/>
          </w:tcPr>
          <w:p>
            <w:pPr>
              <w:spacing w:before="40" w:after="40"/>
            </w:pPr>
            <w:r>
              <w:rPr>
                <w:sz w:val="19"/>
              </w:rPr>
            </w:r>
            <w:r>
              <w:rPr>
                <w:sz w:val="19"/>
              </w:rPr>
              <w:t>VI.2 Replacement cost-optimization</w:t>
            </w:r>
          </w:p>
        </w:tc>
        <w:tc>
          <w:tcPr>
            <w:tcW w:type="dxa" w:w="2340"/>
          </w:tcPr>
          <w:p>
            <w:pPr>
              <w:spacing w:before="40" w:after="40"/>
            </w:pPr>
            <w:r>
              <w:rPr>
                <w:sz w:val="19"/>
              </w:rPr>
            </w:r>
            <w:r>
              <w:rPr>
                <w:sz w:val="19"/>
              </w:rPr>
              <w:t>Optimize which lead lines to replace first for exposure/$</w:t>
            </w:r>
          </w:p>
        </w:tc>
        <w:tc>
          <w:tcPr>
            <w:tcW w:type="dxa" w:w="2340"/>
          </w:tcPr>
          <w:p>
            <w:pPr>
              <w:spacing w:before="40" w:after="40"/>
            </w:pPr>
            <w:r>
              <w:rPr>
                <w:sz w:val="19"/>
              </w:rPr>
            </w:r>
            <w:r>
              <w:rPr>
                <w:sz w:val="19"/>
              </w:rPr>
              <w:t xml:space="preserve">First version 62.7% saving = </w:t>
            </w:r>
            <w:r>
              <w:rPr>
                <w:b/>
                <w:sz w:val="19"/>
              </w:rPr>
              <w:t>artifact</w:t>
            </w:r>
            <w:r>
              <w:rPr>
                <w:sz w:val="19"/>
              </w:rPr>
              <w:t xml:space="preserve"> of population÷lead-line proxy; corrected exposure model → real edge only </w:t>
            </w:r>
            <w:r>
              <w:rPr>
                <w:b/>
                <w:sz w:val="19"/>
              </w:rPr>
              <w:t>4.2%</w:t>
            </w:r>
            <w:r>
              <w:rPr>
                <w:sz w:val="19"/>
              </w:rPr>
              <w:t xml:space="preserve"> vs naive</w:t>
            </w:r>
          </w:p>
        </w:tc>
        <w:tc>
          <w:tcPr>
            <w:tcW w:type="dxa" w:w="2340"/>
          </w:tcPr>
          <w:p>
            <w:pPr>
              <w:spacing w:before="40" w:after="40"/>
            </w:pPr>
            <w:r>
              <w:rPr>
                <w:sz w:val="19"/>
              </w:rPr>
            </w:r>
            <w:r>
              <w:rPr>
                <w:sz w:val="19"/>
              </w:rPr>
              <w:t>De-prioritized; artifact removed</w:t>
            </w:r>
          </w:p>
        </w:tc>
      </w:tr>
    </w:tbl>
    <w:p/>
    <w:p>
      <w:pPr>
        <w:pBdr>
          <w:bottom w:val="single" w:sz="6" w:color="1B3A5B"/>
        </w:pBdr>
      </w:pPr>
    </w:p>
    <w:p>
      <w:pPr>
        <w:pStyle w:val="Heading2"/>
      </w:pPr>
      <w:r>
        <w:t>PART VII — Honest limitations (state these in the talk)</w:t>
      </w:r>
    </w:p>
    <w:p>
      <w:pPr>
        <w:pStyle w:val="ListNumber"/>
      </w:pPr>
      <w:r>
        <w:rPr>
          <w:b/>
        </w:rPr>
        <w:t>State-bound:</w:t>
      </w:r>
      <w:r>
        <w:t xml:space="preserve"> strong within-distribution (0.71), near-random cold-start on an unseen state (0.57).</w:t>
      </w:r>
    </w:p>
    <w:p>
      <w:pPr>
        <w:pStyle w:val="ListNumber"/>
      </w:pPr>
      <w:r>
        <w:rPr>
          <w:b/>
        </w:rPr>
        <w:t>Selection bias:</w:t>
      </w:r>
      <w:r>
        <w:t xml:space="preserve"> ground truth = systems that resolved unknowns *early*; may differ from laggards.</w:t>
      </w:r>
    </w:p>
    <w:p>
      <w:pPr>
        <w:pStyle w:val="ListNumber"/>
      </w:pPr>
      <w:r>
        <w:rPr>
          <w:b/>
        </w:rPr>
        <w:t>Modest absolute accuracy:</w:t>
      </w:r>
      <w:r>
        <w:t xml:space="preserve"> value is triage *concentration* (top-decile lift), not precise per-system prediction.</w:t>
      </w:r>
    </w:p>
    <w:p>
      <w:pPr>
        <w:pStyle w:val="ListNumber"/>
      </w:pPr>
      <w:r>
        <w:rPr>
          <w:b/>
        </w:rPr>
        <w:t>Cost figures are explicit assumptions</w:t>
      </w:r>
      <w:r>
        <w:t xml:space="preserve"> ($200 investigate / $4,700 replace), not measured data.</w:t>
      </w:r>
    </w:p>
    <w:p>
      <w:pPr>
        <w:pStyle w:val="ListNumber"/>
      </w:pPr>
      <w:r>
        <w:rPr>
          <w:b/>
        </w:rPr>
        <w:t>Signatures help the risk model, not the triage target</w:t>
      </w:r>
      <w:r>
        <w:t xml:space="preserve"> — exhaustively tested (Part V).</w:t>
      </w:r>
    </w:p>
    <w:p>
      <w:pPr>
        <w:pBdr>
          <w:bottom w:val="single" w:sz="6" w:color="1B3A5B"/>
        </w:pBdr>
      </w:pPr>
    </w:p>
    <w:p>
      <w:pPr>
        <w:pStyle w:val="Heading2"/>
      </w:pPr>
      <w:r>
        <w:t>PART VIII — Reproducibility</w:t>
      </w:r>
    </w:p>
    <w:p>
      <w:r>
        <w:rPr>
          <w:rFonts w:ascii="Consolas" w:hAnsi="Consolas"/>
          <w:sz w:val="20"/>
        </w:rPr>
        <w:t>python 05_Modeling/triage_production.py</w:t>
      </w:r>
      <w:r>
        <w:t xml:space="preserve"> regenerates every Track-2 number; </w:t>
      </w:r>
      <w:r>
        <w:rPr>
          <w:rFonts w:ascii="Consolas" w:hAnsi="Consolas"/>
          <w:sz w:val="20"/>
        </w:rPr>
        <w:t>signature_pipeline.py</w:t>
      </w:r>
      <w:r>
        <w:t xml:space="preserve"> / </w:t>
      </w:r>
      <w:r>
        <w:rPr>
          <w:rFonts w:ascii="Consolas" w:hAnsi="Consolas"/>
          <w:sz w:val="20"/>
        </w:rPr>
        <w:t>spatial_cascade.py</w:t>
      </w:r>
      <w:r>
        <w:t xml:space="preserve"> regenerate Track-1; the </w:t>
      </w:r>
      <w:r>
        <w:rPr>
          <w:rFonts w:ascii="Consolas" w:hAnsi="Consolas"/>
          <w:sz w:val="20"/>
        </w:rPr>
        <w:t>sig_depth_ab.py</w:t>
      </w:r>
      <w:r>
        <w:t xml:space="preserve">, </w:t>
      </w:r>
      <w:r>
        <w:rPr>
          <w:rFonts w:ascii="Consolas" w:hAnsi="Consolas"/>
          <w:sz w:val="20"/>
        </w:rPr>
        <w:t>sig_calculus_ab.py</w:t>
      </w:r>
      <w:r>
        <w:t xml:space="preserve">, </w:t>
      </w:r>
      <w:r>
        <w:rPr>
          <w:rFonts w:ascii="Consolas" w:hAnsi="Consolas"/>
          <w:sz w:val="20"/>
        </w:rPr>
        <w:t>process_diagnostics.py</w:t>
      </w:r>
      <w:r>
        <w:t xml:space="preserve">, </w:t>
      </w:r>
      <w:r>
        <w:rPr>
          <w:rFonts w:ascii="Consolas" w:hAnsi="Consolas"/>
          <w:sz w:val="20"/>
        </w:rPr>
        <w:t>leadpath_signature_ab.py</w:t>
      </w:r>
      <w:r>
        <w:t xml:space="preserve"> scripts regenerate every experiment. Inputs are SHA-256-pinned in the manifest; seed 42 throughout.</w:t>
      </w:r>
    </w:p>
    <w:p>
      <w:pPr>
        <w:pStyle w:val="Heading2"/>
      </w:pPr>
      <w:r>
        <w:t>One-paragraph summary for the talk</w:t>
      </w:r>
    </w:p>
    <w:p>
      <w:pPr>
        <w:ind w:left="432"/>
      </w:pPr>
      <w:r>
        <w:rPr>
          <w:i/>
        </w:rPr>
        <w:t>From how 1,935 water systems actually resolved their unknown service lines, we learn a calibrated model that ranks which systems' unknowns are lead — ROC-AUC 0.71 in repeated cross-validation, well-calibrated (ECE 0.024), with the top 10% capturing about a third of all lead-rich systems. We stress-tested it on unseen states (0.57) and scope it honestly to systems and programs using their own historical data. We tested signatures on this target three ways and the data rejected all three; signatures remain the engine of our separate risk model. Every figure reproduces from one command with hashed inputs.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