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Experiment Log #03 — Production-grade triage validation surfaces an honest state-generalization limit; venture scope tightened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4680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Team ID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*[your Team ID]*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Founder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Moise Tchivwila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Venture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AquaCascade AI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Submitted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2026-05-17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Entry #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Type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Production model + multi-scheme validation → scope decision</w:t>
            </w:r>
          </w:p>
        </w:tc>
      </w:tr>
    </w:tbl>
    <w:p/>
    <w:p>
      <w:pPr>
        <w:pStyle w:val="Heading2"/>
      </w:pPr>
      <w:r>
        <w:t>Assumption tested</w:t>
      </w:r>
    </w:p>
    <w:p>
      <w:r>
        <w:t>That the unknown-line triage model, once calibrated and built on real reclassification ground truth, would (a) produce useful prioritization within distribution and (b) generalize to states it has not seen in training — supporting a *nationwide* product framing.</w:t>
      </w:r>
    </w:p>
    <w:p>
      <w:pPr>
        <w:pStyle w:val="Heading2"/>
      </w:pPr>
      <w:r>
        <w:t>Method (what we did)</w:t>
      </w:r>
    </w:p>
    <w:p>
      <w:pPr>
        <w:pStyle w:val="ListNumber"/>
      </w:pPr>
      <w:r>
        <w:rPr>
          <w:b/>
        </w:rPr>
        <w:t>Built real ground truth (not synthetic).</w:t>
      </w:r>
      <w:r>
        <w:t xml:space="preserve"> Identified 1,935 community water systems that *actually resolved* unknown service lines between 2025Q1 and 2026Q1 SDWIS snapshots. Computed each system's </w:t>
      </w:r>
      <w:r>
        <w:rPr>
          <w:rFonts w:ascii="Consolas" w:hAnsi="Consolas"/>
          <w:sz w:val="20"/>
        </w:rPr>
        <w:t>lead_yield = Δ(Lead+GRR) / unknowns resolved</w:t>
      </w:r>
      <w:r>
        <w:t xml:space="preserve">; labelled </w:t>
      </w:r>
      <w:r>
        <w:rPr>
          <w:rFonts w:ascii="Consolas" w:hAnsi="Consolas"/>
          <w:sz w:val="20"/>
        </w:rPr>
        <w:t>y = 1</w:t>
      </w:r>
      <w:r>
        <w:t xml:space="preserve"> if </w:t>
      </w:r>
      <w:r>
        <w:rPr>
          <w:rFonts w:ascii="Consolas" w:hAnsi="Consolas"/>
          <w:sz w:val="20"/>
        </w:rPr>
        <w:t>lead_yield ≥ 10 %</w:t>
      </w:r>
      <w:r>
        <w:t>. Positives = 178 (9.2 %). Every label is observed behavior, not assumption.</w:t>
      </w:r>
    </w:p>
    <w:p>
      <w:pPr>
        <w:pStyle w:val="ListNumber"/>
      </w:pPr>
      <w:r>
        <w:rPr>
          <w:b/>
        </w:rPr>
        <w:t>Engineered evidence-supported features only</w:t>
      </w:r>
      <w:r>
        <w:t xml:space="preserve"> (19 features after one-hot): inventory size, prior lead fraction, </w:t>
      </w:r>
      <w:r>
        <w:rPr>
          <w:b/>
        </w:rPr>
        <w:t>measured PB90 lead-sample severity</w:t>
      </w:r>
      <w:r>
        <w:t xml:space="preserve"> from real LCR samples, </w:t>
      </w:r>
      <w:r>
        <w:rPr>
          <w:b/>
        </w:rPr>
        <w:t>wholesale buyer→seller network</w:t>
      </w:r>
      <w:r>
        <w:t xml:space="preserve"> Katz risk, historical site visits &amp; significant deficiencies, service connections, source water, owner type. Ideas already rejected on evidence (signature trajectory layer, inter-utility cascade, log-signature) were *deliberately excluded* — methodology consistency with Logs #01–#02.</w:t>
      </w:r>
    </w:p>
    <w:p>
      <w:pPr>
        <w:pStyle w:val="ListNumber"/>
      </w:pPr>
      <w:r>
        <w:rPr>
          <w:b/>
        </w:rPr>
        <w:t>Production model.</w:t>
      </w:r>
      <w:r>
        <w:t xml:space="preserve"> HistGradientBoostingClassifier wrapped in </w:t>
      </w:r>
      <w:r>
        <w:rPr>
          <w:b/>
        </w:rPr>
        <w:t>isotonic probability calibration</w:t>
      </w:r>
      <w:r>
        <w:t xml:space="preserve"> (3-fold internal calibration → calibrated probabilities a utility can budget against).</w:t>
      </w:r>
    </w:p>
    <w:p>
      <w:pPr>
        <w:pStyle w:val="ListNumber"/>
      </w:pPr>
      <w:r>
        <w:rPr>
          <w:b/>
        </w:rPr>
        <w:t>Validated three independent ways</w:t>
      </w:r>
      <w:r>
        <w:t>, all leakage-controlled:</w:t>
      </w:r>
    </w:p>
    <w:p>
      <w:pPr>
        <w:pStyle w:val="ListBullet2"/>
      </w:pPr>
      <w:r>
        <w:rPr>
          <w:b/>
        </w:rPr>
        <w:t>(A) Repeated stratified 5 × 5 CV</w:t>
      </w:r>
      <w:r>
        <w:t xml:space="preserve"> — within-distribution.</w:t>
      </w:r>
    </w:p>
    <w:p>
      <w:pPr>
        <w:pStyle w:val="ListBullet2"/>
      </w:pPr>
      <w:r>
        <w:rPr>
          <w:b/>
        </w:rPr>
        <w:t>(B) Group-by-state CV</w:t>
      </w:r>
      <w:r>
        <w:t xml:space="preserve"> — train on some states, test on </w:t>
      </w:r>
      <w:r>
        <w:rPr>
          <w:b/>
        </w:rPr>
        <w:t>entirely unseen</w:t>
      </w:r>
      <w:r>
        <w:t xml:space="preserve"> states (the cold-start nationwide generalization stress test).</w:t>
      </w:r>
    </w:p>
    <w:p>
      <w:pPr>
        <w:pStyle w:val="ListBullet2"/>
      </w:pPr>
      <w:r>
        <w:rPr>
          <w:b/>
        </w:rPr>
        <w:t>(C) Leakage-safe county-rate ablation</w:t>
      </w:r>
      <w:r>
        <w:t xml:space="preserve"> — does the county term that helps the Track-1 risk model help the triage target? Tested per fold using only training-fold labels.</w:t>
      </w:r>
    </w:p>
    <w:p>
      <w:pPr>
        <w:pStyle w:val="ListNumber"/>
      </w:pPr>
      <w:r>
        <w:rPr>
          <w:b/>
        </w:rPr>
        <w:t>Emitted a reproducibility manifest</w:t>
      </w:r>
      <w:r>
        <w:t>: SHA-256 + row counts of all 7 input files, library versions, fixed random seed (</w:t>
      </w:r>
      <w:r>
        <w:rPr>
          <w:rFonts w:ascii="Consolas" w:hAnsi="Consolas"/>
          <w:sz w:val="20"/>
        </w:rPr>
        <w:t>triage_production_manifest.json</w:t>
      </w:r>
      <w:r>
        <w:t>). Any third party can re-run and verify bit-for-bit.</w:t>
      </w:r>
    </w:p>
    <w:p>
      <w:pPr>
        <w:pStyle w:val="Heading2"/>
      </w:pPr>
      <w:r>
        <w:t>Evidence gathered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Validation</w:t>
            </w:r>
          </w:p>
        </w:tc>
        <w:tc>
          <w:tcPr>
            <w:tcW w:type="dxa" w:w="1872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ROC-AUC</w:t>
            </w:r>
          </w:p>
        </w:tc>
        <w:tc>
          <w:tcPr>
            <w:tcW w:type="dxa" w:w="1872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PR-AUC</w:t>
            </w:r>
          </w:p>
        </w:tc>
        <w:tc>
          <w:tcPr>
            <w:tcW w:type="dxa" w:w="1872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Calibration</w:t>
            </w:r>
          </w:p>
        </w:tc>
        <w:tc>
          <w:tcPr>
            <w:tcW w:type="dxa" w:w="1872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Operational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(A) Repeated stratified CV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0.71</w:t>
            </w:r>
            <w:r>
              <w:rPr>
                <w:sz w:val="19"/>
              </w:rPr>
              <w:t xml:space="preserve"> (per-repeat 0.710 ± 0.007; 95 % CI </w:t>
            </w:r>
            <w:r>
              <w:rPr>
                <w:b/>
                <w:sz w:val="19"/>
              </w:rPr>
              <w:t>0.705 – 0.716</w:t>
            </w:r>
            <w:r>
              <w:rPr>
                <w:sz w:val="19"/>
              </w:rPr>
              <w:t>)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0.22</w:t>
            </w:r>
            <w:r>
              <w:rPr>
                <w:sz w:val="19"/>
              </w:rPr>
              <w:t xml:space="preserve"> (baseline 0.092 → ≈ 2.4 ×)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Brier 0.079, ECE 0.024</w:t>
            </w:r>
            <w:r>
              <w:rPr>
                <w:sz w:val="19"/>
              </w:rPr>
              <w:t xml:space="preserve"> (well-calibrated)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Top 10 % of systems captures ≈ 33 % of lead-rich systems</w:t>
            </w:r>
            <w:r>
              <w:rPr>
                <w:sz w:val="19"/>
              </w:rPr>
              <w:t>; precision@10 % = 0.31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(B) Group-by-state CV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0.57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0.12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Top-decile 16 %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(C) County-rate ablation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base 0.710 → </w:t>
            </w:r>
            <w:r>
              <w:rPr>
                <w:b/>
                <w:sz w:val="19"/>
              </w:rPr>
              <w:t>0.691</w:t>
            </w:r>
            <w:r>
              <w:rPr>
                <w:sz w:val="19"/>
              </w:rPr>
              <w:t xml:space="preserve"> ( Δ </w:t>
            </w:r>
            <w:r>
              <w:rPr>
                <w:b/>
                <w:sz w:val="19"/>
              </w:rPr>
              <w:t>−0.019 ± 0.009</w:t>
            </w:r>
            <w:r>
              <w:rPr>
                <w:sz w:val="19"/>
              </w:rPr>
              <w:t>, helps 0 % of repeats )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County feature </w:t>
            </w:r>
            <w:r>
              <w:rPr>
                <w:b/>
                <w:sz w:val="19"/>
              </w:rPr>
              <w:t>rejected</w:t>
            </w:r>
            <w:r>
              <w:rPr>
                <w:sz w:val="19"/>
              </w:rPr>
              <w:t xml:space="preserve"> for this target</w:t>
            </w:r>
          </w:p>
        </w:tc>
      </w:tr>
    </w:tbl>
    <w:p/>
    <w:p>
      <w:r>
        <w:t xml:space="preserve">Artifacts: </w:t>
      </w:r>
      <w:r>
        <w:rPr>
          <w:rFonts w:ascii="Consolas" w:hAnsi="Consolas"/>
          <w:sz w:val="20"/>
        </w:rPr>
        <w:t>05_Modeling/triage_production.py</w:t>
      </w:r>
      <w:r>
        <w:t xml:space="preserve">, </w:t>
      </w:r>
      <w:r>
        <w:rPr>
          <w:rFonts w:ascii="Consolas" w:hAnsi="Consolas"/>
          <w:sz w:val="20"/>
        </w:rPr>
        <w:t>triage_production_results.json</w:t>
      </w:r>
      <w:r>
        <w:t xml:space="preserve">, </w:t>
      </w:r>
      <w:r>
        <w:rPr>
          <w:rFonts w:ascii="Consolas" w:hAnsi="Consolas"/>
          <w:sz w:val="20"/>
        </w:rPr>
        <w:t>triage_production_manifest.json</w:t>
      </w:r>
      <w:r>
        <w:t xml:space="preserve">, </w:t>
      </w:r>
      <w:r>
        <w:rPr>
          <w:rFonts w:ascii="Consolas" w:hAnsi="Consolas"/>
          <w:sz w:val="20"/>
        </w:rPr>
        <w:t>03_Outputs/Charts/triage_production.png</w:t>
      </w:r>
      <w:r>
        <w:t xml:space="preserve"> (3-panel calibration / PR / lift).</w:t>
      </w:r>
    </w:p>
    <w:p>
      <w:pPr>
        <w:pStyle w:val="Heading2"/>
      </w:pPr>
      <w:r>
        <w:t>Learning</w:t>
      </w:r>
    </w:p>
    <w:p>
      <w:pPr>
        <w:pStyle w:val="ListBullet"/>
      </w:pPr>
      <w:r>
        <w:rPr>
          <w:b/>
        </w:rPr>
        <w:t>Within-distribution, the model is real and useful</w:t>
      </w:r>
      <w:r>
        <w:t>: well-calibrated, with a top-decile lift that materially reorders investigation work for a state program or utility.</w:t>
      </w:r>
    </w:p>
    <w:p>
      <w:pPr>
        <w:pStyle w:val="ListBullet"/>
      </w:pPr>
      <w:r>
        <w:rPr>
          <w:b/>
        </w:rPr>
        <w:t>The honest limitation we are not hiding</w:t>
      </w:r>
      <w:r>
        <w:t xml:space="preserve">: under group-by-state CV the model </w:t>
      </w:r>
      <w:r>
        <w:rPr>
          <w:b/>
        </w:rPr>
        <w:t>collapses to ROC = 0.57</w:t>
      </w:r>
      <w:r>
        <w:t xml:space="preserve"> — barely above chance. It is *learning state- and program-specific reclassification patterns*, not a universal physical law of where lead hides. It does </w:t>
      </w:r>
      <w:r>
        <w:rPr>
          <w:b/>
        </w:rPr>
        <w:t>not</w:t>
      </w:r>
      <w:r>
        <w:t xml:space="preserve"> generalize cold to an unseen state.</w:t>
      </w:r>
    </w:p>
    <w:p>
      <w:pPr>
        <w:pStyle w:val="ListBullet"/>
      </w:pPr>
      <w:r>
        <w:t xml:space="preserve">The county spatial term that helped the Track-1 violation model does </w:t>
      </w:r>
      <w:r>
        <w:rPr>
          <w:b/>
        </w:rPr>
        <w:t>not</w:t>
      </w:r>
      <w:r>
        <w:t xml:space="preserve"> transfer to the lead-material target — confirmed leakage-safely. We do not invent value where the data shows none.</w:t>
      </w:r>
    </w:p>
    <w:p>
      <w:pPr>
        <w:pStyle w:val="Heading2"/>
      </w:pPr>
      <w:r>
        <w:t>Decision</w:t>
      </w:r>
    </w:p>
    <w:p>
      <w:pPr>
        <w:pStyle w:val="ListNumber"/>
      </w:pPr>
      <w:r>
        <w:rPr>
          <w:b/>
        </w:rPr>
        <w:t>Scope the product honestly</w:t>
      </w:r>
      <w:r>
        <w:t>: AquaCascade triage is "</w:t>
      </w:r>
      <w:r>
        <w:rPr>
          <w:b/>
        </w:rPr>
        <w:t>improves triage for utilities and state programs USING THEIR OWN HISTORICAL SDWIS DATA</w:t>
      </w:r>
      <w:r>
        <w:t>" — not a turnkey nationwide cold-start oracle. Most states have the needed history; the addressable scope is large and real, just not what an over-promise would have claimed.</w:t>
      </w:r>
    </w:p>
    <w:p>
      <w:pPr>
        <w:pStyle w:val="ListNumber"/>
      </w:pPr>
      <w:r>
        <w:rPr>
          <w:b/>
        </w:rPr>
        <w:t>Make the state-generalization limit a first-class slide and a sentence in the venture narrative</w:t>
      </w:r>
      <w:r>
        <w:t>, not a footnote.</w:t>
      </w:r>
    </w:p>
    <w:p>
      <w:pPr>
        <w:pStyle w:val="ListNumber"/>
      </w:pPr>
      <w:r>
        <w:rPr>
          <w:b/>
        </w:rPr>
        <w:t>Adopt the calibrated model as the production model</w:t>
      </w:r>
      <w:r>
        <w:t>; embed it in the operational system that hands prioritized investigation work orders to field crews.</w:t>
      </w:r>
    </w:p>
    <w:p>
      <w:pPr>
        <w:pStyle w:val="Heading2"/>
      </w:pPr>
      <w:r>
        <w:t>How the venture changed</w:t>
      </w:r>
    </w:p>
    <w:p>
      <w:pPr>
        <w:pStyle w:val="ListBullet"/>
      </w:pPr>
      <w:r>
        <w:t>The product framing has a clearly stated envelope ("with their own historical data"), tied to a verifiable metric (within-distribution top-decile lift), with an honest negative (cross-state cold-start).</w:t>
      </w:r>
    </w:p>
    <w:p>
      <w:pPr>
        <w:pStyle w:val="ListBullet"/>
      </w:pPr>
      <w:r>
        <w:t>The full operational system was built on this verified model (</w:t>
      </w:r>
      <w:r>
        <w:rPr>
          <w:rFonts w:ascii="Consolas" w:hAnsi="Consolas"/>
          <w:sz w:val="20"/>
        </w:rPr>
        <w:t>07_Tool/aquacascade_system/</w:t>
      </w:r>
      <w:r>
        <w:t xml:space="preserve">): backend, REST API, SQLite (Postgres-ready), multi-tenant scoping, role-separated technician workspaces, ~50-test suite all green. The system </w:t>
      </w:r>
      <w:r>
        <w:rPr>
          <w:b/>
        </w:rPr>
        <w:t>only ships the validated model</w:t>
      </w:r>
      <w:r>
        <w:t>; the scope statement is in the app footer.</w:t>
      </w:r>
    </w:p>
    <w:p>
      <w:pPr>
        <w:pStyle w:val="ListBullet"/>
      </w:pPr>
      <w:r>
        <w:t>An honest experiment to attack the 0.71 → 0.57 limit is now defined and pre-registered (below).</w:t>
      </w:r>
    </w:p>
    <w:p>
      <w:pPr>
        <w:pStyle w:val="Heading2"/>
      </w:pPr>
      <w:r>
        <w:t>AI leverage</w:t>
      </w:r>
    </w:p>
    <w:p>
      <w:r>
        <w:t xml:space="preserve">The complete production pipeline — calibrated model, the three-scheme validation harness, the SHA-256/version/seed manifest, the calibration/PR/lift visualization, and the operational web system that consumes the model output — was designed and built end-to-end with AI assistance, with passing automated tests, in days, not weeks. The same AI discipline produced the </w:t>
      </w:r>
      <w:r>
        <w:rPr>
          <w:b/>
        </w:rPr>
        <w:t>honest</w:t>
      </w:r>
      <w:r>
        <w:t xml:space="preserve"> numbers: when an early efficiency comparison gave a flashy "40 % savings," AI-assisted audit traced it to a circular metric (rank by model score, then score against the model's own output); the corrected, non-circular paired-outcome test gave </w:t>
      </w:r>
      <w:r>
        <w:rPr>
          <w:b/>
        </w:rPr>
        <w:t>3.9 %</w:t>
      </w:r>
      <w:r>
        <w:t xml:space="preserve"> at the 80 % mark and a </w:t>
      </w:r>
      <w:r>
        <w:rPr>
          <w:b/>
        </w:rPr>
        <w:t>3.8 × top-decile lift</w:t>
      </w:r>
      <w:r>
        <w:t xml:space="preserve"> — published as the real numbers.</w:t>
      </w:r>
    </w:p>
    <w:p>
      <w:pPr>
        <w:pStyle w:val="Heading2"/>
      </w:pPr>
      <w:r>
        <w:t>Responsible impact</w:t>
      </w:r>
    </w:p>
    <w:p>
      <w:pPr>
        <w:pStyle w:val="ListBullet"/>
      </w:pPr>
      <w:r>
        <w:rPr>
          <w:b/>
        </w:rPr>
        <w:t>No fabricated traction.</w:t>
      </w:r>
      <w:r>
        <w:t xml:space="preserve"> I have not conducted customer interviews or signed pilots; the prior draft submission's "18 interviews / 3 signed pilots / $485 K pipeline" was material I disowned and quarantined. This entry, like #01 and #02, reports only verifiable model and data work.</w:t>
      </w:r>
    </w:p>
    <w:p>
      <w:pPr>
        <w:pStyle w:val="ListBullet"/>
      </w:pPr>
      <w:r>
        <w:rPr>
          <w:b/>
        </w:rPr>
        <w:t>Public-money decisions:</w:t>
      </w:r>
      <w:r>
        <w:t xml:space="preserve"> publishing a calibrated probability with a clearly stated generalization envelope is the responsible standard for a tool that could allocate Bipartisan Infrastructure Law lead-line dollars; reviewers can re-run every figure from the manifest.</w:t>
      </w:r>
    </w:p>
    <w:p>
      <w:pPr>
        <w:pStyle w:val="Heading2"/>
      </w:pPr>
      <w:r>
        <w:t>Next experiment defined by this result</w:t>
      </w:r>
    </w:p>
    <w:p>
      <w:r>
        <w:rPr>
          <w:b/>
        </w:rPr>
        <w:t>Pre-registered:</w:t>
      </w:r>
      <w:r>
        <w:t xml:space="preserve"> a </w:t>
      </w:r>
      <w:r>
        <w:rPr>
          <w:b/>
        </w:rPr>
        <w:t>hierarchical / per-state-calibrated</w:t>
      </w:r>
      <w:r>
        <w:t xml:space="preserve"> model on the triage target. Success criterion fixed in advance — group-by-state ROC materially above 0.57 (target ≥ 0.65 with proper paired CV). Will be Experiment Log #04 once executed.</w:t>
      </w:r>
    </w:p>
    <w:p>
      <w:pPr>
        <w:pStyle w:val="Heading2"/>
      </w:pPr>
      <w:r>
        <w:t>Verifiable artifacts</w:t>
      </w:r>
    </w:p>
    <w:p>
      <w:r>
        <w:t xml:space="preserve">Public repository: </w:t>
      </w:r>
      <w:r>
        <w:rPr>
          <w:b/>
        </w:rPr>
        <w:t>https://github.com/Brothermoses/aquacascade-ai</w:t>
      </w:r>
    </w:p>
    <w:p>
      <w:pPr>
        <w:pStyle w:val="ListBullet"/>
      </w:pPr>
      <w:r>
        <w:t>Production model + 3-scheme validation: https://github.com/Brothermoses/aquacascade-ai/blob/main/05_Modeling/triage_production.py</w:t>
      </w:r>
    </w:p>
    <w:p>
      <w:pPr>
        <w:pStyle w:val="ListBullet"/>
      </w:pPr>
      <w:r>
        <w:t>All metrics above (JSON): https://github.com/Brothermoses/aquacascade-ai/blob/main/05_Modeling/triage_production_results.json</w:t>
      </w:r>
    </w:p>
    <w:p>
      <w:pPr>
        <w:pStyle w:val="ListBullet"/>
      </w:pPr>
      <w:r>
        <w:t>Reproducibility manifest (input SHA-256, library versions, seed): https://github.com/Brothermoses/aquacascade-ai/blob/main/05_Modeling/triage_production_manifest.json</w:t>
      </w:r>
    </w:p>
    <w:p>
      <w:pPr>
        <w:pStyle w:val="ListBullet"/>
      </w:pPr>
      <w:r>
        <w:t>Charts (calibration / PR / lift): https://github.com/Brothermoses/aquacascade-ai/blob/main/03_Outputs/Charts/triage_production.png</w:t>
      </w:r>
    </w:p>
    <w:p>
      <w:pPr>
        <w:pStyle w:val="ListBullet"/>
      </w:pPr>
      <w:r>
        <w:t>Operational system consuming the model: https://github.com/Brothermoses/aquacascade-ai/tree/main/07_Tool/aquacascade_system</w:t>
      </w:r>
    </w:p>
    <w:p>
      <w:pPr>
        <w:pStyle w:val="ListBullet"/>
      </w:pPr>
      <w:r>
        <w:t>Full step-by-step + Stage 2 progress doc: https://github.com/Brothermoses/aquacascade-ai/blob/main/06_Reports/B_Final_Method_Stepwise.md · https://github.com/Brothermoses/aquacascade-ai/blob/main/04_Submission/Stage2_Progress_AquaCascade.md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