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BC49C" w14:textId="486CDDFA" w:rsidR="00D80C6B" w:rsidRPr="00634E87" w:rsidRDefault="00D80C6B" w:rsidP="00634E87">
      <w:pPr>
        <w:pStyle w:val="Heading1"/>
      </w:pPr>
      <w:bookmarkStart w:id="0" w:name="_Toc192660636"/>
      <w:r w:rsidRPr="00634E87">
        <w:t>Technical Notes</w:t>
      </w:r>
      <w:bookmarkEnd w:id="0"/>
    </w:p>
    <w:p w14:paraId="138C8CC6" w14:textId="7AE4DA5D" w:rsidR="00634E87" w:rsidRPr="00D0438A" w:rsidRDefault="00634E87" w:rsidP="00D0438A">
      <w:r w:rsidRPr="00634E87">
        <w:t>This document contains technical notes for the article “Feasibility of applying pharmacoepidemiologic drug-drug interaction screening methods to nursing home residents: An application to clopidogrel.” These notes include additional details not already included in the published manuscript and supplements.</w:t>
      </w:r>
      <w:r>
        <w:t xml:space="preserve"> </w:t>
      </w:r>
    </w:p>
    <w:sdt>
      <w:sdtPr>
        <w:rPr>
          <w:rFonts w:ascii="Arial" w:eastAsiaTheme="minorHAnsi" w:hAnsi="Arial" w:cs="Arial"/>
          <w:color w:val="auto"/>
          <w:sz w:val="22"/>
          <w:szCs w:val="22"/>
        </w:rPr>
        <w:id w:val="2036459708"/>
        <w:docPartObj>
          <w:docPartGallery w:val="Table of Contents"/>
          <w:docPartUnique/>
        </w:docPartObj>
      </w:sdtPr>
      <w:sdtEndPr>
        <w:rPr>
          <w:b/>
          <w:bCs/>
          <w:noProof/>
        </w:rPr>
      </w:sdtEndPr>
      <w:sdtContent>
        <w:p w14:paraId="5AC24BE5" w14:textId="77777777" w:rsidR="003B2789" w:rsidRPr="00720107" w:rsidRDefault="003B2789" w:rsidP="005016B1">
          <w:pPr>
            <w:pStyle w:val="TOCHeading"/>
            <w:spacing w:after="160" w:line="276" w:lineRule="auto"/>
            <w:rPr>
              <w:rFonts w:ascii="Arial" w:hAnsi="Arial" w:cs="Arial"/>
            </w:rPr>
          </w:pPr>
          <w:r w:rsidRPr="00720107">
            <w:rPr>
              <w:rFonts w:ascii="Arial" w:hAnsi="Arial" w:cs="Arial"/>
            </w:rPr>
            <w:t>Contents</w:t>
          </w:r>
        </w:p>
        <w:p w14:paraId="4B00028F" w14:textId="2ED28364" w:rsidR="00AE51C7" w:rsidRDefault="003B2789">
          <w:pPr>
            <w:pStyle w:val="TOC1"/>
            <w:tabs>
              <w:tab w:val="right" w:leader="dot" w:pos="9350"/>
            </w:tabs>
            <w:rPr>
              <w:rFonts w:eastAsiaTheme="minorEastAsia"/>
              <w:noProof/>
              <w:kern w:val="2"/>
              <w:sz w:val="24"/>
              <w:szCs w:val="24"/>
              <w14:ligatures w14:val="standardContextual"/>
            </w:rPr>
          </w:pPr>
          <w:r w:rsidRPr="00720107">
            <w:rPr>
              <w:rFonts w:ascii="Arial" w:hAnsi="Arial" w:cs="Arial"/>
            </w:rPr>
            <w:fldChar w:fldCharType="begin"/>
          </w:r>
          <w:r w:rsidRPr="00720107">
            <w:rPr>
              <w:rFonts w:ascii="Arial" w:hAnsi="Arial" w:cs="Arial"/>
            </w:rPr>
            <w:instrText xml:space="preserve"> TOC \o "1-3" \h \z \u </w:instrText>
          </w:r>
          <w:r w:rsidRPr="00720107">
            <w:rPr>
              <w:rFonts w:ascii="Arial" w:hAnsi="Arial" w:cs="Arial"/>
            </w:rPr>
            <w:fldChar w:fldCharType="separate"/>
          </w:r>
          <w:hyperlink w:anchor="_Toc192660636" w:history="1">
            <w:r w:rsidR="00AE51C7" w:rsidRPr="00491192">
              <w:rPr>
                <w:rStyle w:val="Hyperlink"/>
                <w:noProof/>
              </w:rPr>
              <w:t>Technical Notes</w:t>
            </w:r>
            <w:r w:rsidR="00AE51C7">
              <w:rPr>
                <w:noProof/>
                <w:webHidden/>
              </w:rPr>
              <w:tab/>
            </w:r>
            <w:r w:rsidR="00AE51C7">
              <w:rPr>
                <w:noProof/>
                <w:webHidden/>
              </w:rPr>
              <w:fldChar w:fldCharType="begin"/>
            </w:r>
            <w:r w:rsidR="00AE51C7">
              <w:rPr>
                <w:noProof/>
                <w:webHidden/>
              </w:rPr>
              <w:instrText xml:space="preserve"> PAGEREF _Toc192660636 \h </w:instrText>
            </w:r>
            <w:r w:rsidR="00AE51C7">
              <w:rPr>
                <w:noProof/>
                <w:webHidden/>
              </w:rPr>
            </w:r>
            <w:r w:rsidR="00AE51C7">
              <w:rPr>
                <w:noProof/>
                <w:webHidden/>
              </w:rPr>
              <w:fldChar w:fldCharType="separate"/>
            </w:r>
            <w:r w:rsidR="00AE51C7">
              <w:rPr>
                <w:noProof/>
                <w:webHidden/>
              </w:rPr>
              <w:t>1</w:t>
            </w:r>
            <w:r w:rsidR="00AE51C7">
              <w:rPr>
                <w:noProof/>
                <w:webHidden/>
              </w:rPr>
              <w:fldChar w:fldCharType="end"/>
            </w:r>
          </w:hyperlink>
        </w:p>
        <w:p w14:paraId="5A6F0A07" w14:textId="384ED2F6" w:rsidR="00AE51C7" w:rsidRDefault="00AE51C7">
          <w:pPr>
            <w:pStyle w:val="TOC2"/>
            <w:tabs>
              <w:tab w:val="right" w:leader="dot" w:pos="9350"/>
            </w:tabs>
            <w:rPr>
              <w:rFonts w:eastAsiaTheme="minorEastAsia"/>
              <w:noProof/>
              <w:kern w:val="2"/>
              <w:sz w:val="24"/>
              <w:szCs w:val="24"/>
              <w14:ligatures w14:val="standardContextual"/>
            </w:rPr>
          </w:pPr>
          <w:hyperlink w:anchor="_Toc192660637" w:history="1">
            <w:r w:rsidRPr="00491192">
              <w:rPr>
                <w:rStyle w:val="Hyperlink"/>
                <w:noProof/>
              </w:rPr>
              <w:t>Additional Technical Methods</w:t>
            </w:r>
            <w:r>
              <w:rPr>
                <w:noProof/>
                <w:webHidden/>
              </w:rPr>
              <w:tab/>
            </w:r>
            <w:r>
              <w:rPr>
                <w:noProof/>
                <w:webHidden/>
              </w:rPr>
              <w:fldChar w:fldCharType="begin"/>
            </w:r>
            <w:r>
              <w:rPr>
                <w:noProof/>
                <w:webHidden/>
              </w:rPr>
              <w:instrText xml:space="preserve"> PAGEREF _Toc192660637 \h </w:instrText>
            </w:r>
            <w:r>
              <w:rPr>
                <w:noProof/>
                <w:webHidden/>
              </w:rPr>
            </w:r>
            <w:r>
              <w:rPr>
                <w:noProof/>
                <w:webHidden/>
              </w:rPr>
              <w:fldChar w:fldCharType="separate"/>
            </w:r>
            <w:r>
              <w:rPr>
                <w:noProof/>
                <w:webHidden/>
              </w:rPr>
              <w:t>1</w:t>
            </w:r>
            <w:r>
              <w:rPr>
                <w:noProof/>
                <w:webHidden/>
              </w:rPr>
              <w:fldChar w:fldCharType="end"/>
            </w:r>
          </w:hyperlink>
        </w:p>
        <w:p w14:paraId="70E0A5D3" w14:textId="5FDA30D9" w:rsidR="00AE51C7" w:rsidRDefault="00AE51C7">
          <w:pPr>
            <w:pStyle w:val="TOC3"/>
            <w:tabs>
              <w:tab w:val="right" w:leader="dot" w:pos="9350"/>
            </w:tabs>
            <w:rPr>
              <w:rFonts w:eastAsiaTheme="minorEastAsia"/>
              <w:noProof/>
              <w:kern w:val="2"/>
              <w:sz w:val="24"/>
              <w:szCs w:val="24"/>
              <w14:ligatures w14:val="standardContextual"/>
            </w:rPr>
          </w:pPr>
          <w:hyperlink w:anchor="_Toc192660638" w:history="1">
            <w:r w:rsidRPr="00491192">
              <w:rPr>
                <w:rStyle w:val="Hyperlink"/>
                <w:rFonts w:eastAsia="Times New Roman"/>
                <w:noProof/>
              </w:rPr>
              <w:t xml:space="preserve">Case definitions and </w:t>
            </w:r>
            <w:r w:rsidRPr="00491192">
              <w:rPr>
                <w:rStyle w:val="Hyperlink"/>
                <w:noProof/>
              </w:rPr>
              <w:t>follow</w:t>
            </w:r>
            <w:r w:rsidRPr="00491192">
              <w:rPr>
                <w:rStyle w:val="Hyperlink"/>
                <w:rFonts w:eastAsia="Times New Roman"/>
                <w:noProof/>
              </w:rPr>
              <w:t>-up time</w:t>
            </w:r>
            <w:r>
              <w:rPr>
                <w:noProof/>
                <w:webHidden/>
              </w:rPr>
              <w:tab/>
            </w:r>
            <w:r>
              <w:rPr>
                <w:noProof/>
                <w:webHidden/>
              </w:rPr>
              <w:fldChar w:fldCharType="begin"/>
            </w:r>
            <w:r>
              <w:rPr>
                <w:noProof/>
                <w:webHidden/>
              </w:rPr>
              <w:instrText xml:space="preserve"> PAGEREF _Toc192660638 \h </w:instrText>
            </w:r>
            <w:r>
              <w:rPr>
                <w:noProof/>
                <w:webHidden/>
              </w:rPr>
            </w:r>
            <w:r>
              <w:rPr>
                <w:noProof/>
                <w:webHidden/>
              </w:rPr>
              <w:fldChar w:fldCharType="separate"/>
            </w:r>
            <w:r>
              <w:rPr>
                <w:noProof/>
                <w:webHidden/>
              </w:rPr>
              <w:t>1</w:t>
            </w:r>
            <w:r>
              <w:rPr>
                <w:noProof/>
                <w:webHidden/>
              </w:rPr>
              <w:fldChar w:fldCharType="end"/>
            </w:r>
          </w:hyperlink>
        </w:p>
        <w:p w14:paraId="75469672" w14:textId="644F0CA7" w:rsidR="00AE51C7" w:rsidRDefault="00AE51C7">
          <w:pPr>
            <w:pStyle w:val="TOC3"/>
            <w:tabs>
              <w:tab w:val="right" w:leader="dot" w:pos="9350"/>
            </w:tabs>
            <w:rPr>
              <w:rFonts w:eastAsiaTheme="minorEastAsia"/>
              <w:noProof/>
              <w:kern w:val="2"/>
              <w:sz w:val="24"/>
              <w:szCs w:val="24"/>
              <w14:ligatures w14:val="standardContextual"/>
            </w:rPr>
          </w:pPr>
          <w:hyperlink w:anchor="_Toc192660639" w:history="1">
            <w:r w:rsidRPr="00491192">
              <w:rPr>
                <w:rStyle w:val="Hyperlink"/>
                <w:rFonts w:eastAsia="Times New Roman"/>
                <w:noProof/>
              </w:rPr>
              <w:t>Identifying candidate precipitant drugs and time exposed</w:t>
            </w:r>
            <w:r>
              <w:rPr>
                <w:noProof/>
                <w:webHidden/>
              </w:rPr>
              <w:tab/>
            </w:r>
            <w:r>
              <w:rPr>
                <w:noProof/>
                <w:webHidden/>
              </w:rPr>
              <w:fldChar w:fldCharType="begin"/>
            </w:r>
            <w:r>
              <w:rPr>
                <w:noProof/>
                <w:webHidden/>
              </w:rPr>
              <w:instrText xml:space="preserve"> PAGEREF _Toc192660639 \h </w:instrText>
            </w:r>
            <w:r>
              <w:rPr>
                <w:noProof/>
                <w:webHidden/>
              </w:rPr>
            </w:r>
            <w:r>
              <w:rPr>
                <w:noProof/>
                <w:webHidden/>
              </w:rPr>
              <w:fldChar w:fldCharType="separate"/>
            </w:r>
            <w:r>
              <w:rPr>
                <w:noProof/>
                <w:webHidden/>
              </w:rPr>
              <w:t>1</w:t>
            </w:r>
            <w:r>
              <w:rPr>
                <w:noProof/>
                <w:webHidden/>
              </w:rPr>
              <w:fldChar w:fldCharType="end"/>
            </w:r>
          </w:hyperlink>
        </w:p>
        <w:p w14:paraId="30068AED" w14:textId="0579CD82" w:rsidR="00AE51C7" w:rsidRDefault="00AE51C7">
          <w:pPr>
            <w:pStyle w:val="TOC3"/>
            <w:tabs>
              <w:tab w:val="right" w:leader="dot" w:pos="9350"/>
            </w:tabs>
            <w:rPr>
              <w:rFonts w:eastAsiaTheme="minorEastAsia"/>
              <w:noProof/>
              <w:kern w:val="2"/>
              <w:sz w:val="24"/>
              <w:szCs w:val="24"/>
              <w14:ligatures w14:val="standardContextual"/>
            </w:rPr>
          </w:pPr>
          <w:hyperlink w:anchor="_Toc192660640" w:history="1">
            <w:r w:rsidRPr="00491192">
              <w:rPr>
                <w:rStyle w:val="Hyperlink"/>
                <w:rFonts w:eastAsia="Times New Roman"/>
                <w:noProof/>
              </w:rPr>
              <w:t xml:space="preserve">Statistical </w:t>
            </w:r>
            <w:r w:rsidRPr="00491192">
              <w:rPr>
                <w:rStyle w:val="Hyperlink"/>
                <w:noProof/>
              </w:rPr>
              <w:t>analyses</w:t>
            </w:r>
            <w:r>
              <w:rPr>
                <w:noProof/>
                <w:webHidden/>
              </w:rPr>
              <w:tab/>
            </w:r>
            <w:r>
              <w:rPr>
                <w:noProof/>
                <w:webHidden/>
              </w:rPr>
              <w:fldChar w:fldCharType="begin"/>
            </w:r>
            <w:r>
              <w:rPr>
                <w:noProof/>
                <w:webHidden/>
              </w:rPr>
              <w:instrText xml:space="preserve"> PAGEREF _Toc192660640 \h </w:instrText>
            </w:r>
            <w:r>
              <w:rPr>
                <w:noProof/>
                <w:webHidden/>
              </w:rPr>
            </w:r>
            <w:r>
              <w:rPr>
                <w:noProof/>
                <w:webHidden/>
              </w:rPr>
              <w:fldChar w:fldCharType="separate"/>
            </w:r>
            <w:r>
              <w:rPr>
                <w:noProof/>
                <w:webHidden/>
              </w:rPr>
              <w:t>2</w:t>
            </w:r>
            <w:r>
              <w:rPr>
                <w:noProof/>
                <w:webHidden/>
              </w:rPr>
              <w:fldChar w:fldCharType="end"/>
            </w:r>
          </w:hyperlink>
        </w:p>
        <w:p w14:paraId="060C7527" w14:textId="5B857EE5" w:rsidR="00AE51C7" w:rsidRDefault="00AE51C7">
          <w:pPr>
            <w:pStyle w:val="TOC3"/>
            <w:tabs>
              <w:tab w:val="right" w:leader="dot" w:pos="9350"/>
            </w:tabs>
            <w:rPr>
              <w:rFonts w:eastAsiaTheme="minorEastAsia"/>
              <w:noProof/>
              <w:kern w:val="2"/>
              <w:sz w:val="24"/>
              <w:szCs w:val="24"/>
              <w14:ligatures w14:val="standardContextual"/>
            </w:rPr>
          </w:pPr>
          <w:hyperlink w:anchor="_Toc192660641" w:history="1">
            <w:r w:rsidRPr="00491192">
              <w:rPr>
                <w:rStyle w:val="Hyperlink"/>
                <w:rFonts w:eastAsia="Times New Roman"/>
                <w:noProof/>
              </w:rPr>
              <w:t xml:space="preserve">Expert </w:t>
            </w:r>
            <w:r w:rsidRPr="00491192">
              <w:rPr>
                <w:rStyle w:val="Hyperlink"/>
                <w:noProof/>
              </w:rPr>
              <w:t>Panel</w:t>
            </w:r>
            <w:r>
              <w:rPr>
                <w:noProof/>
                <w:webHidden/>
              </w:rPr>
              <w:tab/>
            </w:r>
            <w:r>
              <w:rPr>
                <w:noProof/>
                <w:webHidden/>
              </w:rPr>
              <w:fldChar w:fldCharType="begin"/>
            </w:r>
            <w:r>
              <w:rPr>
                <w:noProof/>
                <w:webHidden/>
              </w:rPr>
              <w:instrText xml:space="preserve"> PAGEREF _Toc192660641 \h </w:instrText>
            </w:r>
            <w:r>
              <w:rPr>
                <w:noProof/>
                <w:webHidden/>
              </w:rPr>
            </w:r>
            <w:r>
              <w:rPr>
                <w:noProof/>
                <w:webHidden/>
              </w:rPr>
              <w:fldChar w:fldCharType="separate"/>
            </w:r>
            <w:r>
              <w:rPr>
                <w:noProof/>
                <w:webHidden/>
              </w:rPr>
              <w:t>2</w:t>
            </w:r>
            <w:r>
              <w:rPr>
                <w:noProof/>
                <w:webHidden/>
              </w:rPr>
              <w:fldChar w:fldCharType="end"/>
            </w:r>
          </w:hyperlink>
        </w:p>
        <w:p w14:paraId="26F6FE7C" w14:textId="2F042174" w:rsidR="00AE51C7" w:rsidRDefault="00AE51C7">
          <w:pPr>
            <w:pStyle w:val="TOC2"/>
            <w:tabs>
              <w:tab w:val="right" w:leader="dot" w:pos="9350"/>
            </w:tabs>
            <w:rPr>
              <w:rFonts w:eastAsiaTheme="minorEastAsia"/>
              <w:noProof/>
              <w:kern w:val="2"/>
              <w:sz w:val="24"/>
              <w:szCs w:val="24"/>
              <w14:ligatures w14:val="standardContextual"/>
            </w:rPr>
          </w:pPr>
          <w:hyperlink w:anchor="_Toc192660642" w:history="1">
            <w:r w:rsidRPr="00491192">
              <w:rPr>
                <w:rStyle w:val="Hyperlink"/>
                <w:bCs/>
                <w:noProof/>
              </w:rPr>
              <w:t>Additional Technical Tables</w:t>
            </w:r>
            <w:r>
              <w:rPr>
                <w:noProof/>
                <w:webHidden/>
              </w:rPr>
              <w:tab/>
            </w:r>
            <w:r>
              <w:rPr>
                <w:noProof/>
                <w:webHidden/>
              </w:rPr>
              <w:fldChar w:fldCharType="begin"/>
            </w:r>
            <w:r>
              <w:rPr>
                <w:noProof/>
                <w:webHidden/>
              </w:rPr>
              <w:instrText xml:space="preserve"> PAGEREF _Toc192660642 \h </w:instrText>
            </w:r>
            <w:r>
              <w:rPr>
                <w:noProof/>
                <w:webHidden/>
              </w:rPr>
            </w:r>
            <w:r>
              <w:rPr>
                <w:noProof/>
                <w:webHidden/>
              </w:rPr>
              <w:fldChar w:fldCharType="separate"/>
            </w:r>
            <w:r>
              <w:rPr>
                <w:noProof/>
                <w:webHidden/>
              </w:rPr>
              <w:t>2</w:t>
            </w:r>
            <w:r>
              <w:rPr>
                <w:noProof/>
                <w:webHidden/>
              </w:rPr>
              <w:fldChar w:fldCharType="end"/>
            </w:r>
          </w:hyperlink>
        </w:p>
        <w:p w14:paraId="6C8DA00E" w14:textId="5B28E82E" w:rsidR="00AE51C7" w:rsidRDefault="00AE51C7">
          <w:pPr>
            <w:pStyle w:val="TOC3"/>
            <w:tabs>
              <w:tab w:val="right" w:leader="dot" w:pos="9350"/>
            </w:tabs>
            <w:rPr>
              <w:rFonts w:eastAsiaTheme="minorEastAsia"/>
              <w:noProof/>
              <w:kern w:val="2"/>
              <w:sz w:val="24"/>
              <w:szCs w:val="24"/>
              <w14:ligatures w14:val="standardContextual"/>
            </w:rPr>
          </w:pPr>
          <w:hyperlink w:anchor="_Toc192660643" w:history="1">
            <w:r w:rsidRPr="00491192">
              <w:rPr>
                <w:rStyle w:val="Hyperlink"/>
                <w:bCs/>
                <w:noProof/>
              </w:rPr>
              <w:t>Additional Technical Table 1. Medications most likely to interact with clopidogrel.</w:t>
            </w:r>
            <w:r>
              <w:rPr>
                <w:noProof/>
                <w:webHidden/>
              </w:rPr>
              <w:tab/>
            </w:r>
            <w:r>
              <w:rPr>
                <w:noProof/>
                <w:webHidden/>
              </w:rPr>
              <w:fldChar w:fldCharType="begin"/>
            </w:r>
            <w:r>
              <w:rPr>
                <w:noProof/>
                <w:webHidden/>
              </w:rPr>
              <w:instrText xml:space="preserve"> PAGEREF _Toc192660643 \h </w:instrText>
            </w:r>
            <w:r>
              <w:rPr>
                <w:noProof/>
                <w:webHidden/>
              </w:rPr>
            </w:r>
            <w:r>
              <w:rPr>
                <w:noProof/>
                <w:webHidden/>
              </w:rPr>
              <w:fldChar w:fldCharType="separate"/>
            </w:r>
            <w:r>
              <w:rPr>
                <w:noProof/>
                <w:webHidden/>
              </w:rPr>
              <w:t>2</w:t>
            </w:r>
            <w:r>
              <w:rPr>
                <w:noProof/>
                <w:webHidden/>
              </w:rPr>
              <w:fldChar w:fldCharType="end"/>
            </w:r>
          </w:hyperlink>
        </w:p>
        <w:p w14:paraId="10421E18" w14:textId="1A189A18" w:rsidR="00AE51C7" w:rsidRDefault="00AE51C7">
          <w:pPr>
            <w:pStyle w:val="TOC2"/>
            <w:tabs>
              <w:tab w:val="right" w:leader="dot" w:pos="9350"/>
            </w:tabs>
            <w:rPr>
              <w:rFonts w:eastAsiaTheme="minorEastAsia"/>
              <w:noProof/>
              <w:kern w:val="2"/>
              <w:sz w:val="24"/>
              <w:szCs w:val="24"/>
              <w14:ligatures w14:val="standardContextual"/>
            </w:rPr>
          </w:pPr>
          <w:hyperlink w:anchor="_Toc192660644" w:history="1">
            <w:r w:rsidRPr="00491192">
              <w:rPr>
                <w:rStyle w:val="Hyperlink"/>
                <w:bCs/>
                <w:noProof/>
              </w:rPr>
              <w:t>Additional Technical Figures</w:t>
            </w:r>
            <w:r>
              <w:rPr>
                <w:noProof/>
                <w:webHidden/>
              </w:rPr>
              <w:tab/>
            </w:r>
            <w:r>
              <w:rPr>
                <w:noProof/>
                <w:webHidden/>
              </w:rPr>
              <w:fldChar w:fldCharType="begin"/>
            </w:r>
            <w:r>
              <w:rPr>
                <w:noProof/>
                <w:webHidden/>
              </w:rPr>
              <w:instrText xml:space="preserve"> PAGEREF _Toc192660644 \h </w:instrText>
            </w:r>
            <w:r>
              <w:rPr>
                <w:noProof/>
                <w:webHidden/>
              </w:rPr>
            </w:r>
            <w:r>
              <w:rPr>
                <w:noProof/>
                <w:webHidden/>
              </w:rPr>
              <w:fldChar w:fldCharType="separate"/>
            </w:r>
            <w:r>
              <w:rPr>
                <w:noProof/>
                <w:webHidden/>
              </w:rPr>
              <w:t>3</w:t>
            </w:r>
            <w:r>
              <w:rPr>
                <w:noProof/>
                <w:webHidden/>
              </w:rPr>
              <w:fldChar w:fldCharType="end"/>
            </w:r>
          </w:hyperlink>
        </w:p>
        <w:p w14:paraId="53892C80" w14:textId="27A7DFE7" w:rsidR="00AE51C7" w:rsidRDefault="00AE51C7">
          <w:pPr>
            <w:pStyle w:val="TOC3"/>
            <w:tabs>
              <w:tab w:val="right" w:leader="dot" w:pos="9350"/>
            </w:tabs>
            <w:rPr>
              <w:rFonts w:eastAsiaTheme="minorEastAsia"/>
              <w:noProof/>
              <w:kern w:val="2"/>
              <w:sz w:val="24"/>
              <w:szCs w:val="24"/>
              <w14:ligatures w14:val="standardContextual"/>
            </w:rPr>
          </w:pPr>
          <w:hyperlink w:anchor="_Toc192660645" w:history="1">
            <w:r w:rsidRPr="00491192">
              <w:rPr>
                <w:rStyle w:val="Hyperlink"/>
                <w:bCs/>
                <w:noProof/>
              </w:rPr>
              <w:t>Additional Technical Figure 1: Constructing observation windows.</w:t>
            </w:r>
            <w:r>
              <w:rPr>
                <w:noProof/>
                <w:webHidden/>
              </w:rPr>
              <w:tab/>
            </w:r>
            <w:r>
              <w:rPr>
                <w:noProof/>
                <w:webHidden/>
              </w:rPr>
              <w:fldChar w:fldCharType="begin"/>
            </w:r>
            <w:r>
              <w:rPr>
                <w:noProof/>
                <w:webHidden/>
              </w:rPr>
              <w:instrText xml:space="preserve"> PAGEREF _Toc192660645 \h </w:instrText>
            </w:r>
            <w:r>
              <w:rPr>
                <w:noProof/>
                <w:webHidden/>
              </w:rPr>
            </w:r>
            <w:r>
              <w:rPr>
                <w:noProof/>
                <w:webHidden/>
              </w:rPr>
              <w:fldChar w:fldCharType="separate"/>
            </w:r>
            <w:r>
              <w:rPr>
                <w:noProof/>
                <w:webHidden/>
              </w:rPr>
              <w:t>3</w:t>
            </w:r>
            <w:r>
              <w:rPr>
                <w:noProof/>
                <w:webHidden/>
              </w:rPr>
              <w:fldChar w:fldCharType="end"/>
            </w:r>
          </w:hyperlink>
        </w:p>
        <w:p w14:paraId="507D03AA" w14:textId="09AF26F7" w:rsidR="00AE51C7" w:rsidRDefault="00AE51C7">
          <w:pPr>
            <w:pStyle w:val="TOC3"/>
            <w:tabs>
              <w:tab w:val="right" w:leader="dot" w:pos="9350"/>
            </w:tabs>
            <w:rPr>
              <w:rFonts w:eastAsiaTheme="minorEastAsia"/>
              <w:noProof/>
              <w:kern w:val="2"/>
              <w:sz w:val="24"/>
              <w:szCs w:val="24"/>
              <w14:ligatures w14:val="standardContextual"/>
            </w:rPr>
          </w:pPr>
          <w:hyperlink w:anchor="_Toc192660646" w:history="1">
            <w:r w:rsidRPr="00491192">
              <w:rPr>
                <w:rStyle w:val="Hyperlink"/>
                <w:bCs/>
                <w:noProof/>
              </w:rPr>
              <w:t>Additional Technical Figure 2: Identifying precipitant-exposed time.</w:t>
            </w:r>
            <w:r>
              <w:rPr>
                <w:noProof/>
                <w:webHidden/>
              </w:rPr>
              <w:tab/>
            </w:r>
            <w:r>
              <w:rPr>
                <w:noProof/>
                <w:webHidden/>
              </w:rPr>
              <w:fldChar w:fldCharType="begin"/>
            </w:r>
            <w:r>
              <w:rPr>
                <w:noProof/>
                <w:webHidden/>
              </w:rPr>
              <w:instrText xml:space="preserve"> PAGEREF _Toc192660646 \h </w:instrText>
            </w:r>
            <w:r>
              <w:rPr>
                <w:noProof/>
                <w:webHidden/>
              </w:rPr>
            </w:r>
            <w:r>
              <w:rPr>
                <w:noProof/>
                <w:webHidden/>
              </w:rPr>
              <w:fldChar w:fldCharType="separate"/>
            </w:r>
            <w:r>
              <w:rPr>
                <w:noProof/>
                <w:webHidden/>
              </w:rPr>
              <w:t>4</w:t>
            </w:r>
            <w:r>
              <w:rPr>
                <w:noProof/>
                <w:webHidden/>
              </w:rPr>
              <w:fldChar w:fldCharType="end"/>
            </w:r>
          </w:hyperlink>
        </w:p>
        <w:p w14:paraId="67027070" w14:textId="115FA63D" w:rsidR="00AE51C7" w:rsidRDefault="00AE51C7">
          <w:pPr>
            <w:pStyle w:val="TOC3"/>
            <w:tabs>
              <w:tab w:val="right" w:leader="dot" w:pos="9350"/>
            </w:tabs>
            <w:rPr>
              <w:rFonts w:eastAsiaTheme="minorEastAsia"/>
              <w:noProof/>
              <w:kern w:val="2"/>
              <w:sz w:val="24"/>
              <w:szCs w:val="24"/>
              <w14:ligatures w14:val="standardContextual"/>
            </w:rPr>
          </w:pPr>
          <w:hyperlink w:anchor="_Toc192660647" w:history="1">
            <w:r w:rsidRPr="00491192">
              <w:rPr>
                <w:rStyle w:val="Hyperlink"/>
                <w:bCs/>
                <w:noProof/>
              </w:rPr>
              <w:t>Additional Technical Figure 3: Unused plan for identifying precipitant-exposed time in stability analyses.</w:t>
            </w:r>
            <w:r>
              <w:rPr>
                <w:noProof/>
                <w:webHidden/>
              </w:rPr>
              <w:tab/>
            </w:r>
            <w:r>
              <w:rPr>
                <w:noProof/>
                <w:webHidden/>
              </w:rPr>
              <w:fldChar w:fldCharType="begin"/>
            </w:r>
            <w:r>
              <w:rPr>
                <w:noProof/>
                <w:webHidden/>
              </w:rPr>
              <w:instrText xml:space="preserve"> PAGEREF _Toc192660647 \h </w:instrText>
            </w:r>
            <w:r>
              <w:rPr>
                <w:noProof/>
                <w:webHidden/>
              </w:rPr>
            </w:r>
            <w:r>
              <w:rPr>
                <w:noProof/>
                <w:webHidden/>
              </w:rPr>
              <w:fldChar w:fldCharType="separate"/>
            </w:r>
            <w:r>
              <w:rPr>
                <w:noProof/>
                <w:webHidden/>
              </w:rPr>
              <w:t>4</w:t>
            </w:r>
            <w:r>
              <w:rPr>
                <w:noProof/>
                <w:webHidden/>
              </w:rPr>
              <w:fldChar w:fldCharType="end"/>
            </w:r>
          </w:hyperlink>
        </w:p>
        <w:p w14:paraId="6E76FA81" w14:textId="63A0772A" w:rsidR="003B2789" w:rsidRPr="00720107" w:rsidRDefault="003B2789" w:rsidP="005016B1">
          <w:pPr>
            <w:spacing w:line="276" w:lineRule="auto"/>
            <w:rPr>
              <w:rFonts w:ascii="Arial" w:hAnsi="Arial" w:cs="Arial"/>
            </w:rPr>
          </w:pPr>
          <w:r w:rsidRPr="00720107">
            <w:rPr>
              <w:rFonts w:ascii="Arial" w:hAnsi="Arial" w:cs="Arial"/>
              <w:b/>
              <w:bCs/>
              <w:noProof/>
            </w:rPr>
            <w:fldChar w:fldCharType="end"/>
          </w:r>
        </w:p>
      </w:sdtContent>
    </w:sdt>
    <w:p w14:paraId="71DDFEA6" w14:textId="77777777" w:rsidR="00AE51C7" w:rsidRDefault="00AE51C7" w:rsidP="00AE51C7">
      <w:pPr>
        <w:pStyle w:val="Heading2"/>
      </w:pPr>
      <w:bookmarkStart w:id="1" w:name="_Toc192660637"/>
      <w:r w:rsidRPr="00AE51C7">
        <w:t>Additional Technical Methods</w:t>
      </w:r>
      <w:bookmarkEnd w:id="1"/>
    </w:p>
    <w:p w14:paraId="3BD60F6D" w14:textId="5BAC08E4" w:rsidR="00D80C6B" w:rsidRPr="00720107" w:rsidRDefault="00D80C6B" w:rsidP="00720107">
      <w:pPr>
        <w:pStyle w:val="Heading3"/>
        <w:rPr>
          <w:rFonts w:eastAsia="Times New Roman"/>
        </w:rPr>
      </w:pPr>
      <w:bookmarkStart w:id="2" w:name="_Toc192660638"/>
      <w:r w:rsidRPr="00720107">
        <w:rPr>
          <w:rFonts w:eastAsia="Times New Roman"/>
        </w:rPr>
        <w:t xml:space="preserve">Case definitions and </w:t>
      </w:r>
      <w:r w:rsidRPr="00720107">
        <w:t>follow</w:t>
      </w:r>
      <w:r w:rsidRPr="00720107">
        <w:rPr>
          <w:rFonts w:eastAsia="Times New Roman"/>
        </w:rPr>
        <w:t>-up time</w:t>
      </w:r>
      <w:bookmarkEnd w:id="2"/>
    </w:p>
    <w:p w14:paraId="1641C261" w14:textId="77777777" w:rsidR="00AA16C2" w:rsidRPr="00720107" w:rsidRDefault="00223ACC" w:rsidP="00720107">
      <w:r w:rsidRPr="00720107">
        <w:t xml:space="preserve">Since hospitalizations occur outside of the NH, observation windows were extended by one day in the case of an outcome event. </w:t>
      </w:r>
    </w:p>
    <w:p w14:paraId="7258E8D7" w14:textId="77777777" w:rsidR="00BD146F" w:rsidRPr="00720107" w:rsidRDefault="00BD146F" w:rsidP="00EC3C03">
      <w:pPr>
        <w:pStyle w:val="Heading3"/>
        <w:rPr>
          <w:rFonts w:eastAsia="Times New Roman"/>
        </w:rPr>
      </w:pPr>
      <w:bookmarkStart w:id="3" w:name="_Hlk192082421"/>
      <w:bookmarkStart w:id="4" w:name="_Toc192660639"/>
      <w:r w:rsidRPr="00720107">
        <w:rPr>
          <w:rFonts w:eastAsia="Times New Roman"/>
        </w:rPr>
        <w:t>Identifying candidate precipitant drugs and time exposed</w:t>
      </w:r>
      <w:bookmarkEnd w:id="4"/>
    </w:p>
    <w:bookmarkEnd w:id="3"/>
    <w:p w14:paraId="7683BC97" w14:textId="77777777" w:rsidR="00375933" w:rsidRPr="00720107" w:rsidRDefault="00375933" w:rsidP="00720107">
      <w:r w:rsidRPr="00720107">
        <w:t xml:space="preserve">Prior to constructing precipitant use episodes, we restricted the list of potential precipitant medications for efficiency. </w:t>
      </w:r>
    </w:p>
    <w:p w14:paraId="5F2494F9" w14:textId="4F31E9AD" w:rsidR="00304037" w:rsidRPr="00720107" w:rsidRDefault="00AA16C2" w:rsidP="00720107">
      <w:r w:rsidRPr="00720107">
        <w:t xml:space="preserve">We identified oral prescription drugs that were frequently co-prescribed with clopidogrel by first ascertaining the top 100 medication names in Part D claims based on the frequency of dispensings during the study period for beneficiaries included in either the major bleeding or FRI cohorts. </w:t>
      </w:r>
      <w:r w:rsidR="00375933" w:rsidRPr="00720107">
        <w:t>We</w:t>
      </w:r>
      <w:r w:rsidRPr="00720107">
        <w:t xml:space="preserve"> also considered drugs belonging to classes suspected of interacting with clopidogrel, which are listed in </w:t>
      </w:r>
      <w:r w:rsidR="00AE51C7" w:rsidRPr="00AE51C7">
        <w:rPr>
          <w:b/>
        </w:rPr>
        <w:t xml:space="preserve">Additional Technical </w:t>
      </w:r>
      <w:r w:rsidR="00AE51C7">
        <w:rPr>
          <w:b/>
        </w:rPr>
        <w:t xml:space="preserve">Table 1 </w:t>
      </w:r>
      <w:r w:rsidR="00AE51C7" w:rsidRPr="00AE51C7">
        <w:rPr>
          <w:bCs/>
        </w:rPr>
        <w:t>below</w:t>
      </w:r>
      <w:r w:rsidRPr="00720107">
        <w:t xml:space="preserve">. </w:t>
      </w:r>
      <w:r w:rsidR="00304037" w:rsidRPr="00720107">
        <w:t>Medications that had multiple names in Part D were categorized as a single drug (e.g., atorvastatin and atorvastatin calcium)</w:t>
      </w:r>
      <w:r w:rsidR="00CE6F0B" w:rsidRPr="00720107">
        <w:t>.</w:t>
      </w:r>
    </w:p>
    <w:p w14:paraId="72D04A3A" w14:textId="3424B84A" w:rsidR="00375933" w:rsidRPr="00720107" w:rsidRDefault="00AA16C2" w:rsidP="00720107">
      <w:r w:rsidRPr="00720107">
        <w:lastRenderedPageBreak/>
        <w:t xml:space="preserve">Among the medications identified from either source, we constructed precipitant use episodes using the dates of medication dispensing and days of medication supplied without the addition of any grace periods. We only screened precipitants if 30 or more residents in the cohort initiated the drug (with at least 6 months washout without use) during their observation windows. </w:t>
      </w:r>
      <w:r w:rsidR="00375933" w:rsidRPr="00720107">
        <w:t xml:space="preserve">While some drugs identified in this way belonged to classes suspected of interaction with clopidogrel, all were in the top 100. </w:t>
      </w:r>
      <w:r w:rsidR="00634E87">
        <w:t xml:space="preserve">Further, many of the top 100 drugs didn’t have sufficient data to be advanced to screening. </w:t>
      </w:r>
      <w:r w:rsidR="00375933" w:rsidRPr="00720107">
        <w:t xml:space="preserve">Thus, </w:t>
      </w:r>
      <w:r w:rsidR="00634E87">
        <w:t>the process of reducing the list of potential precipitant medications did</w:t>
      </w:r>
      <w:r w:rsidR="00375933" w:rsidRPr="00720107">
        <w:t xml:space="preserve"> an impact in the selection of drugs that were </w:t>
      </w:r>
      <w:proofErr w:type="gramStart"/>
      <w:r w:rsidR="00634E87">
        <w:t xml:space="preserve">actually </w:t>
      </w:r>
      <w:r w:rsidR="00375933" w:rsidRPr="00720107">
        <w:t>advanced</w:t>
      </w:r>
      <w:proofErr w:type="gramEnd"/>
      <w:r w:rsidR="00375933" w:rsidRPr="00720107">
        <w:t xml:space="preserve"> to screening. </w:t>
      </w:r>
      <w:r w:rsidRPr="00720107">
        <w:t xml:space="preserve"> </w:t>
      </w:r>
    </w:p>
    <w:p w14:paraId="1E4E7860" w14:textId="7D84A1D4" w:rsidR="00EA243E" w:rsidRPr="00B574A8" w:rsidRDefault="00BD146F" w:rsidP="00B574A8">
      <w:r w:rsidRPr="00720107">
        <w:t>Time within an observation window was only considered precipitant-exposed if the medication was initiated (with at least 6 months washout without use) during that observation window. All other time in the observation window was considered precipitant-unexposed</w:t>
      </w:r>
      <w:r w:rsidR="001E0B40">
        <w:t xml:space="preserve"> (</w:t>
      </w:r>
      <w:r w:rsidR="00AE51C7">
        <w:rPr>
          <w:b/>
        </w:rPr>
        <w:t>Additional Technical Figure</w:t>
      </w:r>
      <w:r w:rsidR="001E0B40">
        <w:rPr>
          <w:b/>
        </w:rPr>
        <w:t xml:space="preserve"> 2</w:t>
      </w:r>
      <w:r w:rsidR="001E0B40">
        <w:t>)</w:t>
      </w:r>
      <w:r w:rsidRPr="00720107">
        <w:t xml:space="preserve">. </w:t>
      </w:r>
      <w:r w:rsidR="00634E87">
        <w:t>This</w:t>
      </w:r>
      <w:r w:rsidRPr="00720107">
        <w:t xml:space="preserve"> exposure classification scheme may have led to some misclassification (of prevalent use time as unexposed)</w:t>
      </w:r>
      <w:r w:rsidR="00634E87">
        <w:t>. However,</w:t>
      </w:r>
      <w:r w:rsidRPr="00720107">
        <w:t xml:space="preserve"> under the assumption that most time at risk occurs shortly after precipitant initiation, this decision should have led to less misclassification than if such prevalent use time was categorized as new use. Had we enough data, we </w:t>
      </w:r>
      <w:r w:rsidR="001E0B40">
        <w:t xml:space="preserve">planned to </w:t>
      </w:r>
      <w:r w:rsidR="002B63B7">
        <w:t xml:space="preserve">perform </w:t>
      </w:r>
      <w:r w:rsidR="00D0438A">
        <w:t>stability</w:t>
      </w:r>
      <w:r w:rsidR="002B63B7">
        <w:t xml:space="preserve"> analyses in which we</w:t>
      </w:r>
      <w:r w:rsidRPr="00720107">
        <w:t xml:space="preserve"> accounted for this with additional precipitant exposure categories for prevalent use time or time since initiating precipitant</w:t>
      </w:r>
      <w:r w:rsidR="001E0B40">
        <w:t xml:space="preserve"> (</w:t>
      </w:r>
      <w:r w:rsidR="00AE51C7">
        <w:rPr>
          <w:b/>
        </w:rPr>
        <w:t>Additional Technical</w:t>
      </w:r>
      <w:r w:rsidR="00AE51C7">
        <w:rPr>
          <w:b/>
        </w:rPr>
        <w:t xml:space="preserve"> Figure</w:t>
      </w:r>
      <w:r w:rsidR="001E0B40" w:rsidRPr="001E0B40">
        <w:rPr>
          <w:b/>
        </w:rPr>
        <w:t xml:space="preserve"> 3</w:t>
      </w:r>
      <w:r w:rsidR="001E0B40">
        <w:t>)</w:t>
      </w:r>
      <w:r w:rsidRPr="00720107">
        <w:t>.</w:t>
      </w:r>
    </w:p>
    <w:p w14:paraId="6E561140" w14:textId="495F3CE6" w:rsidR="00D80C6B" w:rsidRPr="00720107" w:rsidRDefault="00A97250" w:rsidP="00720107">
      <w:r>
        <w:t>Precipitant e</w:t>
      </w:r>
      <w:r w:rsidR="00D80C6B" w:rsidRPr="00720107">
        <w:t xml:space="preserve">xposed days could occur before and/or after unexposed days. Variation in the use of the precipitant drug was not required; thus, an individual could contribute only exposed days or only unexposed days and still be included. </w:t>
      </w:r>
      <w:r>
        <w:t>(</w:t>
      </w:r>
      <w:r w:rsidR="00D80C6B" w:rsidRPr="00720107">
        <w:t>However, since no covariates were included in the models, the results were equivalent to analyses in which only those with variation in exposure were included.</w:t>
      </w:r>
      <w:r>
        <w:t>)</w:t>
      </w:r>
      <w:r w:rsidR="00D80C6B" w:rsidRPr="00720107">
        <w:t xml:space="preserve"> </w:t>
      </w:r>
    </w:p>
    <w:p w14:paraId="76E0C0EE" w14:textId="2CC0F32C" w:rsidR="00D80C6B" w:rsidRPr="00720107" w:rsidRDefault="00D80C6B" w:rsidP="00720107">
      <w:pPr>
        <w:pStyle w:val="Heading3"/>
        <w:rPr>
          <w:rFonts w:eastAsia="Times New Roman"/>
        </w:rPr>
      </w:pPr>
      <w:bookmarkStart w:id="5" w:name="_Toc192660640"/>
      <w:r w:rsidRPr="00720107">
        <w:rPr>
          <w:rFonts w:eastAsia="Times New Roman"/>
        </w:rPr>
        <w:t xml:space="preserve">Statistical </w:t>
      </w:r>
      <w:r w:rsidRPr="00720107">
        <w:t>analyses</w:t>
      </w:r>
      <w:bookmarkEnd w:id="5"/>
    </w:p>
    <w:p w14:paraId="013DAA4B" w14:textId="33B0789C" w:rsidR="00336DD7" w:rsidRPr="00720107" w:rsidRDefault="00DA0F9C" w:rsidP="00720107">
      <w:r w:rsidRPr="00720107">
        <w:t>We had to scale back the complexity of the statistical analyses we implemented after confronting the sample size constraints of our data. We originally planned to look at time since initiating clopidogrel as an effect modifier. We also abandoned plans</w:t>
      </w:r>
      <w:r w:rsidR="00336DD7" w:rsidRPr="00720107">
        <w:t xml:space="preserve"> to include </w:t>
      </w:r>
      <w:r w:rsidRPr="00720107">
        <w:t xml:space="preserve">time-varying covariates in our models, including age, average daily dose, and history of outcome. In terms of precipitant exposure categorization, we hoped to do </w:t>
      </w:r>
      <w:r w:rsidR="00D0438A">
        <w:t>stability</w:t>
      </w:r>
      <w:r w:rsidRPr="00720107">
        <w:t xml:space="preserve"> analyses in which we created a separate exposure category for prevalent use of the precipitant, rather maintaining the binary exposure categorizing and categorizing this time as unexposed. </w:t>
      </w:r>
    </w:p>
    <w:p w14:paraId="27565C47" w14:textId="4FCAD00E" w:rsidR="00D80C6B" w:rsidRPr="00720107" w:rsidRDefault="00D80C6B" w:rsidP="00720107">
      <w:pPr>
        <w:pStyle w:val="Heading3"/>
        <w:rPr>
          <w:rFonts w:eastAsia="Times New Roman"/>
        </w:rPr>
      </w:pPr>
      <w:bookmarkStart w:id="6" w:name="_Toc192660641"/>
      <w:r w:rsidRPr="00720107">
        <w:rPr>
          <w:rFonts w:eastAsia="Times New Roman"/>
        </w:rPr>
        <w:t xml:space="preserve">Expert </w:t>
      </w:r>
      <w:r w:rsidRPr="00720107">
        <w:t>Panel</w:t>
      </w:r>
      <w:bookmarkEnd w:id="6"/>
    </w:p>
    <w:p w14:paraId="329C8D44" w14:textId="51F1AE73" w:rsidR="00F02028" w:rsidRPr="00720107" w:rsidRDefault="00F02028" w:rsidP="00720107">
      <w:r w:rsidRPr="00720107">
        <w:t xml:space="preserve">Panel members were selected after reviewing evidence of expertise and accounting for potential conflicts of interest. </w:t>
      </w:r>
      <w:r w:rsidR="00832741" w:rsidRPr="00720107">
        <w:t xml:space="preserve">Panel members were financially compensated for their time. </w:t>
      </w:r>
    </w:p>
    <w:p w14:paraId="371EE656" w14:textId="39DF6DCD" w:rsidR="00421BBA" w:rsidRPr="00AE51C7" w:rsidRDefault="00AE51C7" w:rsidP="00720107">
      <w:pPr>
        <w:pStyle w:val="Heading2"/>
        <w:rPr>
          <w:rFonts w:eastAsia="Times New Roman"/>
          <w:bCs/>
        </w:rPr>
      </w:pPr>
      <w:bookmarkStart w:id="7" w:name="_Toc192660642"/>
      <w:r w:rsidRPr="00AE51C7">
        <w:rPr>
          <w:bCs/>
        </w:rPr>
        <w:t xml:space="preserve">Additional Technical </w:t>
      </w:r>
      <w:r w:rsidR="00421BBA" w:rsidRPr="00AE51C7">
        <w:rPr>
          <w:bCs/>
        </w:rPr>
        <w:t>Tables</w:t>
      </w:r>
      <w:bookmarkEnd w:id="7"/>
    </w:p>
    <w:p w14:paraId="37774337" w14:textId="513B7B3F" w:rsidR="00421BBA" w:rsidRPr="00AE51C7" w:rsidRDefault="00AE51C7" w:rsidP="001E0B40">
      <w:pPr>
        <w:pStyle w:val="Heading3"/>
        <w:rPr>
          <w:bCs/>
        </w:rPr>
      </w:pPr>
      <w:bookmarkStart w:id="8" w:name="_Toc192660643"/>
      <w:r w:rsidRPr="00AE51C7">
        <w:rPr>
          <w:bCs/>
        </w:rPr>
        <w:t xml:space="preserve">Additional Technical </w:t>
      </w:r>
      <w:r w:rsidR="00421BBA" w:rsidRPr="00AE51C7">
        <w:rPr>
          <w:bCs/>
        </w:rPr>
        <w:t xml:space="preserve">Table </w:t>
      </w:r>
      <w:r w:rsidR="00AA16C2" w:rsidRPr="00AE51C7">
        <w:rPr>
          <w:bCs/>
        </w:rPr>
        <w:t>1</w:t>
      </w:r>
      <w:r w:rsidR="00421BBA" w:rsidRPr="00AE51C7">
        <w:rPr>
          <w:bCs/>
        </w:rPr>
        <w:t>. Medications most likely to interact with clopidogrel.</w:t>
      </w:r>
      <w:bookmarkEnd w:id="8"/>
    </w:p>
    <w:tbl>
      <w:tblPr>
        <w:tblStyle w:val="TableGrid"/>
        <w:tblW w:w="0" w:type="auto"/>
        <w:tblLook w:val="04A0" w:firstRow="1" w:lastRow="0" w:firstColumn="1" w:lastColumn="0" w:noHBand="0" w:noVBand="1"/>
      </w:tblPr>
      <w:tblGrid>
        <w:gridCol w:w="3116"/>
        <w:gridCol w:w="3117"/>
        <w:gridCol w:w="3117"/>
      </w:tblGrid>
      <w:tr w:rsidR="00421BBA" w:rsidRPr="00421BBA" w14:paraId="1515B81A" w14:textId="77777777" w:rsidTr="00C21DD5">
        <w:tc>
          <w:tcPr>
            <w:tcW w:w="3116" w:type="dxa"/>
          </w:tcPr>
          <w:p w14:paraId="755A63E1" w14:textId="77777777" w:rsidR="00421BBA" w:rsidRPr="00421BBA" w:rsidRDefault="00421BBA" w:rsidP="005016B1">
            <w:pPr>
              <w:spacing w:after="160" w:line="276" w:lineRule="auto"/>
              <w:rPr>
                <w:rFonts w:ascii="Arial" w:hAnsi="Arial" w:cs="Arial"/>
                <w:b/>
                <w:sz w:val="20"/>
                <w:szCs w:val="20"/>
              </w:rPr>
            </w:pPr>
            <w:r w:rsidRPr="00421BBA">
              <w:rPr>
                <w:rFonts w:ascii="Arial" w:hAnsi="Arial" w:cs="Arial"/>
                <w:b/>
                <w:sz w:val="20"/>
                <w:szCs w:val="20"/>
              </w:rPr>
              <w:t>Medication Class</w:t>
            </w:r>
          </w:p>
        </w:tc>
        <w:tc>
          <w:tcPr>
            <w:tcW w:w="3117" w:type="dxa"/>
          </w:tcPr>
          <w:p w14:paraId="27B692D8" w14:textId="77777777" w:rsidR="00421BBA" w:rsidRPr="00421BBA" w:rsidRDefault="00421BBA" w:rsidP="005016B1">
            <w:pPr>
              <w:spacing w:after="160" w:line="276" w:lineRule="auto"/>
              <w:rPr>
                <w:rFonts w:ascii="Arial" w:hAnsi="Arial" w:cs="Arial"/>
                <w:b/>
                <w:sz w:val="20"/>
                <w:szCs w:val="20"/>
              </w:rPr>
            </w:pPr>
            <w:r w:rsidRPr="00421BBA">
              <w:rPr>
                <w:rFonts w:ascii="Arial" w:hAnsi="Arial" w:cs="Arial"/>
                <w:b/>
                <w:sz w:val="20"/>
                <w:szCs w:val="20"/>
              </w:rPr>
              <w:t>Mechanism of Interaction with Clopidogrel</w:t>
            </w:r>
          </w:p>
        </w:tc>
        <w:tc>
          <w:tcPr>
            <w:tcW w:w="3117" w:type="dxa"/>
          </w:tcPr>
          <w:p w14:paraId="222C35B9" w14:textId="77777777" w:rsidR="00421BBA" w:rsidRPr="00421BBA" w:rsidRDefault="00421BBA" w:rsidP="005016B1">
            <w:pPr>
              <w:spacing w:after="160" w:line="276" w:lineRule="auto"/>
              <w:rPr>
                <w:rFonts w:ascii="Arial" w:hAnsi="Arial" w:cs="Arial"/>
                <w:b/>
                <w:sz w:val="20"/>
                <w:szCs w:val="20"/>
              </w:rPr>
            </w:pPr>
            <w:r w:rsidRPr="00421BBA">
              <w:rPr>
                <w:rFonts w:ascii="Arial" w:hAnsi="Arial" w:cs="Arial"/>
                <w:b/>
                <w:sz w:val="20"/>
                <w:szCs w:val="20"/>
              </w:rPr>
              <w:t>Expected Outcome of Drug-Drug Interaction</w:t>
            </w:r>
          </w:p>
        </w:tc>
      </w:tr>
      <w:tr w:rsidR="00421BBA" w:rsidRPr="00421BBA" w14:paraId="1E9D73DD" w14:textId="77777777" w:rsidTr="00C21DD5">
        <w:tc>
          <w:tcPr>
            <w:tcW w:w="3116" w:type="dxa"/>
          </w:tcPr>
          <w:p w14:paraId="7D447244"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color w:val="1C1D1E"/>
                <w:sz w:val="20"/>
                <w:szCs w:val="20"/>
                <w:shd w:val="clear" w:color="auto" w:fill="FFFFFF"/>
              </w:rPr>
              <w:t>Proton Pump Inhibitors</w:t>
            </w:r>
          </w:p>
        </w:tc>
        <w:tc>
          <w:tcPr>
            <w:tcW w:w="3117" w:type="dxa"/>
          </w:tcPr>
          <w:p w14:paraId="45E09D14"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Inhibition of CYP2C19</w:t>
            </w:r>
          </w:p>
        </w:tc>
        <w:tc>
          <w:tcPr>
            <w:tcW w:w="3117" w:type="dxa"/>
          </w:tcPr>
          <w:p w14:paraId="54F6E434"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Reduced antiplatelet effect of clopidogrel</w:t>
            </w:r>
          </w:p>
        </w:tc>
      </w:tr>
      <w:tr w:rsidR="00421BBA" w:rsidRPr="00421BBA" w14:paraId="7B5E382C" w14:textId="77777777" w:rsidTr="00C21DD5">
        <w:tc>
          <w:tcPr>
            <w:tcW w:w="3116" w:type="dxa"/>
          </w:tcPr>
          <w:p w14:paraId="19729804"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color w:val="1C1D1E"/>
                <w:sz w:val="20"/>
                <w:szCs w:val="20"/>
                <w:shd w:val="clear" w:color="auto" w:fill="FFFFFF"/>
              </w:rPr>
              <w:t>Selective Serotonin Reuptake Inhibitors</w:t>
            </w:r>
          </w:p>
        </w:tc>
        <w:tc>
          <w:tcPr>
            <w:tcW w:w="3117" w:type="dxa"/>
          </w:tcPr>
          <w:p w14:paraId="5C3E83CE"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Inhibition of CYP2C19 or CYP3A4</w:t>
            </w:r>
          </w:p>
          <w:p w14:paraId="65535212" w14:textId="77777777" w:rsidR="00421BBA" w:rsidRPr="00421BBA" w:rsidRDefault="00421BBA" w:rsidP="005016B1">
            <w:pPr>
              <w:spacing w:after="160" w:line="276" w:lineRule="auto"/>
              <w:rPr>
                <w:rFonts w:ascii="Arial" w:hAnsi="Arial" w:cs="Arial"/>
                <w:sz w:val="20"/>
                <w:szCs w:val="20"/>
              </w:rPr>
            </w:pPr>
          </w:p>
          <w:p w14:paraId="48806D62"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Both clopidogrel and selective serotonin reuptake inhibitors inhibit platelet aggregation</w:t>
            </w:r>
          </w:p>
        </w:tc>
        <w:tc>
          <w:tcPr>
            <w:tcW w:w="3117" w:type="dxa"/>
          </w:tcPr>
          <w:p w14:paraId="01F11136"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lastRenderedPageBreak/>
              <w:t>Reduced antiplatelet effect of clopidogrel</w:t>
            </w:r>
          </w:p>
          <w:p w14:paraId="182DF878" w14:textId="77777777" w:rsidR="00421BBA" w:rsidRPr="00421BBA" w:rsidRDefault="00421BBA" w:rsidP="005016B1">
            <w:pPr>
              <w:spacing w:after="160" w:line="276" w:lineRule="auto"/>
              <w:rPr>
                <w:rFonts w:ascii="Arial" w:hAnsi="Arial" w:cs="Arial"/>
                <w:sz w:val="20"/>
                <w:szCs w:val="20"/>
              </w:rPr>
            </w:pPr>
          </w:p>
          <w:p w14:paraId="36A1E1BF"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Increased risk of bleeding</w:t>
            </w:r>
          </w:p>
        </w:tc>
      </w:tr>
      <w:tr w:rsidR="00421BBA" w:rsidRPr="00421BBA" w14:paraId="40A5C9A5" w14:textId="77777777" w:rsidTr="00C21DD5">
        <w:tc>
          <w:tcPr>
            <w:tcW w:w="3116" w:type="dxa"/>
          </w:tcPr>
          <w:p w14:paraId="689DDD61"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color w:val="1C1D1E"/>
                <w:sz w:val="20"/>
                <w:szCs w:val="20"/>
                <w:shd w:val="clear" w:color="auto" w:fill="FFFFFF"/>
              </w:rPr>
              <w:t>Statins</w:t>
            </w:r>
          </w:p>
        </w:tc>
        <w:tc>
          <w:tcPr>
            <w:tcW w:w="3117" w:type="dxa"/>
          </w:tcPr>
          <w:p w14:paraId="0B42B393"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Competition with CYP3A4 enzymes</w:t>
            </w:r>
          </w:p>
        </w:tc>
        <w:tc>
          <w:tcPr>
            <w:tcW w:w="3117" w:type="dxa"/>
          </w:tcPr>
          <w:p w14:paraId="18EFC002"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Reduced antiplatelet effect of clopidogrel</w:t>
            </w:r>
          </w:p>
        </w:tc>
      </w:tr>
      <w:tr w:rsidR="00421BBA" w:rsidRPr="00421BBA" w14:paraId="5BA525A5" w14:textId="77777777" w:rsidTr="00C21DD5">
        <w:tc>
          <w:tcPr>
            <w:tcW w:w="3116" w:type="dxa"/>
          </w:tcPr>
          <w:p w14:paraId="33358C45"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color w:val="1C1D1E"/>
                <w:sz w:val="20"/>
                <w:szCs w:val="20"/>
                <w:shd w:val="clear" w:color="auto" w:fill="FFFFFF"/>
              </w:rPr>
              <w:t>Anticoagulants</w:t>
            </w:r>
          </w:p>
        </w:tc>
        <w:tc>
          <w:tcPr>
            <w:tcW w:w="3117" w:type="dxa"/>
          </w:tcPr>
          <w:p w14:paraId="2852F7ED"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Both clopidogrel and anticoagulants affect hemostasis</w:t>
            </w:r>
          </w:p>
        </w:tc>
        <w:tc>
          <w:tcPr>
            <w:tcW w:w="3117" w:type="dxa"/>
          </w:tcPr>
          <w:p w14:paraId="11FE162B"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Increased risk of bleeding</w:t>
            </w:r>
          </w:p>
        </w:tc>
      </w:tr>
      <w:tr w:rsidR="00421BBA" w:rsidRPr="00421BBA" w14:paraId="0C419FA8" w14:textId="77777777" w:rsidTr="00C21DD5">
        <w:tc>
          <w:tcPr>
            <w:tcW w:w="3116" w:type="dxa"/>
          </w:tcPr>
          <w:p w14:paraId="69A2035B"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Nonsteroidal Anti-Inflammatory Drugs</w:t>
            </w:r>
          </w:p>
        </w:tc>
        <w:tc>
          <w:tcPr>
            <w:tcW w:w="3117" w:type="dxa"/>
          </w:tcPr>
          <w:p w14:paraId="0767A0CA"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Both clopidogrel and nonsteroidal anti-inflammatory drugs inhibit platelet aggregation</w:t>
            </w:r>
          </w:p>
        </w:tc>
        <w:tc>
          <w:tcPr>
            <w:tcW w:w="3117" w:type="dxa"/>
          </w:tcPr>
          <w:p w14:paraId="2D9019FC"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Increased risk of bleeding</w:t>
            </w:r>
          </w:p>
        </w:tc>
      </w:tr>
      <w:tr w:rsidR="00421BBA" w:rsidRPr="00421BBA" w14:paraId="5D8A7446" w14:textId="77777777" w:rsidTr="00C21DD5">
        <w:tc>
          <w:tcPr>
            <w:tcW w:w="3116" w:type="dxa"/>
          </w:tcPr>
          <w:p w14:paraId="4C96B1F8"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Calcium Channel Blockers</w:t>
            </w:r>
          </w:p>
        </w:tc>
        <w:tc>
          <w:tcPr>
            <w:tcW w:w="3117" w:type="dxa"/>
          </w:tcPr>
          <w:p w14:paraId="4C364AF0"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Inhibition of CYP3A4</w:t>
            </w:r>
          </w:p>
        </w:tc>
        <w:tc>
          <w:tcPr>
            <w:tcW w:w="3117" w:type="dxa"/>
          </w:tcPr>
          <w:p w14:paraId="59E5BCD7"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Reduced antiplatelet effect of clopidogrel</w:t>
            </w:r>
          </w:p>
        </w:tc>
      </w:tr>
      <w:tr w:rsidR="00421BBA" w:rsidRPr="00421BBA" w14:paraId="4892133B" w14:textId="77777777" w:rsidTr="00C21DD5">
        <w:tc>
          <w:tcPr>
            <w:tcW w:w="3116" w:type="dxa"/>
          </w:tcPr>
          <w:p w14:paraId="239B780D"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Macrolide Antibiotics</w:t>
            </w:r>
          </w:p>
        </w:tc>
        <w:tc>
          <w:tcPr>
            <w:tcW w:w="3117" w:type="dxa"/>
          </w:tcPr>
          <w:p w14:paraId="1E593D4D"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Inhibition of CYP3A4</w:t>
            </w:r>
          </w:p>
        </w:tc>
        <w:tc>
          <w:tcPr>
            <w:tcW w:w="3117" w:type="dxa"/>
          </w:tcPr>
          <w:p w14:paraId="60917DC0" w14:textId="77777777"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rPr>
              <w:t>Reduced antiplatelet effect of clopidogrel</w:t>
            </w:r>
          </w:p>
        </w:tc>
      </w:tr>
      <w:tr w:rsidR="00421BBA" w:rsidRPr="00421BBA" w14:paraId="278C82E9" w14:textId="77777777" w:rsidTr="00C21DD5">
        <w:tc>
          <w:tcPr>
            <w:tcW w:w="9350" w:type="dxa"/>
            <w:gridSpan w:val="3"/>
          </w:tcPr>
          <w:p w14:paraId="26F8882A" w14:textId="56E75324" w:rsidR="00421BBA" w:rsidRPr="00421BBA" w:rsidRDefault="00421BBA" w:rsidP="005016B1">
            <w:pPr>
              <w:spacing w:after="160" w:line="276" w:lineRule="auto"/>
              <w:rPr>
                <w:rFonts w:ascii="Arial" w:hAnsi="Arial" w:cs="Arial"/>
                <w:sz w:val="20"/>
                <w:szCs w:val="20"/>
              </w:rPr>
            </w:pPr>
            <w:r w:rsidRPr="00421BBA">
              <w:rPr>
                <w:rFonts w:ascii="Arial" w:hAnsi="Arial" w:cs="Arial"/>
                <w:sz w:val="20"/>
                <w:szCs w:val="20"/>
                <w:u w:val="single"/>
              </w:rPr>
              <w:t>Note</w:t>
            </w:r>
            <w:r w:rsidRPr="00421BBA">
              <w:rPr>
                <w:rFonts w:ascii="Arial" w:hAnsi="Arial" w:cs="Arial"/>
                <w:sz w:val="20"/>
                <w:szCs w:val="20"/>
              </w:rPr>
              <w:t xml:space="preserve">: Individual medications included in each class are listed in </w:t>
            </w:r>
            <w:r w:rsidRPr="00720107">
              <w:rPr>
                <w:rFonts w:ascii="Arial" w:hAnsi="Arial" w:cs="Arial"/>
                <w:sz w:val="20"/>
                <w:szCs w:val="20"/>
              </w:rPr>
              <w:t>excel file in GitHub</w:t>
            </w:r>
            <w:r w:rsidR="00A97250">
              <w:rPr>
                <w:rFonts w:ascii="Arial" w:hAnsi="Arial" w:cs="Arial"/>
                <w:sz w:val="20"/>
                <w:szCs w:val="20"/>
              </w:rPr>
              <w:t xml:space="preserve"> under the sheet “Drug Classes of Interest.”</w:t>
            </w:r>
          </w:p>
        </w:tc>
      </w:tr>
    </w:tbl>
    <w:p w14:paraId="5486DB57" w14:textId="77777777" w:rsidR="00421BBA" w:rsidRPr="00720107" w:rsidRDefault="00421BBA" w:rsidP="005016B1">
      <w:pPr>
        <w:spacing w:line="276" w:lineRule="auto"/>
        <w:rPr>
          <w:rFonts w:ascii="Arial" w:hAnsi="Arial" w:cs="Arial"/>
        </w:rPr>
      </w:pPr>
    </w:p>
    <w:p w14:paraId="75D01C63" w14:textId="0BD255C9" w:rsidR="00426F03" w:rsidRPr="00AE51C7" w:rsidRDefault="00AE51C7" w:rsidP="00181234">
      <w:pPr>
        <w:pStyle w:val="Heading2"/>
        <w:rPr>
          <w:bCs/>
        </w:rPr>
      </w:pPr>
      <w:bookmarkStart w:id="9" w:name="_Toc192660644"/>
      <w:r w:rsidRPr="00AE51C7">
        <w:rPr>
          <w:bCs/>
        </w:rPr>
        <w:t xml:space="preserve">Additional Technical </w:t>
      </w:r>
      <w:r w:rsidR="00426F03" w:rsidRPr="00AE51C7">
        <w:rPr>
          <w:bCs/>
        </w:rPr>
        <w:t>Figures</w:t>
      </w:r>
      <w:bookmarkEnd w:id="9"/>
    </w:p>
    <w:p w14:paraId="1E3FA65E" w14:textId="7ECFB1FA" w:rsidR="00426F03" w:rsidRPr="00AE51C7" w:rsidRDefault="00AE51C7" w:rsidP="00181234">
      <w:pPr>
        <w:pStyle w:val="Heading3"/>
        <w:rPr>
          <w:bCs/>
        </w:rPr>
      </w:pPr>
      <w:bookmarkStart w:id="10" w:name="_Toc192660645"/>
      <w:r w:rsidRPr="00AE51C7">
        <w:rPr>
          <w:bCs/>
        </w:rPr>
        <w:t>Additional Technical</w:t>
      </w:r>
      <w:r w:rsidRPr="00AE51C7">
        <w:rPr>
          <w:bCs/>
        </w:rPr>
        <w:t xml:space="preserve"> Figure</w:t>
      </w:r>
      <w:r w:rsidR="00426F03" w:rsidRPr="00AE51C7">
        <w:rPr>
          <w:bCs/>
        </w:rPr>
        <w:t xml:space="preserve"> 1: Constructing observation windows.</w:t>
      </w:r>
      <w:bookmarkEnd w:id="10"/>
    </w:p>
    <w:p w14:paraId="790624EC" w14:textId="3A6A5874" w:rsidR="00D80C6B" w:rsidRDefault="00181234" w:rsidP="005016B1">
      <w:pPr>
        <w:spacing w:line="276" w:lineRule="auto"/>
        <w:rPr>
          <w:rFonts w:ascii="Arial" w:hAnsi="Arial" w:cs="Arial"/>
        </w:rPr>
      </w:pPr>
      <w:r>
        <w:rPr>
          <w:rFonts w:ascii="Arial" w:hAnsi="Arial" w:cs="Arial"/>
          <w:noProof/>
        </w:rPr>
        <w:drawing>
          <wp:inline distT="0" distB="0" distL="0" distR="0" wp14:anchorId="1CD01B68" wp14:editId="20173DD3">
            <wp:extent cx="5941601" cy="1845276"/>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 figures.png"/>
                    <pic:cNvPicPr/>
                  </pic:nvPicPr>
                  <pic:blipFill rotWithShape="1">
                    <a:blip r:embed="rId4">
                      <a:extLst>
                        <a:ext uri="{28A0092B-C50C-407E-A947-70E740481C1C}">
                          <a14:useLocalDpi xmlns:a14="http://schemas.microsoft.com/office/drawing/2010/main" val="0"/>
                        </a:ext>
                      </a:extLst>
                    </a:blip>
                    <a:srcRect l="-3881" t="21438" r="3881" b="23350"/>
                    <a:stretch/>
                  </pic:blipFill>
                  <pic:spPr bwMode="auto">
                    <a:xfrm>
                      <a:off x="0" y="0"/>
                      <a:ext cx="5943600" cy="1845897"/>
                    </a:xfrm>
                    <a:prstGeom prst="rect">
                      <a:avLst/>
                    </a:prstGeom>
                    <a:ln>
                      <a:noFill/>
                    </a:ln>
                    <a:extLst>
                      <a:ext uri="{53640926-AAD7-44D8-BBD7-CCE9431645EC}">
                        <a14:shadowObscured xmlns:a14="http://schemas.microsoft.com/office/drawing/2010/main"/>
                      </a:ext>
                    </a:extLst>
                  </pic:spPr>
                </pic:pic>
              </a:graphicData>
            </a:graphic>
          </wp:inline>
        </w:drawing>
      </w:r>
    </w:p>
    <w:p w14:paraId="1DB318B0" w14:textId="47E69C11" w:rsidR="00426F03" w:rsidRPr="001E0B40" w:rsidRDefault="00181234" w:rsidP="001E0B40">
      <w:r w:rsidRPr="001E0B40">
        <w:t>Observation windows either began at clopidogrel initiation (for eligible individuals who were already in the NH) or the start of a period of non-SNF NH time (for eligible individuals who were already taking clopidogrel before NH entry). Clopidogrel had to meet eligibility criteria for a new use episode (</w:t>
      </w:r>
      <w:r w:rsidR="001E0B40" w:rsidRPr="001E0B40">
        <w:t>i.e., have</w:t>
      </w:r>
      <w:r w:rsidRPr="001E0B40">
        <w:t xml:space="preserve"> a 6-month washout period without clopidogrel or other prescription antiplatelet prior to the start of clopidogrel use episodes.</w:t>
      </w:r>
      <w:r w:rsidR="001E0B40" w:rsidRPr="001E0B40">
        <w:t>)</w:t>
      </w:r>
      <w:r w:rsidRPr="001E0B40">
        <w:t xml:space="preserve"> Observation windows ended at the first of: discontinuation of clopidogrel; switching from clopidogrel to an alternative prescription antiplatelet; disenrollment from Medicare Parts A, B, or D or enrollment in Medicare Advantage; discharge from the NH; death; or end of the study period.</w:t>
      </w:r>
      <w:r w:rsidR="00426F03" w:rsidRPr="001E0B40">
        <w:br w:type="page"/>
      </w:r>
    </w:p>
    <w:p w14:paraId="7D7C959E" w14:textId="3BA0F121" w:rsidR="00426F03" w:rsidRPr="00AE51C7" w:rsidRDefault="00AE51C7" w:rsidP="001E0B40">
      <w:pPr>
        <w:pStyle w:val="Heading3"/>
        <w:rPr>
          <w:bCs/>
        </w:rPr>
      </w:pPr>
      <w:bookmarkStart w:id="11" w:name="_Toc192660646"/>
      <w:r w:rsidRPr="00AE51C7">
        <w:rPr>
          <w:bCs/>
        </w:rPr>
        <w:lastRenderedPageBreak/>
        <w:t xml:space="preserve">Additional Technical </w:t>
      </w:r>
      <w:r w:rsidR="00426F03" w:rsidRPr="00AE51C7">
        <w:rPr>
          <w:bCs/>
        </w:rPr>
        <w:t>Figure 2: Identifying precipitant-exposed time</w:t>
      </w:r>
      <w:r w:rsidR="00181234" w:rsidRPr="00AE51C7">
        <w:rPr>
          <w:bCs/>
        </w:rPr>
        <w:t>.</w:t>
      </w:r>
      <w:bookmarkEnd w:id="11"/>
    </w:p>
    <w:p w14:paraId="2754964E" w14:textId="7316E794" w:rsidR="00426F03" w:rsidRDefault="00426F03" w:rsidP="005016B1">
      <w:pPr>
        <w:spacing w:line="276" w:lineRule="auto"/>
        <w:rPr>
          <w:rFonts w:ascii="Arial" w:hAnsi="Arial" w:cs="Arial"/>
        </w:rPr>
      </w:pPr>
      <w:r>
        <w:rPr>
          <w:rFonts w:ascii="Arial" w:hAnsi="Arial" w:cs="Arial"/>
          <w:noProof/>
        </w:rPr>
        <w:drawing>
          <wp:inline distT="0" distB="0" distL="0" distR="0" wp14:anchorId="3A05200E" wp14:editId="1516650C">
            <wp:extent cx="5941232" cy="198531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rotWithShape="1">
                    <a:blip r:embed="rId5">
                      <a:extLst>
                        <a:ext uri="{28A0092B-C50C-407E-A947-70E740481C1C}">
                          <a14:useLocalDpi xmlns:a14="http://schemas.microsoft.com/office/drawing/2010/main" val="0"/>
                        </a:ext>
                      </a:extLst>
                    </a:blip>
                    <a:srcRect t="6899" b="33695"/>
                    <a:stretch/>
                  </pic:blipFill>
                  <pic:spPr bwMode="auto">
                    <a:xfrm>
                      <a:off x="0" y="0"/>
                      <a:ext cx="5941232" cy="1985319"/>
                    </a:xfrm>
                    <a:prstGeom prst="rect">
                      <a:avLst/>
                    </a:prstGeom>
                    <a:ln>
                      <a:noFill/>
                    </a:ln>
                    <a:extLst>
                      <a:ext uri="{53640926-AAD7-44D8-BBD7-CCE9431645EC}">
                        <a14:shadowObscured xmlns:a14="http://schemas.microsoft.com/office/drawing/2010/main"/>
                      </a:ext>
                    </a:extLst>
                  </pic:spPr>
                </pic:pic>
              </a:graphicData>
            </a:graphic>
          </wp:inline>
        </w:drawing>
      </w:r>
    </w:p>
    <w:p w14:paraId="4990B4CE" w14:textId="6DEB5677" w:rsidR="00426F03" w:rsidRPr="00181234" w:rsidRDefault="00426F03" w:rsidP="00181234">
      <w:r w:rsidRPr="00181234">
        <w:t>Precipitant exposed time is limited to new use of precipitant (with a 6-month washout without use), initiated during that observation window. All other time is considered precipitant unexposed.</w:t>
      </w:r>
    </w:p>
    <w:p w14:paraId="786100C6" w14:textId="74FE0D5E" w:rsidR="00181234" w:rsidRDefault="00181234" w:rsidP="00426F03">
      <w:pPr>
        <w:spacing w:line="276" w:lineRule="auto"/>
        <w:rPr>
          <w:rFonts w:ascii="Arial" w:hAnsi="Arial" w:cs="Arial"/>
        </w:rPr>
      </w:pPr>
    </w:p>
    <w:p w14:paraId="5153BD24" w14:textId="77777777" w:rsidR="001E0B40" w:rsidRDefault="001E0B40" w:rsidP="00426F03">
      <w:pPr>
        <w:spacing w:line="276" w:lineRule="auto"/>
        <w:rPr>
          <w:rFonts w:ascii="Arial" w:hAnsi="Arial" w:cs="Arial"/>
        </w:rPr>
      </w:pPr>
    </w:p>
    <w:p w14:paraId="5974699A" w14:textId="352EE055" w:rsidR="00426F03" w:rsidRPr="00AE51C7" w:rsidRDefault="00AE51C7" w:rsidP="001E0B40">
      <w:pPr>
        <w:pStyle w:val="Heading3"/>
        <w:rPr>
          <w:bCs/>
        </w:rPr>
      </w:pPr>
      <w:bookmarkStart w:id="12" w:name="_Toc192660647"/>
      <w:r w:rsidRPr="00AE51C7">
        <w:rPr>
          <w:bCs/>
        </w:rPr>
        <w:t xml:space="preserve">Additional Technical </w:t>
      </w:r>
      <w:r w:rsidR="00426F03" w:rsidRPr="00AE51C7">
        <w:rPr>
          <w:bCs/>
        </w:rPr>
        <w:t>Figure 3: Unused plan for identifying precipitant-exposed time in stability analyses</w:t>
      </w:r>
      <w:r w:rsidR="00181234" w:rsidRPr="00AE51C7">
        <w:rPr>
          <w:bCs/>
        </w:rPr>
        <w:t>.</w:t>
      </w:r>
      <w:bookmarkEnd w:id="12"/>
    </w:p>
    <w:p w14:paraId="7DCEDC04" w14:textId="1986A4EE" w:rsidR="00426F03" w:rsidRDefault="00426F03" w:rsidP="005016B1">
      <w:pPr>
        <w:spacing w:line="276" w:lineRule="auto"/>
        <w:rPr>
          <w:rFonts w:ascii="Arial" w:hAnsi="Arial" w:cs="Arial"/>
        </w:rPr>
      </w:pPr>
      <w:r>
        <w:rPr>
          <w:rFonts w:ascii="Arial" w:hAnsi="Arial" w:cs="Arial"/>
          <w:noProof/>
        </w:rPr>
        <w:drawing>
          <wp:inline distT="0" distB="0" distL="0" distR="0" wp14:anchorId="1A4B5A9A" wp14:editId="66AF2C2B">
            <wp:extent cx="5940783" cy="1919417"/>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rotWithShape="1">
                    <a:blip r:embed="rId6">
                      <a:extLst>
                        <a:ext uri="{28A0092B-C50C-407E-A947-70E740481C1C}">
                          <a14:useLocalDpi xmlns:a14="http://schemas.microsoft.com/office/drawing/2010/main" val="0"/>
                        </a:ext>
                      </a:extLst>
                    </a:blip>
                    <a:srcRect t="8625" b="33937"/>
                    <a:stretch/>
                  </pic:blipFill>
                  <pic:spPr bwMode="auto">
                    <a:xfrm>
                      <a:off x="0" y="0"/>
                      <a:ext cx="5943600" cy="1920327"/>
                    </a:xfrm>
                    <a:prstGeom prst="rect">
                      <a:avLst/>
                    </a:prstGeom>
                    <a:ln>
                      <a:noFill/>
                    </a:ln>
                    <a:extLst>
                      <a:ext uri="{53640926-AAD7-44D8-BBD7-CCE9431645EC}">
                        <a14:shadowObscured xmlns:a14="http://schemas.microsoft.com/office/drawing/2010/main"/>
                      </a:ext>
                    </a:extLst>
                  </pic:spPr>
                </pic:pic>
              </a:graphicData>
            </a:graphic>
          </wp:inline>
        </w:drawing>
      </w:r>
    </w:p>
    <w:p w14:paraId="5D720976" w14:textId="138EA268" w:rsidR="00426F03" w:rsidRPr="00181234" w:rsidRDefault="00426F03" w:rsidP="00181234">
      <w:r w:rsidRPr="00181234">
        <w:t xml:space="preserve">We originally planned to run stability analyses in which prevalent use of the </w:t>
      </w:r>
      <w:r w:rsidR="00181234" w:rsidRPr="00181234">
        <w:t>precipitant</w:t>
      </w:r>
      <w:r w:rsidRPr="00181234">
        <w:t xml:space="preserve"> drug was given its own exposure category</w:t>
      </w:r>
      <w:r w:rsidR="00181234" w:rsidRPr="00181234">
        <w:t xml:space="preserve"> (“Type B precipitant exposed time”). Because of sample size constraints, we </w:t>
      </w:r>
      <w:r w:rsidR="00181234">
        <w:t xml:space="preserve">ultimately </w:t>
      </w:r>
      <w:r w:rsidR="00181234" w:rsidRPr="00181234">
        <w:t>did not run these analyses.</w:t>
      </w:r>
    </w:p>
    <w:sectPr w:rsidR="00426F03" w:rsidRPr="0018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6B"/>
    <w:rsid w:val="000834A3"/>
    <w:rsid w:val="00181234"/>
    <w:rsid w:val="001E0B40"/>
    <w:rsid w:val="00223ACC"/>
    <w:rsid w:val="00266276"/>
    <w:rsid w:val="002B63B7"/>
    <w:rsid w:val="00304037"/>
    <w:rsid w:val="00336DD7"/>
    <w:rsid w:val="00375933"/>
    <w:rsid w:val="003B2789"/>
    <w:rsid w:val="00421BBA"/>
    <w:rsid w:val="00426F03"/>
    <w:rsid w:val="005016B1"/>
    <w:rsid w:val="00634E87"/>
    <w:rsid w:val="00720107"/>
    <w:rsid w:val="00832741"/>
    <w:rsid w:val="008D2213"/>
    <w:rsid w:val="00A52C32"/>
    <w:rsid w:val="00A97250"/>
    <w:rsid w:val="00AA16C2"/>
    <w:rsid w:val="00AC2AD5"/>
    <w:rsid w:val="00AE51C7"/>
    <w:rsid w:val="00B574A8"/>
    <w:rsid w:val="00BD146F"/>
    <w:rsid w:val="00C218FA"/>
    <w:rsid w:val="00CE6F0B"/>
    <w:rsid w:val="00D0438A"/>
    <w:rsid w:val="00D80C6B"/>
    <w:rsid w:val="00DA0F9C"/>
    <w:rsid w:val="00E9278D"/>
    <w:rsid w:val="00EA243E"/>
    <w:rsid w:val="00EC3C03"/>
    <w:rsid w:val="00F02028"/>
    <w:rsid w:val="00F4071C"/>
    <w:rsid w:val="00FA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F813"/>
  <w15:chartTrackingRefBased/>
  <w15:docId w15:val="{0CF1D68A-3EAE-4E8F-A9F7-E3DD9B2D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2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51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C6B"/>
    <w:pPr>
      <w:spacing w:after="0" w:line="240" w:lineRule="auto"/>
    </w:pPr>
    <w:rPr>
      <w:rFonts w:eastAsia="Times New Roman" w:cs="Times New Roman"/>
    </w:rPr>
  </w:style>
  <w:style w:type="paragraph" w:styleId="CommentText">
    <w:name w:val="annotation text"/>
    <w:basedOn w:val="Normal"/>
    <w:link w:val="CommentTextChar"/>
    <w:uiPriority w:val="99"/>
    <w:unhideWhenUsed/>
    <w:rsid w:val="00D80C6B"/>
    <w:pPr>
      <w:spacing w:after="0" w:line="240" w:lineRule="auto"/>
    </w:pPr>
    <w:rPr>
      <w:rFonts w:eastAsia="Times New Roman" w:cs="Times New Roman"/>
      <w:kern w:val="2"/>
      <w:sz w:val="20"/>
      <w:szCs w:val="20"/>
    </w:rPr>
  </w:style>
  <w:style w:type="character" w:customStyle="1" w:styleId="CommentTextChar">
    <w:name w:val="Comment Text Char"/>
    <w:basedOn w:val="DefaultParagraphFont"/>
    <w:link w:val="CommentText"/>
    <w:uiPriority w:val="99"/>
    <w:rsid w:val="00D80C6B"/>
    <w:rPr>
      <w:rFonts w:eastAsia="Times New Roman" w:cs="Times New Roman"/>
      <w:kern w:val="2"/>
      <w:sz w:val="20"/>
      <w:szCs w:val="20"/>
    </w:rPr>
  </w:style>
  <w:style w:type="character" w:customStyle="1" w:styleId="NoSpacingChar">
    <w:name w:val="No Spacing Char"/>
    <w:link w:val="NoSpacing"/>
    <w:uiPriority w:val="1"/>
    <w:locked/>
    <w:rsid w:val="00D80C6B"/>
    <w:rPr>
      <w:rFonts w:eastAsia="Times New Roman" w:cs="Times New Roman"/>
    </w:rPr>
  </w:style>
  <w:style w:type="character" w:styleId="CommentReference">
    <w:name w:val="annotation reference"/>
    <w:basedOn w:val="DefaultParagraphFont"/>
    <w:uiPriority w:val="99"/>
    <w:semiHidden/>
    <w:unhideWhenUsed/>
    <w:rsid w:val="00D80C6B"/>
    <w:rPr>
      <w:rFonts w:cs="Times New Roman"/>
      <w:sz w:val="16"/>
      <w:szCs w:val="16"/>
    </w:rPr>
  </w:style>
  <w:style w:type="character" w:styleId="Hyperlink">
    <w:name w:val="Hyperlink"/>
    <w:basedOn w:val="DefaultParagraphFont"/>
    <w:uiPriority w:val="99"/>
    <w:unhideWhenUsed/>
    <w:rsid w:val="00D80C6B"/>
    <w:rPr>
      <w:rFonts w:cs="Times New Roman"/>
      <w:color w:val="0563C1" w:themeColor="hyperlink"/>
      <w:u w:val="single"/>
    </w:rPr>
  </w:style>
  <w:style w:type="paragraph" w:styleId="BalloonText">
    <w:name w:val="Balloon Text"/>
    <w:basedOn w:val="Normal"/>
    <w:link w:val="BalloonTextChar"/>
    <w:uiPriority w:val="99"/>
    <w:semiHidden/>
    <w:unhideWhenUsed/>
    <w:rsid w:val="00D80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C6B"/>
    <w:rPr>
      <w:rFonts w:ascii="Segoe UI" w:hAnsi="Segoe UI" w:cs="Segoe UI"/>
      <w:sz w:val="18"/>
      <w:szCs w:val="18"/>
    </w:rPr>
  </w:style>
  <w:style w:type="character" w:customStyle="1" w:styleId="Heading2Char">
    <w:name w:val="Heading 2 Char"/>
    <w:basedOn w:val="DefaultParagraphFont"/>
    <w:link w:val="Heading2"/>
    <w:uiPriority w:val="9"/>
    <w:rsid w:val="003B27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27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2789"/>
    <w:pPr>
      <w:outlineLvl w:val="9"/>
    </w:pPr>
  </w:style>
  <w:style w:type="paragraph" w:styleId="TOC2">
    <w:name w:val="toc 2"/>
    <w:basedOn w:val="Normal"/>
    <w:next w:val="Normal"/>
    <w:autoRedefine/>
    <w:uiPriority w:val="39"/>
    <w:unhideWhenUsed/>
    <w:rsid w:val="003B2789"/>
    <w:pPr>
      <w:spacing w:after="100"/>
      <w:ind w:left="220"/>
    </w:pPr>
  </w:style>
  <w:style w:type="character" w:customStyle="1" w:styleId="Heading3Char">
    <w:name w:val="Heading 3 Char"/>
    <w:basedOn w:val="DefaultParagraphFont"/>
    <w:link w:val="Heading3"/>
    <w:uiPriority w:val="9"/>
    <w:rsid w:val="003B278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789"/>
    <w:pPr>
      <w:spacing w:after="100"/>
      <w:ind w:left="440"/>
    </w:pPr>
  </w:style>
  <w:style w:type="table" w:styleId="TableGrid">
    <w:name w:val="Table Grid"/>
    <w:basedOn w:val="TableNormal"/>
    <w:uiPriority w:val="39"/>
    <w:rsid w:val="00421BBA"/>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20107"/>
    <w:pPr>
      <w:spacing w:after="160"/>
    </w:pPr>
    <w:rPr>
      <w:rFonts w:eastAsiaTheme="minorHAnsi" w:cstheme="minorBidi"/>
      <w:b/>
      <w:bCs/>
      <w:kern w:val="0"/>
    </w:rPr>
  </w:style>
  <w:style w:type="character" w:customStyle="1" w:styleId="CommentSubjectChar">
    <w:name w:val="Comment Subject Char"/>
    <w:basedOn w:val="CommentTextChar"/>
    <w:link w:val="CommentSubject"/>
    <w:uiPriority w:val="99"/>
    <w:semiHidden/>
    <w:rsid w:val="00720107"/>
    <w:rPr>
      <w:rFonts w:eastAsia="Times New Roman" w:cs="Times New Roman"/>
      <w:b/>
      <w:bCs/>
      <w:kern w:val="2"/>
      <w:sz w:val="20"/>
      <w:szCs w:val="20"/>
    </w:rPr>
  </w:style>
  <w:style w:type="paragraph" w:styleId="TOC1">
    <w:name w:val="toc 1"/>
    <w:basedOn w:val="Normal"/>
    <w:next w:val="Normal"/>
    <w:autoRedefine/>
    <w:uiPriority w:val="39"/>
    <w:unhideWhenUsed/>
    <w:rsid w:val="00D0438A"/>
    <w:pPr>
      <w:spacing w:after="100"/>
    </w:pPr>
  </w:style>
  <w:style w:type="character" w:customStyle="1" w:styleId="Heading4Char">
    <w:name w:val="Heading 4 Char"/>
    <w:basedOn w:val="DefaultParagraphFont"/>
    <w:link w:val="Heading4"/>
    <w:uiPriority w:val="9"/>
    <w:rsid w:val="00AE51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2763</TotalTime>
  <Pages>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DAmico</dc:creator>
  <cp:keywords/>
  <dc:description/>
  <cp:lastModifiedBy>D'Amico, Adam</cp:lastModifiedBy>
  <cp:revision>17</cp:revision>
  <dcterms:created xsi:type="dcterms:W3CDTF">2025-03-05T18:19:00Z</dcterms:created>
  <dcterms:modified xsi:type="dcterms:W3CDTF">2025-03-12T12:44:00Z</dcterms:modified>
</cp:coreProperties>
</file>