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8198E" w14:textId="7B3063EA" w:rsidR="006723CF" w:rsidRPr="008C16C2" w:rsidRDefault="006723CF">
      <w:pPr>
        <w:rPr>
          <w:b/>
          <w:bCs/>
        </w:rPr>
      </w:pPr>
      <w:r w:rsidRPr="008C16C2">
        <w:rPr>
          <w:b/>
          <w:bCs/>
        </w:rPr>
        <w:t>Cohort Creation</w:t>
      </w:r>
    </w:p>
    <w:p w14:paraId="71C92662" w14:textId="221DC7D9" w:rsidR="006723CF" w:rsidRDefault="006723CF">
      <w:r>
        <w:t>Abbreviations: ADRD-Alzheimer's disease and related dementias, AMI-acute myocardial infarction, COPD-chronic obstructive pulmonary disease, FFS – fee-for-service, MBSF – master beneficiary summary file, CCW-chronic conditions data warehouse</w:t>
      </w:r>
      <w:r w:rsidR="00FF0ECD">
        <w:t>, SNF-skilled nursing facility, NJ-SHO-New Jersey Safety and Health Outcomes Data Warehouse</w:t>
      </w:r>
    </w:p>
    <w:p w14:paraId="0B805D7D" w14:textId="4B2D65CD" w:rsidR="006723CF" w:rsidRDefault="006723CF" w:rsidP="006723CF">
      <w:pPr>
        <w:pStyle w:val="ListParagraph"/>
        <w:numPr>
          <w:ilvl w:val="0"/>
          <w:numId w:val="1"/>
        </w:numPr>
      </w:pPr>
      <w:r>
        <w:t>Initial groups</w:t>
      </w:r>
    </w:p>
    <w:p w14:paraId="6B656589" w14:textId="154908CA" w:rsidR="006723CF" w:rsidRDefault="006723CF" w:rsidP="006723CF">
      <w:pPr>
        <w:pStyle w:val="ListParagraph"/>
        <w:numPr>
          <w:ilvl w:val="1"/>
          <w:numId w:val="1"/>
        </w:numPr>
      </w:pPr>
      <w:r>
        <w:t>Bynum-Standard based ADRD diagnosis</w:t>
      </w:r>
      <w:r w:rsidR="00C8466F">
        <w:fldChar w:fldCharType="begin"/>
      </w:r>
      <w:r w:rsidR="00C8466F">
        <w:instrText xml:space="preserve"> ADDIN ZOTERO_ITEM CSL_CITATION {"citationID":"wwRVtc1j","properties":{"formattedCitation":"\\super 1\\nosupersub{}","plainCitation":"1","noteIndex":0},"citationItems":[{"id":13,"uris":["http://zotero.org/users/local/AKuUCEP4/items/FJGQGRVD"],"itemData":{"id":13,"type":"article-journal","abstract":"Background\nUsing billing data generated through health care delivery to identify individuals with dementia has become important in research. To inform tradeoffs between approaches, we tested the validity of different Medicare claims-based algorithms.\n\nMethods\nWe included 5 784 Medicare-enrolled, Health and Retirement Study participants aged older than 65 years in 2012 clinically assessed for cognitive status over multiple waves and determined performance characteristics of different claims-based algorithms.\n\nResults\nPositive predictive value (PPV) of claims ranged from 53.8% to 70.3% and was highest using a revised algorithm and 1 year of observation. The tradeoff of greater PPV was lower sensitivity; sensitivity could be maximized using 3 years of observation. All algorithms had low sensitivity (31.3%–56.8%) and high specificity (92.3%–98.0%). Algorithm test performance varied by participant characteristics, including age and race.\n\nConclusion\nRevised algorithms for dementia diagnosis using Medicare administrative data have reasonable accuracy for research purposes, but investigators should be cognizant of the tradeoffs in accuracy among the approaches they consider.","container-title":"The Journals of Gerontology Series A: Biological Sciences and Medical Sciences","DOI":"10.1093/gerona/glab373","ISSN":"1079-5006","issue":"6","journalAbbreviation":"J Gerontol A Biol Sci Med Sci","note":"PMID: 34919686\nPMCID: PMC9159657","page":"1261-1271","source":"PubMed Central","title":"Validation of Claims Algorithms to Identify Alzheimer’s Disease and Related Dementias","volume":"77","author":[{"family":"McCarthy","given":"Ellen P"},{"family":"Chang","given":"Chiang-Hua"},{"family":"Tilton","given":"Nicholas"},{"family":"Kabeto","given":"Mohammed U"},{"family":"Langa","given":"Kenneth M"},{"family":"Bynum","given":"Julie P W"}],"issued":{"date-parts":[["2021",12,17]]}}}],"schema":"https://github.com/citation-style-language/schema/raw/master/csl-citation.json"} </w:instrText>
      </w:r>
      <w:r w:rsidR="00C8466F">
        <w:fldChar w:fldCharType="separate"/>
      </w:r>
      <w:r w:rsidR="00C8466F" w:rsidRPr="00C8466F">
        <w:rPr>
          <w:rFonts w:ascii="Aptos" w:hAnsi="Aptos" w:cs="Times New Roman"/>
          <w:kern w:val="0"/>
          <w:vertAlign w:val="superscript"/>
        </w:rPr>
        <w:t>1</w:t>
      </w:r>
      <w:r w:rsidR="00C8466F">
        <w:fldChar w:fldCharType="end"/>
      </w:r>
    </w:p>
    <w:p w14:paraId="07F473B6" w14:textId="2B85D0F1" w:rsidR="00C8466F" w:rsidRDefault="00C8466F" w:rsidP="00C8466F">
      <w:pPr>
        <w:pStyle w:val="ListParagraph"/>
        <w:numPr>
          <w:ilvl w:val="2"/>
          <w:numId w:val="1"/>
        </w:numPr>
      </w:pPr>
      <w:r>
        <w:t>Using the “Bynum-Standard” 1-year algorithm in the cited literature, we identified individuals with a diagnosis of ADRD between 1/1/2010 and 12/31/2017. The date of the claim that satisfies the algorithm is the index date for this group.</w:t>
      </w:r>
    </w:p>
    <w:p w14:paraId="6122738C" w14:textId="648F6884" w:rsidR="006723CF" w:rsidRDefault="006723CF" w:rsidP="006723CF">
      <w:pPr>
        <w:pStyle w:val="ListParagraph"/>
        <w:numPr>
          <w:ilvl w:val="1"/>
          <w:numId w:val="1"/>
        </w:numPr>
      </w:pPr>
      <w:r>
        <w:t>Control diagnoses</w:t>
      </w:r>
    </w:p>
    <w:p w14:paraId="2AB9E942" w14:textId="31E34A3C" w:rsidR="006723CF" w:rsidRDefault="006723CF" w:rsidP="006723CF">
      <w:pPr>
        <w:pStyle w:val="ListParagraph"/>
        <w:numPr>
          <w:ilvl w:val="2"/>
          <w:numId w:val="1"/>
        </w:numPr>
      </w:pPr>
      <w:r>
        <w:t xml:space="preserve">Identify anyone with an incident diagnosis of AMI, asthma, COPD, or diabetes between 1/1/2010 and 12/31/2017 using the MBSF file and CCW indicators of disease. The date of the incident diagnosis is the index date for these controls. </w:t>
      </w:r>
    </w:p>
    <w:p w14:paraId="3BB69220" w14:textId="7E48D956" w:rsidR="006723CF" w:rsidRDefault="006723CF" w:rsidP="006723CF">
      <w:pPr>
        <w:pStyle w:val="ListParagraph"/>
        <w:numPr>
          <w:ilvl w:val="1"/>
          <w:numId w:val="1"/>
        </w:numPr>
      </w:pPr>
      <w:r>
        <w:t>Claims based controls</w:t>
      </w:r>
    </w:p>
    <w:p w14:paraId="758288B7" w14:textId="7DBF88DF" w:rsidR="006723CF" w:rsidRDefault="00FF0ECD" w:rsidP="006723CF">
      <w:pPr>
        <w:pStyle w:val="ListParagraph"/>
        <w:numPr>
          <w:ilvl w:val="2"/>
          <w:numId w:val="1"/>
        </w:numPr>
      </w:pPr>
      <w:r>
        <w:t xml:space="preserve">Identify anyone in the carrier, inpatient, or SNF claims files </w:t>
      </w:r>
      <w:r>
        <w:t xml:space="preserve">with a Medicare claim </w:t>
      </w:r>
      <w:r>
        <w:t xml:space="preserve">between 1/1/2010 and 12/31/2017. Keep only one claim per month per individual as analyses are conducted at the </w:t>
      </w:r>
      <w:proofErr w:type="gramStart"/>
      <w:r>
        <w:t>month</w:t>
      </w:r>
      <w:proofErr w:type="gramEnd"/>
      <w:r>
        <w:t xml:space="preserve"> level. The date of the claim is the index date for these controls.</w:t>
      </w:r>
    </w:p>
    <w:p w14:paraId="20D3BBF6" w14:textId="79E89A4D" w:rsidR="006723CF" w:rsidRDefault="006723CF" w:rsidP="006723CF">
      <w:pPr>
        <w:pStyle w:val="ListParagraph"/>
        <w:numPr>
          <w:ilvl w:val="0"/>
          <w:numId w:val="1"/>
        </w:numPr>
      </w:pPr>
      <w:r>
        <w:t>Medicare enrollment</w:t>
      </w:r>
    </w:p>
    <w:p w14:paraId="703C8B8A" w14:textId="7C29C57C" w:rsidR="006723CF" w:rsidRDefault="006723CF" w:rsidP="006723CF">
      <w:pPr>
        <w:pStyle w:val="ListParagraph"/>
        <w:numPr>
          <w:ilvl w:val="1"/>
          <w:numId w:val="1"/>
        </w:numPr>
      </w:pPr>
      <w:r>
        <w:t>Restrict to 4 years of continuous FFS and Parts A and B enrollment prior to the index date. This covers the 3 years of lookback plus one additional year of Medicare enrollment for identification of comorbidities. Use the MBSF enrollment file for this.</w:t>
      </w:r>
    </w:p>
    <w:p w14:paraId="492E8966" w14:textId="02CA4010" w:rsidR="006723CF" w:rsidRDefault="006723CF" w:rsidP="006723CF">
      <w:pPr>
        <w:pStyle w:val="ListParagraph"/>
        <w:numPr>
          <w:ilvl w:val="1"/>
          <w:numId w:val="1"/>
        </w:numPr>
      </w:pPr>
      <w:r>
        <w:t>The original entitlement to Medicare must be due to age and not other disability which may be a confounder. Use the MBSF enrollment file for this.</w:t>
      </w:r>
    </w:p>
    <w:p w14:paraId="0B83B2D7" w14:textId="42A7E74B" w:rsidR="006723CF" w:rsidRDefault="00FF0ECD" w:rsidP="006723CF">
      <w:pPr>
        <w:pStyle w:val="ListParagraph"/>
        <w:numPr>
          <w:ilvl w:val="0"/>
          <w:numId w:val="1"/>
        </w:numPr>
      </w:pPr>
      <w:r>
        <w:t>Age</w:t>
      </w:r>
    </w:p>
    <w:p w14:paraId="4BECCDFD" w14:textId="3D406923" w:rsidR="00FF0ECD" w:rsidRDefault="00FF0ECD" w:rsidP="00FF0ECD">
      <w:pPr>
        <w:pStyle w:val="ListParagraph"/>
        <w:numPr>
          <w:ilvl w:val="1"/>
          <w:numId w:val="1"/>
        </w:numPr>
      </w:pPr>
      <w:r>
        <w:t>Restrict to individuals 69 years or older at the index date. This is to ensure four years of prior continuous Medicare enrollment which should only begin at age 65 if individuals are entitled due to age and not disability. This should be done using the index date and date of birth obtained from the MBSF file.</w:t>
      </w:r>
    </w:p>
    <w:p w14:paraId="2C7CC1F0" w14:textId="382A70E4" w:rsidR="00FF0ECD" w:rsidRDefault="00FF0ECD" w:rsidP="006723CF">
      <w:pPr>
        <w:pStyle w:val="ListParagraph"/>
        <w:numPr>
          <w:ilvl w:val="0"/>
          <w:numId w:val="1"/>
        </w:numPr>
      </w:pPr>
      <w:r>
        <w:t>Residence</w:t>
      </w:r>
    </w:p>
    <w:p w14:paraId="66E02241" w14:textId="2A49B68A" w:rsidR="00FF0ECD" w:rsidRDefault="00FF0ECD" w:rsidP="00FF0ECD">
      <w:pPr>
        <w:pStyle w:val="ListParagraph"/>
        <w:numPr>
          <w:ilvl w:val="1"/>
          <w:numId w:val="1"/>
        </w:numPr>
      </w:pPr>
      <w:r>
        <w:t xml:space="preserve">Restrict to individuals with a New Jersey residence during the 3 years of lookback and including the year of the index date. This is done at the </w:t>
      </w:r>
      <w:proofErr w:type="gramStart"/>
      <w:r>
        <w:t>year</w:t>
      </w:r>
      <w:proofErr w:type="gramEnd"/>
      <w:r>
        <w:t xml:space="preserve"> level as the residence variable found in the MBSF enrollment file is yearly. </w:t>
      </w:r>
    </w:p>
    <w:p w14:paraId="75812285" w14:textId="6202BF2F" w:rsidR="00FF0ECD" w:rsidRDefault="00FF0ECD" w:rsidP="006723CF">
      <w:pPr>
        <w:pStyle w:val="ListParagraph"/>
        <w:numPr>
          <w:ilvl w:val="0"/>
          <w:numId w:val="1"/>
        </w:numPr>
      </w:pPr>
      <w:r>
        <w:t>Driver’s license</w:t>
      </w:r>
    </w:p>
    <w:p w14:paraId="545E300A" w14:textId="54395CFE" w:rsidR="00FF0ECD" w:rsidRDefault="00FF0ECD" w:rsidP="00FF0ECD">
      <w:pPr>
        <w:pStyle w:val="ListParagraph"/>
        <w:numPr>
          <w:ilvl w:val="1"/>
          <w:numId w:val="1"/>
        </w:numPr>
      </w:pPr>
      <w:r>
        <w:t xml:space="preserve">Using the linked NJ-SHO data, identify those with a full license during the 3 years of lookback. The license may be </w:t>
      </w:r>
      <w:proofErr w:type="gramStart"/>
      <w:r>
        <w:t>suspended</w:t>
      </w:r>
      <w:proofErr w:type="gramEnd"/>
      <w:r>
        <w:t xml:space="preserve"> and unknown start dates </w:t>
      </w:r>
      <w:r>
        <w:lastRenderedPageBreak/>
        <w:t xml:space="preserve">for a full license are accepted if a permit or probationary license start date occurs prior to the start of lookback. </w:t>
      </w:r>
    </w:p>
    <w:p w14:paraId="6042DADC" w14:textId="1983A30A" w:rsidR="00FF0ECD" w:rsidRDefault="00FF0ECD" w:rsidP="006723CF">
      <w:pPr>
        <w:pStyle w:val="ListParagraph"/>
        <w:numPr>
          <w:ilvl w:val="0"/>
          <w:numId w:val="1"/>
        </w:numPr>
      </w:pPr>
      <w:r>
        <w:t>Prior ADRD diagnosis</w:t>
      </w:r>
    </w:p>
    <w:p w14:paraId="5F15DAAC" w14:textId="06B0F73D" w:rsidR="00382FBE" w:rsidRDefault="00382FBE" w:rsidP="00382FBE">
      <w:pPr>
        <w:pStyle w:val="ListParagraph"/>
        <w:numPr>
          <w:ilvl w:val="1"/>
          <w:numId w:val="1"/>
        </w:numPr>
      </w:pPr>
      <w:r>
        <w:t xml:space="preserve">Exclude anyone with a prior ADRD diagnosis according to either the CCW indicators of ADRD from the MBSF files, or a prior ADRD diagnosis according to the Bynum-Standard algorithm, as described in step 1. This is to ensure an incident ADRD diagnosis for the ADRD group, and to prevent misclassification bias in the control groups. </w:t>
      </w:r>
    </w:p>
    <w:p w14:paraId="367A7534" w14:textId="61B696C9" w:rsidR="00FF0ECD" w:rsidRDefault="00FF0ECD" w:rsidP="006723CF">
      <w:pPr>
        <w:pStyle w:val="ListParagraph"/>
        <w:numPr>
          <w:ilvl w:val="0"/>
          <w:numId w:val="1"/>
        </w:numPr>
      </w:pPr>
      <w:r>
        <w:t>Recent healthcare encounter</w:t>
      </w:r>
    </w:p>
    <w:p w14:paraId="19C60107" w14:textId="7BF84C68" w:rsidR="00382FBE" w:rsidRDefault="00382FBE" w:rsidP="00382FBE">
      <w:pPr>
        <w:pStyle w:val="ListParagraph"/>
        <w:numPr>
          <w:ilvl w:val="1"/>
          <w:numId w:val="1"/>
        </w:numPr>
      </w:pPr>
      <w:r>
        <w:t xml:space="preserve">Exclude anyone without a carrier, inpatient, or SNF Medicare claim within 14 months prior to the index date. This is to allow for the possibility of an earlier diagnosis for groups with a diagnosis for an index date. </w:t>
      </w:r>
      <w:proofErr w:type="gramStart"/>
      <w:r>
        <w:t>This criteria</w:t>
      </w:r>
      <w:proofErr w:type="gramEnd"/>
      <w:r>
        <w:t xml:space="preserve"> was not applied to the claims control group.</w:t>
      </w:r>
    </w:p>
    <w:p w14:paraId="0C88E4E2" w14:textId="3EFD7BC0" w:rsidR="00382FBE" w:rsidRDefault="00382FBE" w:rsidP="00382FBE">
      <w:pPr>
        <w:pStyle w:val="ListParagraph"/>
        <w:numPr>
          <w:ilvl w:val="0"/>
          <w:numId w:val="1"/>
        </w:numPr>
      </w:pPr>
      <w:r>
        <w:t>Matching</w:t>
      </w:r>
    </w:p>
    <w:p w14:paraId="022725C2" w14:textId="14E32A76" w:rsidR="00C8466F" w:rsidRDefault="00382FBE" w:rsidP="00382FBE">
      <w:pPr>
        <w:pStyle w:val="ListParagraph"/>
        <w:numPr>
          <w:ilvl w:val="1"/>
          <w:numId w:val="1"/>
        </w:numPr>
      </w:pPr>
      <w:r>
        <w:t>Match</w:t>
      </w:r>
      <w:r w:rsidR="008B77B0">
        <w:t xml:space="preserve"> </w:t>
      </w:r>
      <w:proofErr w:type="gramStart"/>
      <w:r w:rsidR="008B77B0">
        <w:t>each individual</w:t>
      </w:r>
      <w:proofErr w:type="gramEnd"/>
      <w:r w:rsidR="008B77B0">
        <w:t xml:space="preserve"> in the</w:t>
      </w:r>
      <w:r>
        <w:t xml:space="preserve"> ADRD group with </w:t>
      </w:r>
      <w:r w:rsidR="008B77B0">
        <w:t xml:space="preserve">individuals in each control group. This will result in 5 cohorts, one for each control group. Matching is 1:1 with replacement. The matching criteria is floored age, sex, and calendar quarter of the index date. </w:t>
      </w:r>
    </w:p>
    <w:p w14:paraId="69E0A8FC" w14:textId="77777777" w:rsidR="00C8466F" w:rsidRDefault="00C8466F">
      <w:r>
        <w:br w:type="page"/>
      </w:r>
    </w:p>
    <w:p w14:paraId="2F957CD8" w14:textId="445CE1D4" w:rsidR="00382FBE" w:rsidRPr="008C16C2" w:rsidRDefault="00C8466F" w:rsidP="00C8466F">
      <w:pPr>
        <w:rPr>
          <w:b/>
          <w:bCs/>
        </w:rPr>
      </w:pPr>
      <w:r w:rsidRPr="008C16C2">
        <w:rPr>
          <w:b/>
          <w:bCs/>
        </w:rPr>
        <w:lastRenderedPageBreak/>
        <w:t>References</w:t>
      </w:r>
    </w:p>
    <w:p w14:paraId="3080107E" w14:textId="77777777" w:rsidR="00C8466F" w:rsidRPr="00C8466F" w:rsidRDefault="00C8466F" w:rsidP="00C8466F">
      <w:pPr>
        <w:pStyle w:val="Bibliography"/>
        <w:rPr>
          <w:rFonts w:ascii="Aptos" w:hAnsi="Aptos"/>
        </w:rPr>
      </w:pPr>
      <w:r>
        <w:fldChar w:fldCharType="begin"/>
      </w:r>
      <w:r>
        <w:instrText xml:space="preserve"> ADDIN ZOTERO_BIBL {"uncited":[],"omitted":[],"custom":[]} CSL_BIBLIOGRAPHY </w:instrText>
      </w:r>
      <w:r>
        <w:fldChar w:fldCharType="separate"/>
      </w:r>
      <w:r w:rsidRPr="00C8466F">
        <w:rPr>
          <w:rFonts w:ascii="Aptos" w:hAnsi="Aptos"/>
        </w:rPr>
        <w:t>1.</w:t>
      </w:r>
      <w:r w:rsidRPr="00C8466F">
        <w:rPr>
          <w:rFonts w:ascii="Aptos" w:hAnsi="Aptos"/>
        </w:rPr>
        <w:tab/>
        <w:t xml:space="preserve">McCarthy EP, Chang CH, Tilton N, </w:t>
      </w:r>
      <w:proofErr w:type="spellStart"/>
      <w:r w:rsidRPr="00C8466F">
        <w:rPr>
          <w:rFonts w:ascii="Aptos" w:hAnsi="Aptos"/>
        </w:rPr>
        <w:t>Kabeto</w:t>
      </w:r>
      <w:proofErr w:type="spellEnd"/>
      <w:r w:rsidRPr="00C8466F">
        <w:rPr>
          <w:rFonts w:ascii="Aptos" w:hAnsi="Aptos"/>
        </w:rPr>
        <w:t xml:space="preserve"> MU, Langa KM, Bynum JPW. Validation of Claims Algorithms to Identify Alzheimer’s Disease and Related Dementias. </w:t>
      </w:r>
      <w:r w:rsidRPr="00C8466F">
        <w:rPr>
          <w:rFonts w:ascii="Aptos" w:hAnsi="Aptos"/>
          <w:i/>
          <w:iCs/>
        </w:rPr>
        <w:t xml:space="preserve">J </w:t>
      </w:r>
      <w:proofErr w:type="spellStart"/>
      <w:r w:rsidRPr="00C8466F">
        <w:rPr>
          <w:rFonts w:ascii="Aptos" w:hAnsi="Aptos"/>
          <w:i/>
          <w:iCs/>
        </w:rPr>
        <w:t>Gerontol</w:t>
      </w:r>
      <w:proofErr w:type="spellEnd"/>
      <w:r w:rsidRPr="00C8466F">
        <w:rPr>
          <w:rFonts w:ascii="Aptos" w:hAnsi="Aptos"/>
          <w:i/>
          <w:iCs/>
        </w:rPr>
        <w:t xml:space="preserve"> </w:t>
      </w:r>
      <w:proofErr w:type="gramStart"/>
      <w:r w:rsidRPr="00C8466F">
        <w:rPr>
          <w:rFonts w:ascii="Aptos" w:hAnsi="Aptos"/>
          <w:i/>
          <w:iCs/>
        </w:rPr>
        <w:t>A</w:t>
      </w:r>
      <w:proofErr w:type="gramEnd"/>
      <w:r w:rsidRPr="00C8466F">
        <w:rPr>
          <w:rFonts w:ascii="Aptos" w:hAnsi="Aptos"/>
          <w:i/>
          <w:iCs/>
        </w:rPr>
        <w:t xml:space="preserve"> Biol Sci Med Sci</w:t>
      </w:r>
      <w:r w:rsidRPr="00C8466F">
        <w:rPr>
          <w:rFonts w:ascii="Aptos" w:hAnsi="Aptos"/>
        </w:rPr>
        <w:t>. 2021;77(6):1261-1271. doi:10.1093/</w:t>
      </w:r>
      <w:proofErr w:type="spellStart"/>
      <w:r w:rsidRPr="00C8466F">
        <w:rPr>
          <w:rFonts w:ascii="Aptos" w:hAnsi="Aptos"/>
        </w:rPr>
        <w:t>gerona</w:t>
      </w:r>
      <w:proofErr w:type="spellEnd"/>
      <w:r w:rsidRPr="00C8466F">
        <w:rPr>
          <w:rFonts w:ascii="Aptos" w:hAnsi="Aptos"/>
        </w:rPr>
        <w:t>/glab373</w:t>
      </w:r>
    </w:p>
    <w:p w14:paraId="387BEB3F" w14:textId="2E4826D3" w:rsidR="00C8466F" w:rsidRDefault="00C8466F" w:rsidP="00C8466F">
      <w:r>
        <w:fldChar w:fldCharType="end"/>
      </w:r>
    </w:p>
    <w:sectPr w:rsidR="00C8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C4A39"/>
    <w:multiLevelType w:val="hybridMultilevel"/>
    <w:tmpl w:val="64E41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44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CF"/>
    <w:rsid w:val="00382FBE"/>
    <w:rsid w:val="005B478D"/>
    <w:rsid w:val="006723CF"/>
    <w:rsid w:val="008B77B0"/>
    <w:rsid w:val="008C16C2"/>
    <w:rsid w:val="00C8466F"/>
    <w:rsid w:val="00FF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495"/>
  <w15:chartTrackingRefBased/>
  <w15:docId w15:val="{BE93C361-CCB5-486A-983B-0E7C21EF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3CF"/>
    <w:rPr>
      <w:rFonts w:eastAsiaTheme="majorEastAsia" w:cstheme="majorBidi"/>
      <w:color w:val="272727" w:themeColor="text1" w:themeTint="D8"/>
    </w:rPr>
  </w:style>
  <w:style w:type="paragraph" w:styleId="Title">
    <w:name w:val="Title"/>
    <w:basedOn w:val="Normal"/>
    <w:next w:val="Normal"/>
    <w:link w:val="TitleChar"/>
    <w:uiPriority w:val="10"/>
    <w:qFormat/>
    <w:rsid w:val="00672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3CF"/>
    <w:pPr>
      <w:spacing w:before="160"/>
      <w:jc w:val="center"/>
    </w:pPr>
    <w:rPr>
      <w:i/>
      <w:iCs/>
      <w:color w:val="404040" w:themeColor="text1" w:themeTint="BF"/>
    </w:rPr>
  </w:style>
  <w:style w:type="character" w:customStyle="1" w:styleId="QuoteChar">
    <w:name w:val="Quote Char"/>
    <w:basedOn w:val="DefaultParagraphFont"/>
    <w:link w:val="Quote"/>
    <w:uiPriority w:val="29"/>
    <w:rsid w:val="006723CF"/>
    <w:rPr>
      <w:i/>
      <w:iCs/>
      <w:color w:val="404040" w:themeColor="text1" w:themeTint="BF"/>
    </w:rPr>
  </w:style>
  <w:style w:type="paragraph" w:styleId="ListParagraph">
    <w:name w:val="List Paragraph"/>
    <w:basedOn w:val="Normal"/>
    <w:uiPriority w:val="34"/>
    <w:qFormat/>
    <w:rsid w:val="006723CF"/>
    <w:pPr>
      <w:ind w:left="720"/>
      <w:contextualSpacing/>
    </w:pPr>
  </w:style>
  <w:style w:type="character" w:styleId="IntenseEmphasis">
    <w:name w:val="Intense Emphasis"/>
    <w:basedOn w:val="DefaultParagraphFont"/>
    <w:uiPriority w:val="21"/>
    <w:qFormat/>
    <w:rsid w:val="006723CF"/>
    <w:rPr>
      <w:i/>
      <w:iCs/>
      <w:color w:val="0F4761" w:themeColor="accent1" w:themeShade="BF"/>
    </w:rPr>
  </w:style>
  <w:style w:type="paragraph" w:styleId="IntenseQuote">
    <w:name w:val="Intense Quote"/>
    <w:basedOn w:val="Normal"/>
    <w:next w:val="Normal"/>
    <w:link w:val="IntenseQuoteChar"/>
    <w:uiPriority w:val="30"/>
    <w:qFormat/>
    <w:rsid w:val="00672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3CF"/>
    <w:rPr>
      <w:i/>
      <w:iCs/>
      <w:color w:val="0F4761" w:themeColor="accent1" w:themeShade="BF"/>
    </w:rPr>
  </w:style>
  <w:style w:type="character" w:styleId="IntenseReference">
    <w:name w:val="Intense Reference"/>
    <w:basedOn w:val="DefaultParagraphFont"/>
    <w:uiPriority w:val="32"/>
    <w:qFormat/>
    <w:rsid w:val="006723CF"/>
    <w:rPr>
      <w:b/>
      <w:bCs/>
      <w:smallCaps/>
      <w:color w:val="0F4761" w:themeColor="accent1" w:themeShade="BF"/>
      <w:spacing w:val="5"/>
    </w:rPr>
  </w:style>
  <w:style w:type="paragraph" w:styleId="Bibliography">
    <w:name w:val="Bibliography"/>
    <w:basedOn w:val="Normal"/>
    <w:next w:val="Normal"/>
    <w:uiPriority w:val="37"/>
    <w:unhideWhenUsed/>
    <w:rsid w:val="00C8466F"/>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 Steven</dc:creator>
  <cp:keywords/>
  <dc:description/>
  <cp:lastModifiedBy>Balog, Steven</cp:lastModifiedBy>
  <cp:revision>2</cp:revision>
  <dcterms:created xsi:type="dcterms:W3CDTF">2025-09-23T17:32:00Z</dcterms:created>
  <dcterms:modified xsi:type="dcterms:W3CDTF">2025-09-23T20:19:00Z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id="o1msMug7"/&gt;&lt;style id="http://www.zotero.org/styles/american-medical-association" hasBibliography="1" bibliographyStyleHasBeenSet="1"/&gt;&lt;prefs&gt;&lt;pref name="fieldType" value="Field"/&gt;&lt;/prefs&gt;&lt;/data&gt;</vt:lpwstr>
  </property>
</Properties>
</file>