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87" w:right="1598" w:firstLine="10"/>
        <w:spacing w:before="257" w:line="168" w:lineRule="auto"/>
        <w:outlineLvl w:val="0"/>
        <w:rPr>
          <w:sz w:val="60"/>
          <w:szCs w:val="60"/>
        </w:rPr>
      </w:pPr>
      <w:r>
        <w:rPr>
          <w:sz w:val="60"/>
          <w:szCs w:val="60"/>
          <w:color w:val="DEDEDE"/>
          <w:spacing w:val="-23"/>
        </w:rPr>
        <w:t>面向枸杞实例分割与外观分级的分层决</w:t>
      </w:r>
      <w:r>
        <w:rPr>
          <w:sz w:val="60"/>
          <w:szCs w:val="60"/>
          <w:color w:val="DEDEDE"/>
          <w:spacing w:val="-14"/>
          <w:w w:val="98"/>
        </w:rPr>
        <w:t>策、质量感知排序及兼容掩膜细化方法</w:t>
      </w:r>
    </w:p>
    <w:p>
      <w:pPr>
        <w:pStyle w:val="BodyText"/>
        <w:ind w:left="485"/>
        <w:spacing w:before="245" w:line="184" w:lineRule="auto"/>
        <w:outlineLvl w:val="1"/>
        <w:rPr>
          <w:sz w:val="39"/>
          <w:szCs w:val="39"/>
        </w:rPr>
      </w:pPr>
      <w:r>
        <w:rPr>
          <w:sz w:val="39"/>
          <w:szCs w:val="39"/>
          <w:b/>
          <w:bCs/>
          <w:color w:val="DEDEDE"/>
          <w:spacing w:val="-2"/>
        </w:rPr>
        <w:t>摘要</w:t>
      </w:r>
    </w:p>
    <w:p>
      <w:pPr>
        <w:pStyle w:val="BodyText"/>
        <w:ind w:left="481" w:right="477"/>
        <w:spacing w:before="337" w:line="224" w:lineRule="auto"/>
        <w:rPr/>
      </w:pPr>
      <w:r>
        <w:rPr>
          <w:color w:val="B8BFC6"/>
        </w:rPr>
        <w:t>枸杞外观分级同时涉及缺陷否决、果梗状态和连续尺寸相关评分，最终等级具有非单调的分层语</w:t>
      </w:r>
      <w:r>
        <w:rPr>
          <w:color w:val="B8BFC6"/>
          <w:spacing w:val="-1"/>
        </w:rPr>
        <w:t>义。本</w:t>
      </w:r>
      <w:r>
        <w:rPr>
          <w:color w:val="B8BFC6"/>
        </w:rPr>
        <w:t>文基于冻结的</w:t>
      </w:r>
      <w:r>
        <w:rPr>
          <w:rFonts w:ascii="Arial" w:hAnsi="Arial" w:eastAsia="Arial" w:cs="Arial"/>
          <w:color w:val="B8BFC6"/>
        </w:rPr>
        <w:t>YOLO26n-seg</w:t>
      </w:r>
      <w:r>
        <w:rPr>
          <w:color w:val="B8BFC6"/>
        </w:rPr>
        <w:t>检测器，将分层等级决策、预测质量排序与输出掩膜细化分别建模。</w:t>
      </w:r>
      <w:r>
        <w:rPr>
          <w:color w:val="B8BFC6"/>
          <w:spacing w:val="-1"/>
        </w:rPr>
        <w:t>以有界</w:t>
      </w:r>
      <w:r>
        <w:rPr>
          <w:color w:val="B8BFC6"/>
        </w:rPr>
        <w:t>残差修正规则评分，利用邻域候选证据辅助果梗和等级边界判断，并复用原缺陷证据训练轻量质</w:t>
      </w:r>
      <w:r>
        <w:rPr>
          <w:color w:val="B8BFC6"/>
          <w:spacing w:val="-1"/>
        </w:rPr>
        <w:t>量排序</w:t>
      </w:r>
      <w:r>
        <w:rPr>
          <w:color w:val="B8BFC6"/>
        </w:rPr>
        <w:t>头。输出细化支路利用同次检测前向的软掩膜和原型特征，保留原掩膜作为分级输入。实验包含</w:t>
      </w:r>
      <w:r>
        <w:rPr>
          <w:rFonts w:ascii="Arial" w:hAnsi="Arial" w:eastAsia="Arial" w:cs="Arial"/>
          <w:color w:val="B8BFC6"/>
        </w:rPr>
        <w:t>96</w:t>
      </w:r>
      <w:r>
        <w:rPr>
          <w:rFonts w:ascii="Arial" w:hAnsi="Arial" w:eastAsia="Arial" w:cs="Arial"/>
          <w:color w:val="B8BFC6"/>
          <w:spacing w:val="-1"/>
        </w:rPr>
        <w:t>6</w:t>
      </w:r>
      <w:r>
        <w:rPr>
          <w:color w:val="B8BFC6"/>
          <w:spacing w:val="-1"/>
        </w:rPr>
        <w:t>张训</w:t>
      </w:r>
      <w:r>
        <w:rPr>
          <w:color w:val="B8BFC6"/>
        </w:rPr>
        <w:t>练图像、反复用于开发的</w:t>
      </w:r>
      <w:r>
        <w:rPr>
          <w:rFonts w:ascii="Arial" w:hAnsi="Arial" w:eastAsia="Arial" w:cs="Arial"/>
          <w:color w:val="B8BFC6"/>
        </w:rPr>
        <w:t>116</w:t>
      </w:r>
      <w:r>
        <w:rPr>
          <w:color w:val="B8BFC6"/>
        </w:rPr>
        <w:t>张验证图像，以及锁定方案后统</w:t>
      </w:r>
      <w:r>
        <w:rPr>
          <w:color w:val="B8BFC6"/>
          <w:spacing w:val="-1"/>
        </w:rPr>
        <w:t>一评价的</w:t>
      </w:r>
      <w:r>
        <w:rPr>
          <w:rFonts w:ascii="Arial" w:hAnsi="Arial" w:eastAsia="Arial" w:cs="Arial"/>
          <w:color w:val="B8BFC6"/>
          <w:spacing w:val="-1"/>
        </w:rPr>
        <w:t>129</w:t>
      </w:r>
      <w:r>
        <w:rPr>
          <w:color w:val="B8BFC6"/>
          <w:spacing w:val="-1"/>
        </w:rPr>
        <w:t>张测试图像、</w:t>
      </w:r>
      <w:r>
        <w:rPr>
          <w:rFonts w:ascii="Arial" w:hAnsi="Arial" w:eastAsia="Arial" w:cs="Arial"/>
          <w:color w:val="B8BFC6"/>
          <w:spacing w:val="-1"/>
        </w:rPr>
        <w:t>576</w:t>
      </w:r>
      <w:r>
        <w:rPr>
          <w:color w:val="B8BFC6"/>
          <w:spacing w:val="-1"/>
        </w:rPr>
        <w:t>个实例。在</w:t>
      </w:r>
      <w:r>
        <w:rPr>
          <w:color w:val="B8BFC6"/>
        </w:rPr>
        <w:t>测试集上，主方案的</w:t>
      </w:r>
      <w:r>
        <w:rPr>
          <w:rFonts w:ascii="Arial" w:hAnsi="Arial" w:eastAsia="Arial" w:cs="Arial"/>
          <w:color w:val="B8BFC6"/>
        </w:rPr>
        <w:t>Mask</w:t>
      </w:r>
      <w:r>
        <w:rPr>
          <w:rFonts w:ascii="Arial" w:hAnsi="Arial" w:eastAsia="Arial" w:cs="Arial"/>
          <w:color w:val="B8BFC6"/>
          <w:spacing w:val="-14"/>
        </w:rPr>
        <w:t xml:space="preserve"> </w:t>
      </w:r>
      <w:r>
        <w:rPr>
          <w:rFonts w:ascii="Arial" w:hAnsi="Arial" w:eastAsia="Arial" w:cs="Arial"/>
          <w:color w:val="B8BFC6"/>
        </w:rPr>
        <w:t>AP50</w:t>
      </w:r>
      <w:r>
        <w:rPr>
          <w:color w:val="B8BFC6"/>
        </w:rPr>
        <w:t>由原</w:t>
      </w:r>
      <w:r>
        <w:rPr>
          <w:rFonts w:ascii="Arial" w:hAnsi="Arial" w:eastAsia="Arial" w:cs="Arial"/>
          <w:color w:val="B8BFC6"/>
        </w:rPr>
        <w:t>YOLO</w:t>
      </w:r>
      <w:r>
        <w:rPr>
          <w:color w:val="B8BFC6"/>
        </w:rPr>
        <w:t>的</w:t>
      </w:r>
      <w:r>
        <w:rPr>
          <w:rFonts w:ascii="Arial" w:hAnsi="Arial" w:eastAsia="Arial" w:cs="Arial"/>
          <w:color w:val="B8BFC6"/>
        </w:rPr>
        <w:t>78.04%</w:t>
      </w:r>
      <w:r>
        <w:rPr>
          <w:color w:val="B8BFC6"/>
        </w:rPr>
        <w:t>提高至</w:t>
      </w:r>
      <w:r>
        <w:rPr>
          <w:rFonts w:ascii="Arial" w:hAnsi="Arial" w:eastAsia="Arial" w:cs="Arial"/>
          <w:color w:val="B8BFC6"/>
        </w:rPr>
        <w:t>80.72%</w:t>
      </w:r>
      <w:r>
        <w:rPr>
          <w:color w:val="B8BFC6"/>
        </w:rPr>
        <w:t>，差值为</w:t>
      </w:r>
      <w:r>
        <w:rPr>
          <w:rFonts w:ascii="Arial" w:hAnsi="Arial" w:eastAsia="Arial" w:cs="Arial"/>
          <w:color w:val="B8BFC6"/>
        </w:rPr>
        <w:t>2.68</w:t>
      </w:r>
      <w:r>
        <w:rPr>
          <w:color w:val="B8BFC6"/>
        </w:rPr>
        <w:t>个百分点，图</w:t>
      </w:r>
      <w:r>
        <w:rPr>
          <w:color w:val="B8BFC6"/>
          <w:spacing w:val="-1"/>
        </w:rPr>
        <w:t>像配对</w:t>
      </w:r>
      <w:r>
        <w:rPr>
          <w:color w:val="B8BFC6"/>
        </w:rPr>
        <w:t xml:space="preserve">  </w:t>
      </w:r>
      <w:r>
        <w:rPr>
          <w:rFonts w:ascii="Arial" w:hAnsi="Arial" w:eastAsia="Arial" w:cs="Arial"/>
          <w:color w:val="B8BFC6"/>
        </w:rPr>
        <w:t>95%</w:t>
      </w:r>
      <w:r>
        <w:rPr>
          <w:color w:val="B8BFC6"/>
        </w:rPr>
        <w:t>百分位区间为</w:t>
      </w:r>
      <w:r>
        <w:rPr>
          <w:rFonts w:ascii="Arial" w:hAnsi="Arial" w:eastAsia="Arial" w:cs="Arial"/>
          <w:color w:val="B8BFC6"/>
        </w:rPr>
        <w:t>1.43</w:t>
      </w:r>
      <w:r>
        <w:rPr>
          <w:color w:val="B8BFC6"/>
        </w:rPr>
        <w:t>至</w:t>
      </w:r>
      <w:r>
        <w:rPr>
          <w:rFonts w:ascii="Arial" w:hAnsi="Arial" w:eastAsia="Arial" w:cs="Arial"/>
          <w:color w:val="B8BFC6"/>
        </w:rPr>
        <w:t>4.08</w:t>
      </w:r>
      <w:r>
        <w:rPr>
          <w:color w:val="B8BFC6"/>
        </w:rPr>
        <w:t>个百分点；相对</w:t>
      </w:r>
      <w:r>
        <w:rPr>
          <w:rFonts w:ascii="Arial" w:hAnsi="Arial" w:eastAsia="Arial" w:cs="Arial"/>
          <w:color w:val="B8BFC6"/>
        </w:rPr>
        <w:t>RR22</w:t>
      </w:r>
      <w:r>
        <w:rPr>
          <w:color w:val="B8BFC6"/>
        </w:rPr>
        <w:t>分层参考的增量为</w:t>
      </w:r>
      <w:r>
        <w:rPr>
          <w:rFonts w:ascii="Arial" w:hAnsi="Arial" w:eastAsia="Arial" w:cs="Arial"/>
          <w:color w:val="B8BFC6"/>
        </w:rPr>
        <w:t>0.97</w:t>
      </w:r>
      <w:r>
        <w:rPr>
          <w:color w:val="B8BFC6"/>
        </w:rPr>
        <w:t>个百分点，区间为</w:t>
      </w:r>
      <w:r>
        <w:rPr>
          <w:rFonts w:ascii="Arial" w:hAnsi="Arial" w:eastAsia="Arial" w:cs="Arial"/>
          <w:color w:val="B8BFC6"/>
        </w:rPr>
        <w:t>0.27</w:t>
      </w:r>
      <w:r>
        <w:rPr>
          <w:color w:val="B8BFC6"/>
        </w:rPr>
        <w:t>至</w:t>
      </w:r>
      <w:r>
        <w:rPr>
          <w:rFonts w:ascii="Arial" w:hAnsi="Arial" w:eastAsia="Arial" w:cs="Arial"/>
          <w:color w:val="B8BFC6"/>
          <w:spacing w:val="-1"/>
        </w:rPr>
        <w:t>1.70</w:t>
      </w:r>
      <w:r>
        <w:rPr>
          <w:color w:val="B8BFC6"/>
        </w:rPr>
        <w:t>个百分点。已定位实例分级正确数由</w:t>
      </w:r>
      <w:r>
        <w:rPr>
          <w:rFonts w:ascii="Arial" w:hAnsi="Arial" w:eastAsia="Arial" w:cs="Arial"/>
          <w:color w:val="B8BFC6"/>
        </w:rPr>
        <w:t>456/560</w:t>
      </w:r>
      <w:r>
        <w:rPr>
          <w:color w:val="B8BFC6"/>
        </w:rPr>
        <w:t>提高至</w:t>
      </w:r>
      <w:r>
        <w:rPr>
          <w:rFonts w:ascii="Arial" w:hAnsi="Arial" w:eastAsia="Arial" w:cs="Arial"/>
          <w:color w:val="B8BFC6"/>
        </w:rPr>
        <w:t>481/560</w:t>
      </w:r>
      <w:r>
        <w:rPr>
          <w:color w:val="B8BFC6"/>
        </w:rPr>
        <w:t>。追加输出细化后，</w:t>
      </w:r>
      <w:r>
        <w:rPr>
          <w:rFonts w:ascii="Arial" w:hAnsi="Arial" w:eastAsia="Arial" w:cs="Arial"/>
          <w:color w:val="B8BFC6"/>
        </w:rPr>
        <w:t>Mask</w:t>
      </w:r>
      <w:r>
        <w:rPr>
          <w:rFonts w:ascii="Arial" w:hAnsi="Arial" w:eastAsia="Arial" w:cs="Arial"/>
          <w:color w:val="B8BFC6"/>
          <w:spacing w:val="-14"/>
        </w:rPr>
        <w:t xml:space="preserve"> </w:t>
      </w:r>
      <w:r>
        <w:rPr>
          <w:rFonts w:ascii="Arial" w:hAnsi="Arial" w:eastAsia="Arial" w:cs="Arial"/>
          <w:color w:val="B8BFC6"/>
        </w:rPr>
        <w:t>AP50–</w:t>
      </w:r>
      <w:r>
        <w:rPr>
          <w:rFonts w:ascii="Arial" w:hAnsi="Arial" w:eastAsia="Arial" w:cs="Arial"/>
          <w:color w:val="B8BFC6"/>
          <w:spacing w:val="-1"/>
        </w:rPr>
        <w:t>95</w:t>
      </w:r>
      <w:r>
        <w:rPr>
          <w:color w:val="B8BFC6"/>
          <w:spacing w:val="-1"/>
        </w:rPr>
        <w:t>由</w:t>
      </w:r>
    </w:p>
    <w:p>
      <w:pPr>
        <w:pStyle w:val="BodyText"/>
        <w:ind w:left="481" w:right="545" w:firstLine="7"/>
        <w:spacing w:before="2" w:line="229" w:lineRule="auto"/>
        <w:rPr/>
      </w:pPr>
      <w:r>
        <w:rPr>
          <w:rFonts w:ascii="Arial" w:hAnsi="Arial" w:eastAsia="Arial" w:cs="Arial"/>
          <w:color w:val="B8BFC6"/>
        </w:rPr>
        <w:t>68.03%</w:t>
      </w:r>
      <w:r>
        <w:rPr>
          <w:color w:val="B8BFC6"/>
        </w:rPr>
        <w:t>提高至</w:t>
      </w:r>
      <w:r>
        <w:rPr>
          <w:rFonts w:ascii="Arial" w:hAnsi="Arial" w:eastAsia="Arial" w:cs="Arial"/>
          <w:color w:val="B8BFC6"/>
        </w:rPr>
        <w:t>69.12%</w:t>
      </w:r>
      <w:r>
        <w:rPr>
          <w:color w:val="B8BFC6"/>
        </w:rPr>
        <w:t>，但重新匹配后的分级正确数为</w:t>
      </w:r>
      <w:r>
        <w:rPr>
          <w:rFonts w:ascii="Arial" w:hAnsi="Arial" w:eastAsia="Arial" w:cs="Arial"/>
          <w:color w:val="B8BFC6"/>
        </w:rPr>
        <w:t>480/560</w:t>
      </w:r>
      <w:r>
        <w:rPr>
          <w:color w:val="B8BFC6"/>
        </w:rPr>
        <w:t>，显示保</w:t>
      </w:r>
      <w:r>
        <w:rPr>
          <w:color w:val="B8BFC6"/>
          <w:spacing w:val="-1"/>
        </w:rPr>
        <w:t>留候选标签并不保证评价匹配不</w:t>
      </w:r>
      <w:r>
        <w:rPr>
          <w:color w:val="B8BFC6"/>
        </w:rPr>
        <w:t>变。测试结果支持该任务分解在现有划分上的收益；早期基线的历史</w:t>
      </w:r>
      <w:r>
        <w:rPr>
          <w:rFonts w:ascii="Arial" w:hAnsi="Arial" w:eastAsia="Arial" w:cs="Arial"/>
          <w:color w:val="B8BFC6"/>
        </w:rPr>
        <w:t>test</w:t>
      </w:r>
      <w:r>
        <w:rPr>
          <w:color w:val="B8BFC6"/>
        </w:rPr>
        <w:t>使用、混合标签来源及仅</w:t>
      </w:r>
      <w:r>
        <w:rPr>
          <w:rFonts w:ascii="Arial" w:hAnsi="Arial" w:eastAsia="Arial" w:cs="Arial"/>
          <w:color w:val="B8BFC6"/>
          <w:spacing w:val="-1"/>
        </w:rPr>
        <w:t>25</w:t>
      </w:r>
      <w:r>
        <w:rPr>
          <w:color w:val="B8BFC6"/>
          <w:spacing w:val="-1"/>
        </w:rPr>
        <w:t>个</w:t>
      </w:r>
      <w:r>
        <w:rPr>
          <w:color w:val="B8BFC6"/>
          <w:spacing w:val="-2"/>
        </w:rPr>
        <w:t>测试不合格实例，限制了独立泛化和商业分选结论。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485"/>
        <w:spacing w:before="103" w:line="184" w:lineRule="auto"/>
        <w:rPr/>
      </w:pPr>
      <w:r>
        <w:rPr>
          <w:color w:val="B8BFC6"/>
        </w:rPr>
        <w:t>关键词：枸杞；实例分割；外观分级；分层决策；质量排</w:t>
      </w:r>
      <w:r>
        <w:rPr>
          <w:color w:val="B8BFC6"/>
          <w:spacing w:val="-1"/>
        </w:rPr>
        <w:t>序；掩膜细化</w:t>
      </w:r>
    </w:p>
    <w:p>
      <w:pPr>
        <w:pStyle w:val="BodyText"/>
        <w:ind w:left="497"/>
        <w:spacing w:before="399" w:line="183" w:lineRule="auto"/>
        <w:outlineLvl w:val="1"/>
        <w:rPr>
          <w:sz w:val="39"/>
          <w:szCs w:val="39"/>
        </w:rPr>
      </w:pPr>
      <w:r>
        <w:rPr>
          <w:rFonts w:ascii="Corbel" w:hAnsi="Corbel" w:eastAsia="Corbel" w:cs="Corbel"/>
          <w:sz w:val="39"/>
          <w:szCs w:val="39"/>
          <w:b/>
          <w:bCs/>
          <w:color w:val="DEDEDE"/>
          <w:spacing w:val="-12"/>
        </w:rPr>
        <w:t>1 </w:t>
      </w:r>
      <w:r>
        <w:rPr>
          <w:sz w:val="39"/>
          <w:szCs w:val="39"/>
          <w:b/>
          <w:bCs/>
          <w:color w:val="DEDEDE"/>
          <w:spacing w:val="-12"/>
        </w:rPr>
        <w:t>引言</w:t>
      </w:r>
    </w:p>
    <w:p>
      <w:pPr>
        <w:pStyle w:val="BodyText"/>
        <w:ind w:left="481" w:right="589"/>
        <w:spacing w:before="334" w:line="222" w:lineRule="auto"/>
        <w:rPr/>
      </w:pPr>
      <w:r>
        <w:rPr>
          <w:color w:val="B8BFC6"/>
        </w:rPr>
        <w:t>枸杞图像检测既需要区分单个果实，也需要明确哪些可见属性应当决定其等级。已有研究围绕枸</w:t>
      </w:r>
      <w:r>
        <w:rPr>
          <w:color w:val="B8BFC6"/>
          <w:spacing w:val="-1"/>
        </w:rPr>
        <w:t>杞采摘</w:t>
      </w:r>
      <w:r>
        <w:rPr>
          <w:color w:val="B8BFC6"/>
          <w:spacing w:val="-1"/>
        </w:rPr>
        <w:t>中的识别与定位展开</w:t>
      </w:r>
      <w:r>
        <w:rPr>
          <w:rFonts w:ascii="Arial" w:hAnsi="Arial" w:eastAsia="Arial" w:cs="Arial"/>
          <w:color w:val="B8BFC6"/>
          <w:spacing w:val="-1"/>
        </w:rPr>
        <w:t>[</w:t>
      </w:r>
      <w:hyperlink w:history="true" w:anchor="bookmark1">
        <w:r>
          <w:rPr>
            <w:rFonts w:ascii="Arial" w:hAnsi="Arial" w:eastAsia="Arial" w:cs="Arial"/>
            <w:color w:val="B8BFC6"/>
            <w:spacing w:val="-1"/>
          </w:rPr>
          <w:t>1</w:t>
        </w:r>
      </w:hyperlink>
      <w:r>
        <w:rPr>
          <w:rFonts w:ascii="Arial" w:hAnsi="Arial" w:eastAsia="Arial" w:cs="Arial"/>
          <w:color w:val="B8BFC6"/>
          <w:spacing w:val="-1"/>
        </w:rPr>
        <w:t>]</w:t>
      </w:r>
      <w:r>
        <w:rPr>
          <w:color w:val="B8BFC6"/>
          <w:spacing w:val="-1"/>
        </w:rPr>
        <w:t>，也有研究关注干枸杞陈旧果掺杂检测</w:t>
      </w:r>
      <w:r>
        <w:rPr>
          <w:color w:val="B8BFC6"/>
          <w:spacing w:val="-30"/>
        </w:rPr>
        <w:t xml:space="preserve"> </w:t>
      </w:r>
      <w:r>
        <w:rPr>
          <w:rFonts w:ascii="Arial" w:hAnsi="Arial" w:eastAsia="Arial" w:cs="Arial"/>
          <w:color w:val="B8BFC6"/>
          <w:spacing w:val="-1"/>
        </w:rPr>
        <w:t>[</w:t>
      </w:r>
      <w:hyperlink w:history="true" w:anchor="bookmark2">
        <w:r>
          <w:rPr>
            <w:rFonts w:ascii="Arial" w:hAnsi="Arial" w:eastAsia="Arial" w:cs="Arial"/>
            <w:color w:val="B8BFC6"/>
            <w:spacing w:val="-1"/>
          </w:rPr>
          <w:t>2</w:t>
        </w:r>
      </w:hyperlink>
      <w:r>
        <w:rPr>
          <w:rFonts w:ascii="Arial" w:hAnsi="Arial" w:eastAsia="Arial" w:cs="Arial"/>
          <w:color w:val="B8BFC6"/>
          <w:spacing w:val="-1"/>
        </w:rPr>
        <w:t>]</w:t>
      </w:r>
      <w:r>
        <w:rPr>
          <w:color w:val="B8BFC6"/>
          <w:spacing w:val="-1"/>
        </w:rPr>
        <w:t>。相关农业视觉工作还涉及山竹尺寸与</w:t>
      </w:r>
      <w:r>
        <w:rPr>
          <w:color w:val="B8BFC6"/>
        </w:rPr>
        <w:t>外观评估的集成</w:t>
      </w:r>
      <w:r>
        <w:rPr>
          <w:rFonts w:ascii="Arial" w:hAnsi="Arial" w:eastAsia="Arial" w:cs="Arial"/>
          <w:color w:val="B8BFC6"/>
        </w:rPr>
        <w:t>[</w:t>
      </w:r>
      <w:hyperlink w:history="true" w:anchor="bookmark3">
        <w:r>
          <w:rPr>
            <w:rFonts w:ascii="Arial" w:hAnsi="Arial" w:eastAsia="Arial" w:cs="Arial"/>
            <w:color w:val="B8BFC6"/>
          </w:rPr>
          <w:t>3</w:t>
        </w:r>
      </w:hyperlink>
      <w:r>
        <w:rPr>
          <w:rFonts w:ascii="Arial" w:hAnsi="Arial" w:eastAsia="Arial" w:cs="Arial"/>
          <w:color w:val="B8BFC6"/>
        </w:rPr>
        <w:t>]</w:t>
      </w:r>
      <w:r>
        <w:rPr>
          <w:color w:val="B8BFC6"/>
        </w:rPr>
        <w:t>，以及基于分割的辣椒含杂率估计</w:t>
      </w:r>
      <w:r>
        <w:rPr>
          <w:rFonts w:ascii="Arial" w:hAnsi="Arial" w:eastAsia="Arial" w:cs="Arial"/>
          <w:color w:val="B8BFC6"/>
        </w:rPr>
        <w:t>[</w:t>
      </w:r>
      <w:hyperlink w:history="true" w:anchor="bookmark4">
        <w:r>
          <w:rPr>
            <w:rFonts w:ascii="Arial" w:hAnsi="Arial" w:eastAsia="Arial" w:cs="Arial"/>
            <w:color w:val="B8BFC6"/>
          </w:rPr>
          <w:t>4</w:t>
        </w:r>
      </w:hyperlink>
      <w:r>
        <w:rPr>
          <w:rFonts w:ascii="Arial" w:hAnsi="Arial" w:eastAsia="Arial" w:cs="Arial"/>
          <w:color w:val="B8BFC6"/>
        </w:rPr>
        <w:t>]</w:t>
      </w:r>
      <w:r>
        <w:rPr>
          <w:color w:val="B8BFC6"/>
        </w:rPr>
        <w:t>。这些任务均需要将图像解释</w:t>
      </w:r>
      <w:r>
        <w:rPr>
          <w:color w:val="B8BFC6"/>
          <w:spacing w:val="-1"/>
        </w:rPr>
        <w:t>转化为下游决策，</w:t>
      </w:r>
      <w:r>
        <w:rPr>
          <w:color w:val="B8BFC6"/>
        </w:rPr>
        <w:t>但具体判定对象并不相同。本文数据中的外观等级由缺陷状态、果梗状态和连续形态相关评分</w:t>
      </w:r>
      <w:r>
        <w:rPr>
          <w:color w:val="B8BFC6"/>
          <w:spacing w:val="-1"/>
        </w:rPr>
        <w:t>共同定</w:t>
      </w:r>
    </w:p>
    <w:p>
      <w:pPr>
        <w:pStyle w:val="BodyText"/>
        <w:ind w:left="483"/>
        <w:spacing w:before="39" w:line="183" w:lineRule="auto"/>
        <w:rPr/>
      </w:pPr>
      <w:r>
        <w:rPr>
          <w:color w:val="B8BFC6"/>
          <w:spacing w:val="-1"/>
        </w:rPr>
        <w:t>义，研究范围是对这套候选分级规则的建模与评价，而非营养品</w:t>
      </w:r>
      <w:r>
        <w:rPr>
          <w:color w:val="B8BFC6"/>
          <w:spacing w:val="-2"/>
        </w:rPr>
        <w:t>质测定或商业标准认证。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81" w:right="610" w:firstLine="15"/>
        <w:spacing w:before="104" w:line="237" w:lineRule="auto"/>
        <w:jc w:val="both"/>
        <w:rPr/>
      </w:pPr>
      <w:r>
        <w:rPr>
          <w:rFonts w:ascii="Arial" w:hAnsi="Arial" w:eastAsia="Arial" w:cs="Arial"/>
          <w:color w:val="B8BFC6"/>
        </w:rPr>
        <w:t>Mask</w:t>
      </w:r>
      <w:r>
        <w:rPr>
          <w:rFonts w:ascii="Arial" w:hAnsi="Arial" w:eastAsia="Arial" w:cs="Arial"/>
          <w:color w:val="B8BFC6"/>
          <w:spacing w:val="19"/>
        </w:rPr>
        <w:t xml:space="preserve"> </w:t>
      </w:r>
      <w:r>
        <w:rPr>
          <w:rFonts w:ascii="Arial" w:hAnsi="Arial" w:eastAsia="Arial" w:cs="Arial"/>
          <w:color w:val="B8BFC6"/>
        </w:rPr>
        <w:t>R-CNN[</w:t>
      </w:r>
      <w:hyperlink w:history="true" w:anchor="bookmark5">
        <w:r>
          <w:rPr>
            <w:rFonts w:ascii="Arial" w:hAnsi="Arial" w:eastAsia="Arial" w:cs="Arial"/>
            <w:color w:val="B8BFC6"/>
          </w:rPr>
          <w:t>5</w:t>
        </w:r>
      </w:hyperlink>
      <w:r>
        <w:rPr>
          <w:rFonts w:ascii="Arial" w:hAnsi="Arial" w:eastAsia="Arial" w:cs="Arial"/>
          <w:color w:val="B8BFC6"/>
        </w:rPr>
        <w:t>]</w:t>
      </w:r>
      <w:r>
        <w:rPr>
          <w:color w:val="B8BFC6"/>
        </w:rPr>
        <w:t>、</w:t>
      </w:r>
      <w:r>
        <w:rPr>
          <w:rFonts w:ascii="Arial" w:hAnsi="Arial" w:eastAsia="Arial" w:cs="Arial"/>
          <w:color w:val="B8BFC6"/>
        </w:rPr>
        <w:t>YOLACT[</w:t>
      </w:r>
      <w:hyperlink w:history="true" w:anchor="bookmark6">
        <w:r>
          <w:rPr>
            <w:rFonts w:ascii="Arial" w:hAnsi="Arial" w:eastAsia="Arial" w:cs="Arial"/>
            <w:color w:val="B8BFC6"/>
            <w:spacing w:val="-1"/>
          </w:rPr>
          <w:t>6</w:t>
        </w:r>
      </w:hyperlink>
      <w:r>
        <w:rPr>
          <w:rFonts w:ascii="Arial" w:hAnsi="Arial" w:eastAsia="Arial" w:cs="Arial"/>
          <w:color w:val="B8BFC6"/>
          <w:spacing w:val="-1"/>
        </w:rPr>
        <w:t>]</w:t>
      </w:r>
      <w:r>
        <w:rPr>
          <w:color w:val="B8BFC6"/>
          <w:spacing w:val="-1"/>
        </w:rPr>
        <w:t>及</w:t>
      </w:r>
      <w:r>
        <w:rPr>
          <w:rFonts w:ascii="Arial" w:hAnsi="Arial" w:eastAsia="Arial" w:cs="Arial"/>
          <w:color w:val="B8BFC6"/>
          <w:spacing w:val="-1"/>
        </w:rPr>
        <w:t>YOLO26</w:t>
      </w:r>
      <w:r>
        <w:rPr>
          <w:color w:val="B8BFC6"/>
          <w:spacing w:val="-1"/>
        </w:rPr>
        <w:t>软件体系</w:t>
      </w:r>
      <w:r>
        <w:rPr>
          <w:rFonts w:ascii="Arial" w:hAnsi="Arial" w:eastAsia="Arial" w:cs="Arial"/>
          <w:color w:val="B8BFC6"/>
          <w:spacing w:val="-1"/>
        </w:rPr>
        <w:t>[</w:t>
      </w:r>
      <w:hyperlink w:history="true" w:anchor="bookmark7">
        <w:r>
          <w:rPr>
            <w:rFonts w:ascii="Arial" w:hAnsi="Arial" w:eastAsia="Arial" w:cs="Arial"/>
            <w:color w:val="B8BFC6"/>
            <w:spacing w:val="-1"/>
          </w:rPr>
          <w:t>7</w:t>
        </w:r>
      </w:hyperlink>
      <w:r>
        <w:rPr>
          <w:rFonts w:ascii="Arial" w:hAnsi="Arial" w:eastAsia="Arial" w:cs="Arial"/>
          <w:color w:val="B8BFC6"/>
          <w:spacing w:val="-1"/>
        </w:rPr>
        <w:t>]</w:t>
      </w:r>
      <w:r>
        <w:rPr>
          <w:color w:val="B8BFC6"/>
          <w:spacing w:val="-1"/>
        </w:rPr>
        <w:t>等实例分割方法，为同时获得单果掩膜与类别提供</w:t>
      </w:r>
      <w:r>
        <w:rPr>
          <w:color w:val="B8BFC6"/>
        </w:rPr>
        <w:t>了基础。因此，可以直接训练一个预测不合格、一级、二级和三级的四分类实例分割器。然而，</w:t>
      </w:r>
      <w:r>
        <w:rPr>
          <w:color w:val="B8BFC6"/>
          <w:spacing w:val="-1"/>
        </w:rPr>
        <w:t>本项目</w:t>
      </w:r>
      <w:r>
        <w:rPr>
          <w:color w:val="B8BFC6"/>
        </w:rPr>
        <w:t>的四类标签并不构成简单的尺寸顺序：缺陷果无论尺寸大小均属于不合格；其他合格果若缺梗，</w:t>
      </w:r>
      <w:r>
        <w:rPr>
          <w:color w:val="B8BFC6"/>
          <w:spacing w:val="-1"/>
        </w:rPr>
        <w:t>即使尺</w:t>
      </w:r>
      <w:r>
        <w:rPr>
          <w:color w:val="B8BFC6"/>
        </w:rPr>
        <w:t>寸相关评分较高，也被划入三级。三级由此包含不同属性组合。将全部类别直接视为无条件有序等级，</w:t>
      </w:r>
      <w:r>
        <w:rPr>
          <w:color w:val="B8BFC6"/>
          <w:spacing w:val="-4"/>
        </w:rPr>
        <w:t>会丢失标签规则中的优先关系。</w:t>
      </w:r>
    </w:p>
    <w:p>
      <w:pPr>
        <w:spacing w:line="237" w:lineRule="auto"/>
        <w:sectPr>
          <w:headerReference w:type="default" r:id="rId1"/>
          <w:pgSz w:w="11919" w:h="16858"/>
          <w:pgMar w:top="400" w:right="0" w:bottom="0" w:left="0" w:header="0" w:footer="0" w:gutter="0"/>
        </w:sectPr>
        <w:rPr/>
      </w:pPr>
    </w:p>
    <w:p>
      <w:pPr>
        <w:spacing w:line="457" w:lineRule="auto"/>
        <w:rPr>
          <w:rFonts w:ascii="Arial"/>
          <w:sz w:val="21"/>
        </w:rPr>
      </w:pPr>
      <w:r/>
    </w:p>
    <w:p>
      <w:pPr>
        <w:pStyle w:val="BodyText"/>
        <w:ind w:left="483" w:right="570"/>
        <w:spacing w:before="103" w:line="223" w:lineRule="auto"/>
        <w:jc w:val="both"/>
        <w:rPr/>
      </w:pPr>
      <w:r>
        <w:rPr>
          <w:color w:val="B8BFC6"/>
        </w:rPr>
        <w:t>本文关注的问题是：在保持输出与属性依据可追溯的前提下，如何改进完整的实例分割与分</w:t>
      </w:r>
      <w:r>
        <w:rPr>
          <w:color w:val="B8BFC6"/>
          <w:spacing w:val="-1"/>
        </w:rPr>
        <w:t>级流程。基</w:t>
      </w:r>
      <w:r>
        <w:rPr>
          <w:color w:val="B8BFC6"/>
        </w:rPr>
        <w:t>线在固定高置信操作范围内，已经以掩膜交并比不低于</w:t>
      </w:r>
      <w:r>
        <w:rPr>
          <w:rFonts w:ascii="Arial" w:hAnsi="Arial" w:eastAsia="Arial" w:cs="Arial"/>
          <w:color w:val="B8BFC6"/>
        </w:rPr>
        <w:t>0.50</w:t>
      </w:r>
      <w:r>
        <w:rPr>
          <w:color w:val="B8BFC6"/>
        </w:rPr>
        <w:t>定位了</w:t>
      </w:r>
      <w:r>
        <w:rPr>
          <w:rFonts w:ascii="Arial" w:hAnsi="Arial" w:eastAsia="Arial" w:cs="Arial"/>
          <w:color w:val="B8BFC6"/>
        </w:rPr>
        <w:t>518</w:t>
      </w:r>
      <w:r>
        <w:rPr>
          <w:color w:val="B8BFC6"/>
        </w:rPr>
        <w:t>个开发实例中的</w:t>
      </w:r>
      <w:r>
        <w:rPr>
          <w:rFonts w:ascii="Arial" w:hAnsi="Arial" w:eastAsia="Arial" w:cs="Arial"/>
          <w:color w:val="B8BFC6"/>
        </w:rPr>
        <w:t>500</w:t>
      </w:r>
      <w:r>
        <w:rPr>
          <w:color w:val="B8BFC6"/>
        </w:rPr>
        <w:t>个</w:t>
      </w:r>
      <w:r>
        <w:rPr>
          <w:color w:val="B8BFC6"/>
          <w:spacing w:val="-1"/>
        </w:rPr>
        <w:t>。因此，后</w:t>
      </w:r>
      <w:r>
        <w:rPr>
          <w:color w:val="B8BFC6"/>
          <w:spacing w:val="-1"/>
        </w:rPr>
        <w:t>续优化不仅需要关注是否检测到果实，还需要关注等级判定、候选竞争与轮廓质量。本文</w:t>
      </w:r>
      <w:r>
        <w:rPr>
          <w:color w:val="B8BFC6"/>
          <w:spacing w:val="-2"/>
        </w:rPr>
        <w:t>保留检测器，</w:t>
      </w:r>
    </w:p>
    <w:p>
      <w:pPr>
        <w:pStyle w:val="BodyText"/>
        <w:ind w:left="491"/>
        <w:spacing w:before="24" w:line="183" w:lineRule="auto"/>
        <w:rPr/>
      </w:pPr>
      <w:r>
        <w:rPr>
          <w:color w:val="B8BFC6"/>
          <w:spacing w:val="-3"/>
        </w:rPr>
        <w:t>以显式模块处理这些下游环节，并分别检验其影响。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481" w:right="477" w:firstLine="1"/>
        <w:spacing w:before="103" w:line="226" w:lineRule="auto"/>
        <w:rPr/>
      </w:pPr>
      <w:r>
        <w:rPr>
          <w:color w:val="B8BFC6"/>
        </w:rPr>
        <w:t>这一设计面临三个具体问题。其一，缺陷否决、果梗状态和尺寸边界的语义及错误</w:t>
      </w:r>
      <w:r>
        <w:rPr>
          <w:color w:val="B8BFC6"/>
          <w:spacing w:val="-1"/>
        </w:rPr>
        <w:t>代价不同。其二，重</w:t>
      </w:r>
      <w:r>
        <w:rPr>
          <w:color w:val="B8BFC6"/>
        </w:rPr>
        <w:t>分类改变了预测类别，原检测置信度未必适合继续排序新的等级预测。</w:t>
      </w:r>
      <w:r>
        <w:rPr>
          <w:rFonts w:ascii="Arial" w:hAnsi="Arial" w:eastAsia="Arial" w:cs="Arial"/>
          <w:color w:val="B8BFC6"/>
        </w:rPr>
        <w:t>Mas</w:t>
      </w:r>
      <w:r>
        <w:rPr>
          <w:rFonts w:ascii="Arial" w:hAnsi="Arial" w:eastAsia="Arial" w:cs="Arial"/>
          <w:color w:val="B8BFC6"/>
          <w:spacing w:val="-1"/>
        </w:rPr>
        <w:t>k Scoring</w:t>
      </w:r>
      <w:r>
        <w:rPr>
          <w:rFonts w:ascii="Arial" w:hAnsi="Arial" w:eastAsia="Arial" w:cs="Arial"/>
          <w:color w:val="B8BFC6"/>
          <w:spacing w:val="18"/>
          <w:w w:val="101"/>
        </w:rPr>
        <w:t xml:space="preserve"> </w:t>
      </w:r>
      <w:r>
        <w:rPr>
          <w:rFonts w:ascii="Arial" w:hAnsi="Arial" w:eastAsia="Arial" w:cs="Arial"/>
          <w:color w:val="B8BFC6"/>
          <w:spacing w:val="-1"/>
        </w:rPr>
        <w:t>R-CNN[</w:t>
      </w:r>
      <w:hyperlink w:history="true" w:anchor="bookmark8">
        <w:r>
          <w:rPr>
            <w:rFonts w:ascii="Arial" w:hAnsi="Arial" w:eastAsia="Arial" w:cs="Arial"/>
            <w:color w:val="B8BFC6"/>
            <w:spacing w:val="-1"/>
          </w:rPr>
          <w:t>8</w:t>
        </w:r>
      </w:hyperlink>
      <w:r>
        <w:rPr>
          <w:rFonts w:ascii="Arial" w:hAnsi="Arial" w:eastAsia="Arial" w:cs="Arial"/>
          <w:color w:val="B8BFC6"/>
          <w:spacing w:val="-1"/>
        </w:rPr>
        <w:t>]</w:t>
      </w:r>
      <w:r>
        <w:rPr>
          <w:color w:val="B8BFC6"/>
          <w:spacing w:val="-1"/>
        </w:rPr>
        <w:t>及质量感</w:t>
      </w:r>
      <w:r>
        <w:rPr>
          <w:color w:val="B8BFC6"/>
        </w:rPr>
        <w:t>知目标检测研究</w:t>
      </w:r>
      <w:r>
        <w:rPr>
          <w:rFonts w:ascii="Arial" w:hAnsi="Arial" w:eastAsia="Arial" w:cs="Arial"/>
          <w:color w:val="B8BFC6"/>
        </w:rPr>
        <w:t>[</w:t>
      </w:r>
      <w:hyperlink w:history="true" w:anchor="bookmark9">
        <w:r>
          <w:rPr>
            <w:rFonts w:ascii="Arial" w:hAnsi="Arial" w:eastAsia="Arial" w:cs="Arial"/>
            <w:color w:val="B8BFC6"/>
          </w:rPr>
          <w:t>9</w:t>
        </w:r>
      </w:hyperlink>
      <w:r>
        <w:rPr>
          <w:rFonts w:ascii="Arial" w:hAnsi="Arial" w:eastAsia="Arial" w:cs="Arial"/>
          <w:color w:val="B8BFC6"/>
        </w:rPr>
        <w:t>]</w:t>
      </w:r>
      <w:r>
        <w:rPr>
          <w:color w:val="B8BFC6"/>
        </w:rPr>
        <w:t>已经讨论了预测质量与分类分数的关系，本文进一步考察等级重分类后哪些既</w:t>
      </w:r>
      <w:r>
        <w:rPr>
          <w:color w:val="B8BFC6"/>
          <w:spacing w:val="-1"/>
        </w:rPr>
        <w:t>有信号</w:t>
      </w:r>
      <w:r>
        <w:rPr>
          <w:color w:val="B8BFC6"/>
        </w:rPr>
        <w:t>仍然有效。其三，更准确的掩膜可能改变旧分级器使用的裁剪和几何输入。边界细化与边界敏感</w:t>
      </w:r>
      <w:r>
        <w:rPr>
          <w:color w:val="B8BFC6"/>
          <w:spacing w:val="-1"/>
        </w:rPr>
        <w:t>评价已</w:t>
      </w:r>
      <w:r>
        <w:rPr>
          <w:color w:val="B8BFC6"/>
        </w:rPr>
        <w:t>有研究基础</w:t>
      </w:r>
      <w:r>
        <w:rPr>
          <w:rFonts w:ascii="Arial" w:hAnsi="Arial" w:eastAsia="Arial" w:cs="Arial"/>
          <w:color w:val="B8BFC6"/>
        </w:rPr>
        <w:t>[</w:t>
      </w:r>
      <w:hyperlink w:history="true" w:anchor="bookmark10">
        <w:r>
          <w:rPr>
            <w:rFonts w:ascii="Arial" w:hAnsi="Arial" w:eastAsia="Arial" w:cs="Arial"/>
            <w:color w:val="B8BFC6"/>
          </w:rPr>
          <w:t>10</w:t>
        </w:r>
      </w:hyperlink>
      <w:r>
        <w:rPr>
          <w:rFonts w:ascii="Arial" w:hAnsi="Arial" w:eastAsia="Arial" w:cs="Arial"/>
          <w:color w:val="B8BFC6"/>
        </w:rPr>
        <w:t>,</w:t>
      </w:r>
      <w:hyperlink w:history="true" w:anchor="bookmark11">
        <w:r>
          <w:rPr>
            <w:rFonts w:ascii="Arial" w:hAnsi="Arial" w:eastAsia="Arial" w:cs="Arial"/>
            <w:color w:val="B8BFC6"/>
          </w:rPr>
          <w:t>11</w:t>
        </w:r>
      </w:hyperlink>
      <w:r>
        <w:rPr>
          <w:rFonts w:ascii="Arial" w:hAnsi="Arial" w:eastAsia="Arial" w:cs="Arial"/>
          <w:color w:val="B8BFC6"/>
        </w:rPr>
        <w:t>]</w:t>
      </w:r>
      <w:r>
        <w:rPr>
          <w:color w:val="B8BFC6"/>
        </w:rPr>
        <w:t>，但分割指标改善能否传递到分级任务仍需实</w:t>
      </w:r>
      <w:r>
        <w:rPr>
          <w:color w:val="B8BFC6"/>
          <w:spacing w:val="-1"/>
        </w:rPr>
        <w:t>测。此外，</w:t>
      </w:r>
      <w:r>
        <w:rPr>
          <w:rFonts w:ascii="Arial" w:hAnsi="Arial" w:eastAsia="Arial" w:cs="Arial"/>
          <w:color w:val="B8BFC6"/>
          <w:spacing w:val="-1"/>
        </w:rPr>
        <w:t>sigmoid</w:t>
      </w:r>
      <w:r>
        <w:rPr>
          <w:color w:val="B8BFC6"/>
          <w:spacing w:val="-1"/>
        </w:rPr>
        <w:t>输出或平均精度提高</w:t>
      </w:r>
      <w:r>
        <w:rPr>
          <w:color w:val="B8BFC6"/>
          <w:spacing w:val="-1"/>
        </w:rPr>
        <w:t>均不足以证明概率已得到校准</w:t>
      </w:r>
      <w:r>
        <w:rPr>
          <w:rFonts w:ascii="Arial" w:hAnsi="Arial" w:eastAsia="Arial" w:cs="Arial"/>
          <w:color w:val="B8BFC6"/>
          <w:spacing w:val="-1"/>
        </w:rPr>
        <w:t>[</w:t>
      </w:r>
      <w:hyperlink w:history="true" w:anchor="bookmark12">
        <w:r>
          <w:rPr>
            <w:rFonts w:ascii="Arial" w:hAnsi="Arial" w:eastAsia="Arial" w:cs="Arial"/>
            <w:color w:val="B8BFC6"/>
            <w:spacing w:val="-1"/>
          </w:rPr>
          <w:t>12</w:t>
        </w:r>
      </w:hyperlink>
      <w:r>
        <w:rPr>
          <w:rFonts w:ascii="Arial" w:hAnsi="Arial" w:eastAsia="Arial" w:cs="Arial"/>
          <w:color w:val="B8BFC6"/>
          <w:spacing w:val="-1"/>
        </w:rPr>
        <w:t>]</w:t>
      </w:r>
      <w:r>
        <w:rPr>
          <w:color w:val="B8BFC6"/>
          <w:spacing w:val="-1"/>
        </w:rPr>
        <w:t>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482" w:right="477"/>
        <w:spacing w:before="102" w:line="227" w:lineRule="auto"/>
        <w:rPr/>
      </w:pPr>
      <w:r>
        <w:rPr>
          <w:color w:val="B8BFC6"/>
        </w:rPr>
        <w:t>针对上述问题，本文构建包含三个相互衔接部分的分层流程。首先，保留缺陷否决，结合果梗</w:t>
      </w:r>
      <w:r>
        <w:rPr>
          <w:color w:val="B8BFC6"/>
          <w:spacing w:val="-1"/>
        </w:rPr>
        <w:t>决策、连</w:t>
      </w:r>
      <w:r>
        <w:rPr>
          <w:color w:val="B8BFC6"/>
        </w:rPr>
        <w:t>续评分有界残差及等级边界附近的候选证据完成分级；其次，以</w:t>
      </w:r>
      <w:r>
        <w:rPr>
          <w:rFonts w:ascii="Arial" w:hAnsi="Arial" w:eastAsia="Arial" w:cs="Arial"/>
          <w:color w:val="B8BFC6"/>
        </w:rPr>
        <w:t>385</w:t>
      </w:r>
      <w:r>
        <w:rPr>
          <w:color w:val="B8BFC6"/>
        </w:rPr>
        <w:t>个参数的排序头复用已有</w:t>
      </w:r>
      <w:r>
        <w:rPr>
          <w:color w:val="B8BFC6"/>
          <w:spacing w:val="-1"/>
        </w:rPr>
        <w:t>缺陷证据及</w:t>
      </w:r>
      <w:r>
        <w:rPr>
          <w:color w:val="B8BFC6"/>
        </w:rPr>
        <w:t>紧凑预测元数据；最后，利用检测器同次前向中的软掩膜和原型特征建立可选输出细化支路</w:t>
      </w:r>
      <w:r>
        <w:rPr>
          <w:color w:val="B8BFC6"/>
          <w:spacing w:val="-1"/>
        </w:rPr>
        <w:t>。原掩膜继</w:t>
      </w:r>
      <w:r>
        <w:rPr>
          <w:color w:val="B8BFC6"/>
        </w:rPr>
        <w:t>续为分级和排序提供输入，使呈现给分割评价的轮廓能够变化，同时避免无声改变旧分级</w:t>
      </w:r>
      <w:r>
        <w:rPr>
          <w:color w:val="B8BFC6"/>
          <w:spacing w:val="-1"/>
        </w:rPr>
        <w:t>器的输入表</w:t>
      </w:r>
    </w:p>
    <w:p>
      <w:pPr>
        <w:pStyle w:val="BodyText"/>
        <w:ind w:left="483"/>
        <w:spacing w:before="23" w:line="173" w:lineRule="auto"/>
        <w:rPr/>
      </w:pPr>
      <w:r>
        <w:rPr>
          <w:color w:val="B8BFC6"/>
          <w:spacing w:val="-13"/>
        </w:rPr>
        <w:t>示。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484" w:right="638" w:hanging="1"/>
        <w:spacing w:before="103" w:line="227" w:lineRule="auto"/>
        <w:rPr/>
      </w:pPr>
      <w:r>
        <w:rPr>
          <w:color w:val="B8BFC6"/>
        </w:rPr>
        <w:t>本文的贡献是面向当前任务的系统集成及其受控评价。第一，显式表达异质分级规则</w:t>
      </w:r>
      <w:r>
        <w:rPr>
          <w:color w:val="B8BFC6"/>
          <w:spacing w:val="-1"/>
        </w:rPr>
        <w:t>，区分累计等级改</w:t>
      </w:r>
      <w:r>
        <w:rPr>
          <w:color w:val="B8BFC6"/>
        </w:rPr>
        <w:t>善与后续排序改善。第二，通过信息来源对照检验原缺陷证据能否在不增加视觉适配的</w:t>
      </w:r>
      <w:r>
        <w:rPr>
          <w:color w:val="B8BFC6"/>
          <w:spacing w:val="-1"/>
        </w:rPr>
        <w:t>条件下辅助重分</w:t>
      </w:r>
      <w:r>
        <w:rPr>
          <w:color w:val="B8BFC6"/>
        </w:rPr>
        <w:t>类排序。第三，将保持原分级输入的双掩膜设计，与细化后直接重评分及历史二值掩膜</w:t>
      </w:r>
      <w:r>
        <w:rPr>
          <w:color w:val="B8BFC6"/>
          <w:spacing w:val="-1"/>
        </w:rPr>
        <w:t>细化器分别比</w:t>
      </w:r>
    </w:p>
    <w:p>
      <w:pPr>
        <w:pStyle w:val="BodyText"/>
        <w:ind w:left="483" w:right="491"/>
        <w:spacing w:before="3" w:line="234" w:lineRule="auto"/>
        <w:rPr/>
      </w:pPr>
      <w:r>
        <w:rPr>
          <w:color w:val="B8BFC6"/>
        </w:rPr>
        <w:t>较。实验同时保留固定种子、信息消融、来源分组审计、图像配对不确定性、实际流程耗时</w:t>
      </w:r>
      <w:r>
        <w:rPr>
          <w:color w:val="B8BFC6"/>
          <w:spacing w:val="-1"/>
        </w:rPr>
        <w:t>和不利光照</w:t>
      </w:r>
      <w:r>
        <w:rPr>
          <w:color w:val="B8BFC6"/>
        </w:rPr>
        <w:t>条件。开发实验用于方法构建和消融，锁定后的五组方案另在现有</w:t>
      </w:r>
      <w:r>
        <w:rPr>
          <w:rFonts w:ascii="Arial" w:hAnsi="Arial" w:eastAsia="Arial" w:cs="Arial"/>
          <w:color w:val="B8BFC6"/>
        </w:rPr>
        <w:t>test</w:t>
      </w:r>
      <w:r>
        <w:rPr>
          <w:color w:val="B8BFC6"/>
        </w:rPr>
        <w:t>划分上统一评价；两类</w:t>
      </w:r>
      <w:r>
        <w:rPr>
          <w:color w:val="B8BFC6"/>
          <w:spacing w:val="-1"/>
        </w:rPr>
        <w:t>证据分别报</w:t>
      </w:r>
      <w:r>
        <w:rPr>
          <w:color w:val="B8BFC6"/>
          <w:spacing w:val="-13"/>
        </w:rPr>
        <w:t>告。</w:t>
      </w:r>
    </w:p>
    <w:p>
      <w:pPr>
        <w:pStyle w:val="BodyText"/>
        <w:ind w:left="497"/>
        <w:spacing w:before="288" w:line="183" w:lineRule="auto"/>
        <w:outlineLvl w:val="1"/>
        <w:rPr>
          <w:sz w:val="39"/>
          <w:szCs w:val="39"/>
        </w:rPr>
      </w:pPr>
      <w:r>
        <w:rPr>
          <w:rFonts w:ascii="Corbel" w:hAnsi="Corbel" w:eastAsia="Corbel" w:cs="Corbel"/>
          <w:sz w:val="39"/>
          <w:szCs w:val="39"/>
          <w:b/>
          <w:bCs/>
          <w:color w:val="DEDEDE"/>
          <w:spacing w:val="-10"/>
        </w:rPr>
        <w:t>2</w:t>
      </w:r>
      <w:r>
        <w:rPr>
          <w:rFonts w:ascii="Corbel" w:hAnsi="Corbel" w:eastAsia="Corbel" w:cs="Corbel"/>
          <w:sz w:val="39"/>
          <w:szCs w:val="39"/>
          <w:b/>
          <w:bCs/>
          <w:color w:val="DEDEDE"/>
          <w:spacing w:val="-24"/>
        </w:rPr>
        <w:t xml:space="preserve"> </w:t>
      </w:r>
      <w:r>
        <w:rPr>
          <w:sz w:val="39"/>
          <w:szCs w:val="39"/>
          <w:b/>
          <w:bCs/>
          <w:color w:val="DEDEDE"/>
          <w:spacing w:val="-10"/>
        </w:rPr>
        <w:t>相关工作</w:t>
      </w:r>
    </w:p>
    <w:p>
      <w:pPr>
        <w:pStyle w:val="BodyText"/>
        <w:ind w:left="492"/>
        <w:spacing w:before="303" w:line="183" w:lineRule="auto"/>
        <w:outlineLvl w:val="2"/>
        <w:rPr>
          <w:sz w:val="28"/>
          <w:szCs w:val="28"/>
        </w:rPr>
      </w:pP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3"/>
        </w:rPr>
        <w:t>2.1</w:t>
      </w: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23"/>
        </w:rPr>
        <w:t xml:space="preserve"> </w:t>
      </w:r>
      <w:r>
        <w:rPr>
          <w:sz w:val="28"/>
          <w:szCs w:val="28"/>
          <w:b/>
          <w:bCs/>
          <w:color w:val="DEDEDE"/>
          <w:spacing w:val="-13"/>
        </w:rPr>
        <w:t>果品视觉检测、分割与下游测量</w:t>
      </w:r>
    </w:p>
    <w:p>
      <w:pPr>
        <w:pStyle w:val="BodyText"/>
        <w:ind w:left="495" w:right="486" w:hanging="13"/>
        <w:spacing w:before="343" w:line="227" w:lineRule="auto"/>
        <w:rPr/>
      </w:pPr>
      <w:r>
        <w:rPr>
          <w:rFonts w:ascii="Arial" w:hAnsi="Arial" w:eastAsia="Arial" w:cs="Arial"/>
          <w:color w:val="B8BFC6"/>
          <w:spacing w:val="-1"/>
        </w:rPr>
        <w:t>Wang</w:t>
      </w:r>
      <w:r>
        <w:rPr>
          <w:color w:val="B8BFC6"/>
          <w:spacing w:val="-1"/>
        </w:rPr>
        <w:t>等研究了非结构化光照条件下的枸杞特征识别与定位</w:t>
      </w:r>
      <w:r>
        <w:rPr>
          <w:rFonts w:ascii="Arial" w:hAnsi="Arial" w:eastAsia="Arial" w:cs="Arial"/>
          <w:color w:val="B8BFC6"/>
          <w:spacing w:val="-1"/>
        </w:rPr>
        <w:t>[</w:t>
      </w:r>
      <w:hyperlink w:history="true" w:anchor="bookmark13">
        <w:r>
          <w:rPr>
            <w:rFonts w:ascii="Arial" w:hAnsi="Arial" w:eastAsia="Arial" w:cs="Arial"/>
            <w:color w:val="B8BFC6"/>
            <w:spacing w:val="-1"/>
          </w:rPr>
          <w:t>1</w:t>
        </w:r>
      </w:hyperlink>
      <w:r>
        <w:rPr>
          <w:rFonts w:ascii="Arial" w:hAnsi="Arial" w:eastAsia="Arial" w:cs="Arial"/>
          <w:color w:val="B8BFC6"/>
          <w:spacing w:val="-1"/>
        </w:rPr>
        <w:t>]</w:t>
      </w:r>
      <w:r>
        <w:rPr>
          <w:rFonts w:ascii="Arial" w:hAnsi="Arial" w:eastAsia="Arial" w:cs="Arial"/>
          <w:color w:val="B8BFC6"/>
          <w:spacing w:val="-29"/>
        </w:rPr>
        <w:t xml:space="preserve"> </w:t>
      </w:r>
      <w:r>
        <w:rPr>
          <w:color w:val="B8BFC6"/>
          <w:spacing w:val="-1"/>
        </w:rPr>
        <w:t>，</w:t>
      </w:r>
      <w:r>
        <w:rPr>
          <w:rFonts w:ascii="Arial" w:hAnsi="Arial" w:eastAsia="Arial" w:cs="Arial"/>
          <w:color w:val="B8BFC6"/>
          <w:spacing w:val="-1"/>
        </w:rPr>
        <w:t>Huang</w:t>
      </w:r>
      <w:r>
        <w:rPr>
          <w:color w:val="B8BFC6"/>
          <w:spacing w:val="-1"/>
        </w:rPr>
        <w:t>等研究了干枸杞的陈旧果掺杂检测</w:t>
      </w:r>
      <w:r>
        <w:rPr>
          <w:rFonts w:ascii="Arial" w:hAnsi="Arial" w:eastAsia="Arial" w:cs="Arial"/>
          <w:color w:val="B8BFC6"/>
          <w:spacing w:val="-1"/>
        </w:rPr>
        <w:t>[</w:t>
      </w:r>
      <w:hyperlink w:history="true" w:anchor="bookmark14">
        <w:r>
          <w:rPr>
            <w:rFonts w:ascii="Arial" w:hAnsi="Arial" w:eastAsia="Arial" w:cs="Arial"/>
            <w:color w:val="B8BFC6"/>
            <w:spacing w:val="-1"/>
          </w:rPr>
          <w:t>2</w:t>
        </w:r>
      </w:hyperlink>
      <w:r>
        <w:rPr>
          <w:rFonts w:ascii="Arial" w:hAnsi="Arial" w:eastAsia="Arial" w:cs="Arial"/>
          <w:color w:val="B8BFC6"/>
          <w:spacing w:val="-1"/>
        </w:rPr>
        <w:t>]</w:t>
      </w:r>
      <w:r>
        <w:rPr>
          <w:color w:val="B8BFC6"/>
          <w:spacing w:val="-1"/>
        </w:rPr>
        <w:t>。前者的采摘定位目标、后者的干果新鲜度目</w:t>
      </w:r>
      <w:r>
        <w:rPr>
          <w:color w:val="B8BFC6"/>
          <w:spacing w:val="-2"/>
        </w:rPr>
        <w:t>标，与本文含果梗规则的外观分级有所不同。</w:t>
      </w:r>
    </w:p>
    <w:p>
      <w:pPr>
        <w:pStyle w:val="BodyText"/>
        <w:ind w:left="480" w:right="556" w:firstLine="16"/>
        <w:spacing w:before="3" w:line="229" w:lineRule="auto"/>
        <w:rPr/>
      </w:pPr>
      <w:r>
        <w:rPr>
          <w:rFonts w:ascii="Arial" w:hAnsi="Arial" w:eastAsia="Arial" w:cs="Arial"/>
          <w:color w:val="B8BFC6"/>
          <w:spacing w:val="-1"/>
        </w:rPr>
        <w:t>Kusakunniran</w:t>
      </w:r>
      <w:r>
        <w:rPr>
          <w:color w:val="B8BFC6"/>
          <w:spacing w:val="-1"/>
        </w:rPr>
        <w:t>等研究了实例分割尺寸估计与多视角山竹外观评估的集成</w:t>
      </w:r>
      <w:r>
        <w:rPr>
          <w:rFonts w:ascii="Arial" w:hAnsi="Arial" w:eastAsia="Arial" w:cs="Arial"/>
          <w:color w:val="B8BFC6"/>
          <w:spacing w:val="-1"/>
        </w:rPr>
        <w:t>[</w:t>
      </w:r>
      <w:hyperlink w:history="true" w:anchor="bookmark15">
        <w:r>
          <w:rPr>
            <w:rFonts w:ascii="Arial" w:hAnsi="Arial" w:eastAsia="Arial" w:cs="Arial"/>
            <w:color w:val="B8BFC6"/>
            <w:spacing w:val="-1"/>
          </w:rPr>
          <w:t>3</w:t>
        </w:r>
      </w:hyperlink>
      <w:r>
        <w:rPr>
          <w:rFonts w:ascii="Arial" w:hAnsi="Arial" w:eastAsia="Arial" w:cs="Arial"/>
          <w:color w:val="B8BFC6"/>
          <w:spacing w:val="-1"/>
        </w:rPr>
        <w:t>]</w:t>
      </w:r>
      <w:r>
        <w:rPr>
          <w:rFonts w:ascii="Arial" w:hAnsi="Arial" w:eastAsia="Arial" w:cs="Arial"/>
          <w:color w:val="B8BFC6"/>
          <w:spacing w:val="-30"/>
        </w:rPr>
        <w:t xml:space="preserve"> </w:t>
      </w:r>
      <w:r>
        <w:rPr>
          <w:color w:val="B8BFC6"/>
          <w:spacing w:val="-1"/>
        </w:rPr>
        <w:t>；</w:t>
      </w:r>
      <w:r>
        <w:rPr>
          <w:rFonts w:ascii="Arial" w:hAnsi="Arial" w:eastAsia="Arial" w:cs="Arial"/>
          <w:color w:val="B8BFC6"/>
          <w:spacing w:val="-1"/>
        </w:rPr>
        <w:t>Lu</w:t>
      </w:r>
      <w:r>
        <w:rPr>
          <w:color w:val="B8BFC6"/>
          <w:spacing w:val="-1"/>
        </w:rPr>
        <w:t>等将辣椒实例分割、</w:t>
      </w:r>
      <w:r>
        <w:rPr>
          <w:color w:val="B8BFC6"/>
          <w:spacing w:val="-2"/>
        </w:rPr>
        <w:t>几何</w:t>
      </w:r>
      <w:r>
        <w:rPr>
          <w:color w:val="B8BFC6"/>
        </w:rPr>
        <w:t>特征提取和含杂率预测联系起来</w:t>
      </w:r>
      <w:r>
        <w:rPr>
          <w:rFonts w:ascii="Arial" w:hAnsi="Arial" w:eastAsia="Arial" w:cs="Arial"/>
          <w:color w:val="B8BFC6"/>
        </w:rPr>
        <w:t>[</w:t>
      </w:r>
      <w:hyperlink w:history="true" w:anchor="bookmark16">
        <w:r>
          <w:rPr>
            <w:rFonts w:ascii="Arial" w:hAnsi="Arial" w:eastAsia="Arial" w:cs="Arial"/>
            <w:color w:val="B8BFC6"/>
          </w:rPr>
          <w:t>4</w:t>
        </w:r>
      </w:hyperlink>
      <w:r>
        <w:rPr>
          <w:rFonts w:ascii="Arial" w:hAnsi="Arial" w:eastAsia="Arial" w:cs="Arial"/>
          <w:color w:val="B8BFC6"/>
        </w:rPr>
        <w:t>]</w:t>
      </w:r>
      <w:r>
        <w:rPr>
          <w:color w:val="B8BFC6"/>
        </w:rPr>
        <w:t>。这些工作提示，应当评价从分割结果到下游决策的完整</w:t>
      </w:r>
      <w:r>
        <w:rPr>
          <w:color w:val="B8BFC6"/>
          <w:spacing w:val="-1"/>
        </w:rPr>
        <w:t>链路，而不</w:t>
      </w:r>
      <w:r>
        <w:rPr>
          <w:color w:val="B8BFC6"/>
          <w:spacing w:val="-2"/>
        </w:rPr>
        <w:t>能假定不同果种、标签规则和成像条件中的性能数值可以直接迁移。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80" w:right="638" w:firstLine="17"/>
        <w:spacing w:before="104"/>
        <w:rPr/>
      </w:pPr>
      <w:r>
        <w:rPr>
          <w:rFonts w:ascii="Arial" w:hAnsi="Arial" w:eastAsia="Arial" w:cs="Arial"/>
          <w:color w:val="B8BFC6"/>
        </w:rPr>
        <w:t>Mask</w:t>
      </w:r>
      <w:r>
        <w:rPr>
          <w:rFonts w:ascii="Arial" w:hAnsi="Arial" w:eastAsia="Arial" w:cs="Arial"/>
          <w:color w:val="B8BFC6"/>
          <w:spacing w:val="19"/>
        </w:rPr>
        <w:t xml:space="preserve"> </w:t>
      </w:r>
      <w:r>
        <w:rPr>
          <w:rFonts w:ascii="Arial" w:hAnsi="Arial" w:eastAsia="Arial" w:cs="Arial"/>
          <w:color w:val="B8BFC6"/>
        </w:rPr>
        <w:t>R-CNN</w:t>
      </w:r>
      <w:r>
        <w:rPr>
          <w:color w:val="B8BFC6"/>
        </w:rPr>
        <w:t>和</w:t>
      </w:r>
      <w:r>
        <w:rPr>
          <w:rFonts w:ascii="Arial" w:hAnsi="Arial" w:eastAsia="Arial" w:cs="Arial"/>
          <w:color w:val="B8BFC6"/>
        </w:rPr>
        <w:t>YOLACT</w:t>
      </w:r>
      <w:r>
        <w:rPr>
          <w:color w:val="B8BFC6"/>
        </w:rPr>
        <w:t>是具有代表性的实例分割方法</w:t>
      </w:r>
      <w:r>
        <w:rPr>
          <w:rFonts w:ascii="Arial" w:hAnsi="Arial" w:eastAsia="Arial" w:cs="Arial"/>
          <w:color w:val="B8BFC6"/>
        </w:rPr>
        <w:t>[</w:t>
      </w:r>
      <w:hyperlink w:history="true" w:anchor="bookmark17">
        <w:r>
          <w:rPr>
            <w:rFonts w:ascii="Arial" w:hAnsi="Arial" w:eastAsia="Arial" w:cs="Arial"/>
            <w:color w:val="B8BFC6"/>
          </w:rPr>
          <w:t>5</w:t>
        </w:r>
      </w:hyperlink>
      <w:r>
        <w:rPr>
          <w:rFonts w:ascii="Arial" w:hAnsi="Arial" w:eastAsia="Arial" w:cs="Arial"/>
          <w:color w:val="B8BFC6"/>
        </w:rPr>
        <w:t>,</w:t>
      </w:r>
      <w:hyperlink w:history="true" w:anchor="bookmark18">
        <w:r>
          <w:rPr>
            <w:rFonts w:ascii="Arial" w:hAnsi="Arial" w:eastAsia="Arial" w:cs="Arial"/>
            <w:color w:val="B8BFC6"/>
          </w:rPr>
          <w:t>6</w:t>
        </w:r>
      </w:hyperlink>
      <w:r>
        <w:rPr>
          <w:rFonts w:ascii="Arial" w:hAnsi="Arial" w:eastAsia="Arial" w:cs="Arial"/>
          <w:color w:val="B8BFC6"/>
        </w:rPr>
        <w:t>]</w:t>
      </w:r>
      <w:r>
        <w:rPr>
          <w:color w:val="B8BFC6"/>
          <w:spacing w:val="-1"/>
        </w:rPr>
        <w:t>，本文采用的检测器实现来自</w:t>
      </w:r>
      <w:r>
        <w:rPr>
          <w:rFonts w:ascii="Arial" w:hAnsi="Arial" w:eastAsia="Arial" w:cs="Arial"/>
          <w:color w:val="B8BFC6"/>
          <w:spacing w:val="-1"/>
        </w:rPr>
        <w:t>YOLO26[</w:t>
      </w:r>
      <w:hyperlink w:history="true" w:anchor="bookmark19">
        <w:r>
          <w:rPr>
            <w:rFonts w:ascii="Arial" w:hAnsi="Arial" w:eastAsia="Arial" w:cs="Arial"/>
            <w:color w:val="B8BFC6"/>
            <w:spacing w:val="-1"/>
          </w:rPr>
          <w:t>7</w:t>
        </w:r>
      </w:hyperlink>
      <w:r>
        <w:rPr>
          <w:rFonts w:ascii="Arial" w:hAnsi="Arial" w:eastAsia="Arial" w:cs="Arial"/>
          <w:color w:val="B8BFC6"/>
          <w:spacing w:val="-1"/>
        </w:rPr>
        <w:t>]</w:t>
      </w:r>
      <w:r>
        <w:rPr>
          <w:color w:val="B8BFC6"/>
          <w:spacing w:val="-1"/>
        </w:rPr>
        <w:t>。</w:t>
      </w:r>
      <w:r>
        <w:rPr>
          <w:color w:val="B8BFC6"/>
        </w:rPr>
        <w:t>本文保留既有任务训练检查点，重点研究其输出与独立分级器之间的兼容关系。所提出流程不属于</w:t>
      </w:r>
      <w:r>
        <w:rPr>
          <w:color w:val="B8BFC6"/>
          <w:spacing w:val="-1"/>
        </w:rPr>
        <w:t>新的</w:t>
      </w:r>
      <w:r>
        <w:rPr>
          <w:rFonts w:ascii="Arial" w:hAnsi="Arial" w:eastAsia="Arial" w:cs="Arial"/>
          <w:color w:val="B8BFC6"/>
          <w:spacing w:val="-1"/>
        </w:rPr>
        <w:t>YOLO</w:t>
      </w:r>
      <w:r>
        <w:rPr>
          <w:color w:val="B8BFC6"/>
          <w:spacing w:val="-1"/>
        </w:rPr>
        <w:t>主干架构，现有实验也不足以得出优于所有</w:t>
      </w:r>
      <w:r>
        <w:rPr>
          <w:color w:val="B8BFC6"/>
          <w:spacing w:val="-2"/>
        </w:rPr>
        <w:t>现有实例分割网络的结论。</w:t>
      </w:r>
    </w:p>
    <w:p>
      <w:pPr>
        <w:sectPr>
          <w:headerReference w:type="default" r:id="rId2"/>
          <w:pgSz w:w="11919" w:h="16858"/>
          <w:pgMar w:top="400" w:right="0" w:bottom="0" w:left="0" w:header="0" w:footer="0" w:gutter="0"/>
        </w:sectPr>
        <w:rPr/>
      </w:pPr>
    </w:p>
    <w:p>
      <w:pPr>
        <w:spacing w:line="407" w:lineRule="auto"/>
        <w:rPr>
          <w:rFonts w:ascii="Arial"/>
          <w:sz w:val="21"/>
        </w:rPr>
      </w:pPr>
      <w:r/>
    </w:p>
    <w:p>
      <w:pPr>
        <w:pStyle w:val="BodyText"/>
        <w:ind w:left="492"/>
        <w:spacing w:before="120" w:line="184" w:lineRule="auto"/>
        <w:outlineLvl w:val="2"/>
        <w:rPr>
          <w:sz w:val="28"/>
          <w:szCs w:val="28"/>
        </w:rPr>
      </w:pP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1"/>
          <w:w w:val="99"/>
        </w:rPr>
        <w:t>2.2</w:t>
      </w: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3"/>
        </w:rPr>
        <w:t xml:space="preserve"> </w:t>
      </w:r>
      <w:r>
        <w:rPr>
          <w:sz w:val="28"/>
          <w:szCs w:val="28"/>
          <w:b/>
          <w:bCs/>
          <w:color w:val="DEDEDE"/>
          <w:spacing w:val="-11"/>
          <w:w w:val="99"/>
        </w:rPr>
        <w:t>质量感知排序与概率校准</w:t>
      </w:r>
    </w:p>
    <w:p>
      <w:pPr>
        <w:pStyle w:val="BodyText"/>
        <w:ind w:left="481" w:right="596" w:firstLine="16"/>
        <w:spacing w:before="343" w:line="233" w:lineRule="auto"/>
        <w:jc w:val="both"/>
        <w:rPr/>
      </w:pPr>
      <w:r>
        <w:rPr>
          <w:rFonts w:ascii="Arial" w:hAnsi="Arial" w:eastAsia="Arial" w:cs="Arial"/>
          <w:color w:val="B8BFC6"/>
          <w:spacing w:val="-2"/>
        </w:rPr>
        <w:t>Mask Scoring</w:t>
      </w:r>
      <w:r>
        <w:rPr>
          <w:rFonts w:ascii="Arial" w:hAnsi="Arial" w:eastAsia="Arial" w:cs="Arial"/>
          <w:color w:val="B8BFC6"/>
          <w:spacing w:val="35"/>
          <w:w w:val="101"/>
        </w:rPr>
        <w:t xml:space="preserve"> </w:t>
      </w:r>
      <w:r>
        <w:rPr>
          <w:rFonts w:ascii="Arial" w:hAnsi="Arial" w:eastAsia="Arial" w:cs="Arial"/>
          <w:color w:val="B8BFC6"/>
          <w:spacing w:val="-2"/>
        </w:rPr>
        <w:t>R-CNN</w:t>
      </w:r>
      <w:r>
        <w:rPr>
          <w:color w:val="B8BFC6"/>
          <w:spacing w:val="-2"/>
        </w:rPr>
        <w:t>研究了分类置信度与掩膜质量之间的不匹配</w:t>
      </w:r>
      <w:r>
        <w:rPr>
          <w:rFonts w:ascii="Arial" w:hAnsi="Arial" w:eastAsia="Arial" w:cs="Arial"/>
          <w:color w:val="B8BFC6"/>
          <w:spacing w:val="-2"/>
        </w:rPr>
        <w:t>[</w:t>
      </w:r>
      <w:hyperlink w:history="true" w:anchor="bookmark20">
        <w:r>
          <w:rPr>
            <w:rFonts w:ascii="Arial" w:hAnsi="Arial" w:eastAsia="Arial" w:cs="Arial"/>
            <w:color w:val="B8BFC6"/>
            <w:spacing w:val="-2"/>
          </w:rPr>
          <w:t>8</w:t>
        </w:r>
      </w:hyperlink>
      <w:r>
        <w:rPr>
          <w:rFonts w:ascii="Arial" w:hAnsi="Arial" w:eastAsia="Arial" w:cs="Arial"/>
          <w:color w:val="B8BFC6"/>
          <w:spacing w:val="-2"/>
        </w:rPr>
        <w:t>]</w:t>
      </w:r>
      <w:r>
        <w:rPr>
          <w:rFonts w:ascii="Arial" w:hAnsi="Arial" w:eastAsia="Arial" w:cs="Arial"/>
          <w:color w:val="B8BFC6"/>
          <w:spacing w:val="-30"/>
        </w:rPr>
        <w:t xml:space="preserve"> </w:t>
      </w:r>
      <w:r>
        <w:rPr>
          <w:color w:val="B8BFC6"/>
          <w:spacing w:val="-2"/>
        </w:rPr>
        <w:t>；</w:t>
      </w:r>
      <w:r>
        <w:rPr>
          <w:rFonts w:ascii="Arial" w:hAnsi="Arial" w:eastAsia="Arial" w:cs="Arial"/>
          <w:color w:val="B8BFC6"/>
          <w:spacing w:val="-2"/>
        </w:rPr>
        <w:t>Generalized</w:t>
      </w:r>
      <w:r>
        <w:rPr>
          <w:rFonts w:ascii="Arial" w:hAnsi="Arial" w:eastAsia="Arial" w:cs="Arial"/>
          <w:color w:val="B8BFC6"/>
          <w:spacing w:val="19"/>
        </w:rPr>
        <w:t xml:space="preserve"> </w:t>
      </w:r>
      <w:r>
        <w:rPr>
          <w:rFonts w:ascii="Arial" w:hAnsi="Arial" w:eastAsia="Arial" w:cs="Arial"/>
          <w:color w:val="B8BFC6"/>
          <w:spacing w:val="-2"/>
        </w:rPr>
        <w:t>Focal</w:t>
      </w:r>
      <w:r>
        <w:rPr>
          <w:rFonts w:ascii="Arial" w:hAnsi="Arial" w:eastAsia="Arial" w:cs="Arial"/>
          <w:color w:val="B8BFC6"/>
          <w:spacing w:val="17"/>
          <w:w w:val="101"/>
        </w:rPr>
        <w:t xml:space="preserve"> </w:t>
      </w:r>
      <w:r>
        <w:rPr>
          <w:rFonts w:ascii="Arial" w:hAnsi="Arial" w:eastAsia="Arial" w:cs="Arial"/>
          <w:color w:val="B8BFC6"/>
          <w:spacing w:val="-2"/>
        </w:rPr>
        <w:t>Loss</w:t>
      </w:r>
      <w:r>
        <w:rPr>
          <w:color w:val="B8BFC6"/>
          <w:spacing w:val="-2"/>
        </w:rPr>
        <w:t>研究了定</w:t>
      </w:r>
      <w:r>
        <w:rPr>
          <w:color w:val="B8BFC6"/>
        </w:rPr>
        <w:t>位质量与分类的联合表示</w:t>
      </w:r>
      <w:r>
        <w:rPr>
          <w:rFonts w:ascii="Arial" w:hAnsi="Arial" w:eastAsia="Arial" w:cs="Arial"/>
          <w:color w:val="B8BFC6"/>
        </w:rPr>
        <w:t>[</w:t>
      </w:r>
      <w:hyperlink w:history="true" w:anchor="bookmark21">
        <w:r>
          <w:rPr>
            <w:rFonts w:ascii="Arial" w:hAnsi="Arial" w:eastAsia="Arial" w:cs="Arial"/>
            <w:color w:val="B8BFC6"/>
          </w:rPr>
          <w:t>9</w:t>
        </w:r>
      </w:hyperlink>
      <w:r>
        <w:rPr>
          <w:rFonts w:ascii="Arial" w:hAnsi="Arial" w:eastAsia="Arial" w:cs="Arial"/>
          <w:color w:val="B8BFC6"/>
        </w:rPr>
        <w:t>]</w:t>
      </w:r>
      <w:r>
        <w:rPr>
          <w:color w:val="B8BFC6"/>
        </w:rPr>
        <w:t>。这些工作与本文的共同关注点，是区分类别判断与预测</w:t>
      </w:r>
      <w:r>
        <w:rPr>
          <w:color w:val="B8BFC6"/>
          <w:spacing w:val="-1"/>
        </w:rPr>
        <w:t>质量排序。本文在</w:t>
      </w:r>
      <w:r>
        <w:rPr>
          <w:color w:val="B8BFC6"/>
        </w:rPr>
        <w:t>外观等级确定之后定义质量监督，输入中包含已经存在的缺陷估计，进一步比较有用信息是否必</w:t>
      </w:r>
      <w:r>
        <w:rPr>
          <w:color w:val="B8BFC6"/>
          <w:spacing w:val="-1"/>
        </w:rPr>
        <w:t>须来自</w:t>
      </w:r>
      <w:r>
        <w:rPr>
          <w:color w:val="B8BFC6"/>
          <w:spacing w:val="-7"/>
        </w:rPr>
        <w:t>新视觉适配。</w:t>
      </w:r>
    </w:p>
    <w:p>
      <w:pPr>
        <w:pStyle w:val="BodyText"/>
        <w:ind w:left="482" w:right="611"/>
        <w:spacing w:before="317" w:line="230" w:lineRule="auto"/>
        <w:rPr/>
      </w:pPr>
      <w:r>
        <w:rPr>
          <w:color w:val="B8BFC6"/>
        </w:rPr>
        <w:t>概率校准关注预测概率与实际正确频率的一致性</w:t>
      </w:r>
      <w:r>
        <w:rPr>
          <w:rFonts w:ascii="Arial" w:hAnsi="Arial" w:eastAsia="Arial" w:cs="Arial"/>
          <w:color w:val="B8BFC6"/>
        </w:rPr>
        <w:t>[</w:t>
      </w:r>
      <w:hyperlink w:history="true" w:anchor="bookmark22">
        <w:r>
          <w:rPr>
            <w:rFonts w:ascii="Arial" w:hAnsi="Arial" w:eastAsia="Arial" w:cs="Arial"/>
            <w:color w:val="B8BFC6"/>
          </w:rPr>
          <w:t>12</w:t>
        </w:r>
      </w:hyperlink>
      <w:r>
        <w:rPr>
          <w:rFonts w:ascii="Arial" w:hAnsi="Arial" w:eastAsia="Arial" w:cs="Arial"/>
          <w:color w:val="B8BFC6"/>
        </w:rPr>
        <w:t>]</w:t>
      </w:r>
      <w:r>
        <w:rPr>
          <w:color w:val="B8BFC6"/>
        </w:rPr>
        <w:t>。本文排序目标为多个掩膜</w:t>
      </w:r>
      <w:r>
        <w:rPr>
          <w:rFonts w:ascii="Arial" w:hAnsi="Arial" w:eastAsia="Arial" w:cs="Arial"/>
          <w:color w:val="B8BFC6"/>
        </w:rPr>
        <w:t>IoU</w:t>
      </w:r>
      <w:r>
        <w:rPr>
          <w:color w:val="B8BFC6"/>
        </w:rPr>
        <w:t>阈值下兼</w:t>
      </w:r>
      <w:r>
        <w:rPr>
          <w:color w:val="B8BFC6"/>
          <w:spacing w:val="-1"/>
        </w:rPr>
        <w:t>容性的均</w:t>
      </w:r>
      <w:r>
        <w:rPr>
          <w:color w:val="B8BFC6"/>
        </w:rPr>
        <w:t>值，输出还与原检测置信度相乘。因此，本文采用</w:t>
      </w:r>
      <w:r>
        <w:rPr>
          <w:rFonts w:ascii="Arial" w:hAnsi="Arial" w:eastAsia="Arial" w:cs="Arial"/>
          <w:color w:val="B8BFC6"/>
        </w:rPr>
        <w:t>“</w:t>
      </w:r>
      <w:r>
        <w:rPr>
          <w:color w:val="B8BFC6"/>
        </w:rPr>
        <w:t>质量排序</w:t>
      </w:r>
      <w:r>
        <w:rPr>
          <w:rFonts w:ascii="Arial" w:hAnsi="Arial" w:eastAsia="Arial" w:cs="Arial"/>
          <w:color w:val="B8BFC6"/>
        </w:rPr>
        <w:t>”</w:t>
      </w:r>
      <w:r>
        <w:rPr>
          <w:color w:val="B8BFC6"/>
        </w:rPr>
        <w:t>这一表述，不把二元交叉熵训练、</w:t>
      </w:r>
      <w:r>
        <w:rPr>
          <w:rFonts w:ascii="Arial" w:hAnsi="Arial" w:eastAsia="Arial" w:cs="Arial"/>
          <w:color w:val="B8BFC6"/>
        </w:rPr>
        <w:t>sig</w:t>
      </w:r>
      <w:r>
        <w:rPr>
          <w:rFonts w:ascii="Arial" w:hAnsi="Arial" w:eastAsia="Arial" w:cs="Arial"/>
          <w:color w:val="B8BFC6"/>
          <w:spacing w:val="-1"/>
        </w:rPr>
        <w:t>moid</w:t>
      </w:r>
      <w:r>
        <w:rPr>
          <w:color w:val="B8BFC6"/>
          <w:spacing w:val="-1"/>
        </w:rPr>
        <w:t>输出或</w:t>
      </w:r>
      <w:r>
        <w:rPr>
          <w:rFonts w:ascii="Arial" w:hAnsi="Arial" w:eastAsia="Arial" w:cs="Arial"/>
          <w:color w:val="B8BFC6"/>
          <w:spacing w:val="-1"/>
        </w:rPr>
        <w:t>AP</w:t>
      </w:r>
      <w:r>
        <w:rPr>
          <w:color w:val="B8BFC6"/>
          <w:spacing w:val="-1"/>
        </w:rPr>
        <w:t>改善直接解释为正确概率已校准，也不据此宣</w:t>
      </w:r>
      <w:r>
        <w:rPr>
          <w:color w:val="B8BFC6"/>
          <w:spacing w:val="-2"/>
        </w:rPr>
        <w:t>称已经建立安全拒绝机制。</w:t>
      </w:r>
    </w:p>
    <w:p>
      <w:pPr>
        <w:pStyle w:val="BodyText"/>
        <w:ind w:left="492"/>
        <w:spacing w:before="358" w:line="184" w:lineRule="auto"/>
        <w:outlineLvl w:val="2"/>
        <w:rPr>
          <w:sz w:val="28"/>
          <w:szCs w:val="28"/>
        </w:rPr>
      </w:pP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1"/>
          <w:w w:val="99"/>
        </w:rPr>
        <w:t>2.3</w:t>
      </w: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3"/>
        </w:rPr>
        <w:t xml:space="preserve"> </w:t>
      </w:r>
      <w:r>
        <w:rPr>
          <w:sz w:val="28"/>
          <w:szCs w:val="28"/>
          <w:b/>
          <w:bCs/>
          <w:color w:val="DEDEDE"/>
          <w:spacing w:val="-11"/>
          <w:w w:val="99"/>
        </w:rPr>
        <w:t>边界细化及其下游兼容性</w:t>
      </w:r>
    </w:p>
    <w:p>
      <w:pPr>
        <w:pStyle w:val="BodyText"/>
        <w:ind w:left="498"/>
        <w:spacing w:before="341" w:line="226" w:lineRule="auto"/>
        <w:rPr/>
      </w:pPr>
      <w:r>
        <w:rPr>
          <w:rFonts w:ascii="Arial" w:hAnsi="Arial" w:eastAsia="Arial" w:cs="Arial"/>
          <w:color w:val="B8BFC6"/>
          <w:spacing w:val="-1"/>
        </w:rPr>
        <w:t>PointRend</w:t>
      </w:r>
      <w:r>
        <w:rPr>
          <w:color w:val="B8BFC6"/>
          <w:spacing w:val="-1"/>
        </w:rPr>
        <w:t>从点式渲染角度研究高质量</w:t>
      </w:r>
      <w:r>
        <w:rPr>
          <w:color w:val="B8BFC6"/>
          <w:spacing w:val="-2"/>
        </w:rPr>
        <w:t>图像分割</w:t>
      </w:r>
      <w:r>
        <w:rPr>
          <w:rFonts w:ascii="Arial" w:hAnsi="Arial" w:eastAsia="Arial" w:cs="Arial"/>
          <w:color w:val="B8BFC6"/>
          <w:spacing w:val="-2"/>
        </w:rPr>
        <w:t>[</w:t>
      </w:r>
      <w:hyperlink w:history="true" w:anchor="bookmark23">
        <w:r>
          <w:rPr>
            <w:rFonts w:ascii="Arial" w:hAnsi="Arial" w:eastAsia="Arial" w:cs="Arial"/>
            <w:color w:val="B8BFC6"/>
            <w:spacing w:val="-2"/>
          </w:rPr>
          <w:t>10</w:t>
        </w:r>
      </w:hyperlink>
      <w:r>
        <w:rPr>
          <w:rFonts w:ascii="Arial" w:hAnsi="Arial" w:eastAsia="Arial" w:cs="Arial"/>
          <w:color w:val="B8BFC6"/>
          <w:spacing w:val="-2"/>
        </w:rPr>
        <w:t>]</w:t>
      </w:r>
      <w:r>
        <w:rPr>
          <w:rFonts w:ascii="Arial" w:hAnsi="Arial" w:eastAsia="Arial" w:cs="Arial"/>
          <w:color w:val="B8BFC6"/>
          <w:spacing w:val="-30"/>
        </w:rPr>
        <w:t xml:space="preserve"> </w:t>
      </w:r>
      <w:r>
        <w:rPr>
          <w:color w:val="B8BFC6"/>
          <w:spacing w:val="-2"/>
        </w:rPr>
        <w:t>，</w:t>
      </w:r>
      <w:r>
        <w:rPr>
          <w:rFonts w:ascii="Arial" w:hAnsi="Arial" w:eastAsia="Arial" w:cs="Arial"/>
          <w:color w:val="B8BFC6"/>
          <w:spacing w:val="-2"/>
        </w:rPr>
        <w:t>Boundary</w:t>
      </w:r>
      <w:r>
        <w:rPr>
          <w:rFonts w:ascii="Arial" w:hAnsi="Arial" w:eastAsia="Arial" w:cs="Arial"/>
          <w:color w:val="B8BFC6"/>
          <w:spacing w:val="22"/>
          <w:w w:val="101"/>
        </w:rPr>
        <w:t xml:space="preserve"> </w:t>
      </w:r>
      <w:r>
        <w:rPr>
          <w:rFonts w:ascii="Arial" w:hAnsi="Arial" w:eastAsia="Arial" w:cs="Arial"/>
          <w:color w:val="B8BFC6"/>
          <w:spacing w:val="-2"/>
        </w:rPr>
        <w:t>IoU</w:t>
      </w:r>
      <w:r>
        <w:rPr>
          <w:color w:val="B8BFC6"/>
          <w:spacing w:val="-2"/>
        </w:rPr>
        <w:t>研究面向轮廓质量的分割评价</w:t>
      </w:r>
      <w:r>
        <w:rPr>
          <w:rFonts w:ascii="Arial" w:hAnsi="Arial" w:eastAsia="Arial" w:cs="Arial"/>
          <w:color w:val="B8BFC6"/>
          <w:spacing w:val="-2"/>
        </w:rPr>
        <w:t>[</w:t>
      </w:r>
      <w:hyperlink w:history="true" w:anchor="bookmark24">
        <w:r>
          <w:rPr>
            <w:rFonts w:ascii="Arial" w:hAnsi="Arial" w:eastAsia="Arial" w:cs="Arial"/>
            <w:color w:val="B8BFC6"/>
            <w:spacing w:val="-2"/>
          </w:rPr>
          <w:t>11</w:t>
        </w:r>
      </w:hyperlink>
      <w:r>
        <w:rPr>
          <w:rFonts w:ascii="Arial" w:hAnsi="Arial" w:eastAsia="Arial" w:cs="Arial"/>
          <w:color w:val="B8BFC6"/>
          <w:spacing w:val="-2"/>
        </w:rPr>
        <w:t>]</w:t>
      </w:r>
      <w:r>
        <w:rPr>
          <w:color w:val="B8BFC6"/>
          <w:spacing w:val="-2"/>
        </w:rPr>
        <w:t>。</w:t>
      </w:r>
    </w:p>
    <w:p>
      <w:pPr>
        <w:pStyle w:val="BodyText"/>
        <w:ind w:left="482" w:right="481"/>
        <w:spacing w:before="45" w:line="228" w:lineRule="auto"/>
        <w:rPr/>
      </w:pPr>
      <w:r>
        <w:rPr>
          <w:color w:val="B8BFC6"/>
        </w:rPr>
        <w:t>这些方向为利用细粒度信息和在</w:t>
      </w:r>
      <w:r>
        <w:rPr>
          <w:rFonts w:ascii="Arial" w:hAnsi="Arial" w:eastAsia="Arial" w:cs="Arial"/>
          <w:color w:val="B8BFC6"/>
        </w:rPr>
        <w:t>AP50</w:t>
      </w:r>
      <w:r>
        <w:rPr>
          <w:color w:val="B8BFC6"/>
        </w:rPr>
        <w:t>之外检查几何保真度提供了依据。本文采用检测器原型特</w:t>
      </w:r>
      <w:r>
        <w:rPr>
          <w:color w:val="B8BFC6"/>
          <w:spacing w:val="-1"/>
        </w:rPr>
        <w:t>征驱动的</w:t>
      </w:r>
      <w:r>
        <w:rPr>
          <w:color w:val="B8BFC6"/>
        </w:rPr>
        <w:t>密集逐点残差头，并非完整复现</w:t>
      </w:r>
      <w:r>
        <w:rPr>
          <w:rFonts w:ascii="Arial" w:hAnsi="Arial" w:eastAsia="Arial" w:cs="Arial"/>
          <w:color w:val="B8BFC6"/>
        </w:rPr>
        <w:t>PointRend</w:t>
      </w:r>
      <w:r>
        <w:rPr>
          <w:color w:val="B8BFC6"/>
        </w:rPr>
        <w:t>。本文重点检验的是表示兼容：保持原分级</w:t>
      </w:r>
      <w:r>
        <w:rPr>
          <w:color w:val="B8BFC6"/>
          <w:spacing w:val="-1"/>
        </w:rPr>
        <w:t>输入，同时细化最</w:t>
      </w:r>
      <w:r>
        <w:rPr>
          <w:color w:val="B8BFC6"/>
        </w:rPr>
        <w:t>终分割输出。该选择来自实际观察，即轮廓重叠改善后，将新掩膜直接送入旧评分器并不总</w:t>
      </w:r>
      <w:r>
        <w:rPr>
          <w:color w:val="B8BFC6"/>
          <w:spacing w:val="-1"/>
        </w:rPr>
        <w:t>能改善分</w:t>
      </w:r>
    </w:p>
    <w:p>
      <w:pPr>
        <w:pStyle w:val="BodyText"/>
        <w:ind w:left="483"/>
        <w:spacing w:before="1" w:line="182" w:lineRule="auto"/>
        <w:rPr/>
      </w:pPr>
      <w:r>
        <w:rPr>
          <w:color w:val="B8BFC6"/>
          <w:spacing w:val="-13"/>
        </w:rPr>
        <w:t>级。</w:t>
      </w:r>
    </w:p>
    <w:p>
      <w:pPr>
        <w:pStyle w:val="BodyText"/>
        <w:ind w:left="494"/>
        <w:spacing w:before="399" w:line="183" w:lineRule="auto"/>
        <w:outlineLvl w:val="1"/>
        <w:rPr>
          <w:sz w:val="39"/>
          <w:szCs w:val="39"/>
        </w:rPr>
      </w:pPr>
      <w:r>
        <w:rPr>
          <w:rFonts w:ascii="Corbel" w:hAnsi="Corbel" w:eastAsia="Corbel" w:cs="Corbel"/>
          <w:sz w:val="39"/>
          <w:szCs w:val="39"/>
          <w:b/>
          <w:bCs/>
          <w:color w:val="DEDEDE"/>
          <w:spacing w:val="-10"/>
        </w:rPr>
        <w:t>3</w:t>
      </w:r>
      <w:r>
        <w:rPr>
          <w:rFonts w:ascii="Corbel" w:hAnsi="Corbel" w:eastAsia="Corbel" w:cs="Corbel"/>
          <w:sz w:val="39"/>
          <w:szCs w:val="39"/>
          <w:b/>
          <w:bCs/>
          <w:color w:val="DEDEDE"/>
          <w:spacing w:val="-25"/>
        </w:rPr>
        <w:t xml:space="preserve"> </w:t>
      </w:r>
      <w:r>
        <w:rPr>
          <w:sz w:val="39"/>
          <w:szCs w:val="39"/>
          <w:b/>
          <w:bCs/>
          <w:color w:val="DEDEDE"/>
          <w:spacing w:val="-10"/>
        </w:rPr>
        <w:t>材料与方法</w:t>
      </w:r>
    </w:p>
    <w:p>
      <w:pPr>
        <w:pStyle w:val="BodyText"/>
        <w:ind w:left="490"/>
        <w:spacing w:before="303" w:line="183" w:lineRule="auto"/>
        <w:outlineLvl w:val="2"/>
        <w:rPr>
          <w:sz w:val="28"/>
          <w:szCs w:val="28"/>
        </w:rPr>
      </w:pP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3"/>
        </w:rPr>
        <w:t>3.1</w:t>
      </w: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9"/>
        </w:rPr>
        <w:t xml:space="preserve"> </w:t>
      </w:r>
      <w:r>
        <w:rPr>
          <w:sz w:val="28"/>
          <w:szCs w:val="28"/>
          <w:b/>
          <w:bCs/>
          <w:color w:val="DEDEDE"/>
          <w:spacing w:val="-13"/>
        </w:rPr>
        <w:t>数据、标注与候选分级规则</w:t>
      </w:r>
    </w:p>
    <w:p>
      <w:pPr>
        <w:pStyle w:val="BodyText"/>
        <w:ind w:left="482" w:right="534" w:firstLine="1"/>
        <w:spacing w:before="343" w:line="233" w:lineRule="auto"/>
        <w:jc w:val="both"/>
        <w:rPr/>
      </w:pPr>
      <w:r>
        <w:rPr>
          <w:color w:val="B8BFC6"/>
        </w:rPr>
        <w:t>实验使用</w:t>
      </w:r>
      <w:r>
        <w:rPr>
          <w:rFonts w:ascii="Arial" w:hAnsi="Arial" w:eastAsia="Arial" w:cs="Arial"/>
          <w:color w:val="B8BFC6"/>
        </w:rPr>
        <w:t>966</w:t>
      </w:r>
      <w:r>
        <w:rPr>
          <w:color w:val="B8BFC6"/>
        </w:rPr>
        <w:t>张原始训练图像、</w:t>
      </w:r>
      <w:r>
        <w:rPr>
          <w:rFonts w:ascii="Arial" w:hAnsi="Arial" w:eastAsia="Arial" w:cs="Arial"/>
          <w:color w:val="B8BFC6"/>
        </w:rPr>
        <w:t>4,277</w:t>
      </w:r>
      <w:r>
        <w:rPr>
          <w:color w:val="B8BFC6"/>
        </w:rPr>
        <w:t>个标注实例，以及</w:t>
      </w:r>
      <w:r>
        <w:rPr>
          <w:rFonts w:ascii="Arial" w:hAnsi="Arial" w:eastAsia="Arial" w:cs="Arial"/>
          <w:color w:val="B8BFC6"/>
          <w:spacing w:val="-1"/>
        </w:rPr>
        <w:t>116</w:t>
      </w:r>
      <w:r>
        <w:rPr>
          <w:color w:val="B8BFC6"/>
          <w:spacing w:val="-1"/>
        </w:rPr>
        <w:t>张验证图像、</w:t>
      </w:r>
      <w:r>
        <w:rPr>
          <w:rFonts w:ascii="Arial" w:hAnsi="Arial" w:eastAsia="Arial" w:cs="Arial"/>
          <w:color w:val="B8BFC6"/>
          <w:spacing w:val="-1"/>
        </w:rPr>
        <w:t>518</w:t>
      </w:r>
      <w:r>
        <w:rPr>
          <w:color w:val="B8BFC6"/>
          <w:spacing w:val="-1"/>
        </w:rPr>
        <w:t>个实例。由于后者在方法开</w:t>
      </w:r>
      <w:r>
        <w:rPr>
          <w:color w:val="B8BFC6"/>
        </w:rPr>
        <w:t>发期间反复被使用，本文称其为开发集。针对新增模块，原训练图像按图像划分为</w:t>
      </w:r>
      <w:r>
        <w:rPr>
          <w:rFonts w:ascii="Arial" w:hAnsi="Arial" w:eastAsia="Arial" w:cs="Arial"/>
          <w:color w:val="B8BFC6"/>
        </w:rPr>
        <w:t>773</w:t>
      </w:r>
      <w:r>
        <w:rPr>
          <w:color w:val="B8BFC6"/>
        </w:rPr>
        <w:t>张拟合图像</w:t>
      </w:r>
      <w:r>
        <w:rPr>
          <w:color w:val="B8BFC6"/>
          <w:spacing w:val="-1"/>
        </w:rPr>
        <w:t>和</w:t>
      </w:r>
      <w:r>
        <w:rPr>
          <w:rFonts w:ascii="Arial" w:hAnsi="Arial" w:eastAsia="Arial" w:cs="Arial"/>
          <w:color w:val="B8BFC6"/>
          <w:spacing w:val="-1"/>
        </w:rPr>
        <w:t>193</w:t>
      </w:r>
      <w:r>
        <w:rPr>
          <w:color w:val="B8BFC6"/>
        </w:rPr>
        <w:t>张内部留出图像。同图果实及其衍生视图始终属于同一角色。原检测器和早期分级组件已经见</w:t>
      </w:r>
      <w:r>
        <w:rPr>
          <w:color w:val="B8BFC6"/>
          <w:spacing w:val="-1"/>
        </w:rPr>
        <w:t>过原训练</w:t>
      </w:r>
      <w:r>
        <w:rPr>
          <w:color w:val="B8BFC6"/>
          <w:spacing w:val="-2"/>
        </w:rPr>
        <w:t>总体，因此该内部留出不构成整个系统完全未见数据的评价。</w:t>
      </w:r>
    </w:p>
    <w:p>
      <w:pPr>
        <w:pStyle w:val="BodyText"/>
        <w:ind w:left="483"/>
        <w:spacing w:before="320" w:line="235" w:lineRule="auto"/>
        <w:rPr/>
      </w:pPr>
      <w:r>
        <w:rPr>
          <w:color w:val="B8BFC6"/>
          <w:spacing w:val="1"/>
        </w:rPr>
        <w:t>表</w:t>
      </w:r>
      <w:r>
        <w:rPr>
          <w:rFonts w:ascii="Arial" w:hAnsi="Arial" w:eastAsia="Arial" w:cs="Arial"/>
          <w:color w:val="B8BFC6"/>
          <w:spacing w:val="1"/>
        </w:rPr>
        <w:t>1</w:t>
      </w:r>
      <w:r>
        <w:rPr>
          <w:rFonts w:ascii="Arial" w:hAnsi="Arial" w:eastAsia="Arial" w:cs="Arial"/>
          <w:color w:val="B8BFC6"/>
        </w:rPr>
        <w:t>train</w:t>
      </w:r>
      <w:r>
        <w:rPr>
          <w:rFonts w:ascii="Arial" w:hAnsi="Arial" w:eastAsia="Arial" w:cs="Arial"/>
          <w:color w:val="B8BFC6"/>
          <w:spacing w:val="1"/>
        </w:rPr>
        <w:t>/</w:t>
      </w:r>
      <w:r>
        <w:rPr>
          <w:rFonts w:ascii="Arial" w:hAnsi="Arial" w:eastAsia="Arial" w:cs="Arial"/>
          <w:color w:val="B8BFC6"/>
        </w:rPr>
        <w:t>val</w:t>
      </w:r>
      <w:r>
        <w:rPr>
          <w:color w:val="B8BFC6"/>
          <w:spacing w:val="1"/>
        </w:rPr>
        <w:t>多任务目标清单与核验后</w:t>
      </w:r>
      <w:r>
        <w:rPr>
          <w:rFonts w:ascii="Arial" w:hAnsi="Arial" w:eastAsia="Arial" w:cs="Arial"/>
          <w:color w:val="B8BFC6"/>
        </w:rPr>
        <w:t>test</w:t>
      </w:r>
      <w:r>
        <w:rPr>
          <w:color w:val="B8BFC6"/>
          <w:spacing w:val="1"/>
        </w:rPr>
        <w:t>标签清单中</w:t>
      </w:r>
      <w:r>
        <w:rPr>
          <w:color w:val="B8BFC6"/>
        </w:rPr>
        <w:t>的图像和实例分布。</w:t>
      </w:r>
    </w:p>
    <w:p>
      <w:pPr>
        <w:spacing w:before="84"/>
        <w:rPr/>
      </w:pPr>
      <w:r/>
    </w:p>
    <w:tbl>
      <w:tblPr>
        <w:tblStyle w:val="TableNormal"/>
        <w:tblW w:w="10950" w:type="dxa"/>
        <w:tblInd w:w="487" w:type="dxa"/>
        <w:tblLayout w:type="fixed"/>
        <w:tblBorders>
          <w:top w:val="single" w:color="474D54" w:sz="6" w:space="0"/>
          <w:left w:val="single" w:color="474D54" w:sz="6" w:space="0"/>
          <w:bottom w:val="single" w:color="474D54" w:sz="6" w:space="0"/>
          <w:right w:val="single" w:color="474D54" w:sz="6" w:space="0"/>
          <w:insideH w:val="single" w:color="474D54" w:sz="6" w:space="0"/>
          <w:insideV w:val="single" w:color="474D54" w:sz="6" w:space="0"/>
        </w:tblBorders>
      </w:tblPr>
      <w:tblGrid>
        <w:gridCol w:w="3243"/>
        <w:gridCol w:w="1243"/>
        <w:gridCol w:w="1228"/>
        <w:gridCol w:w="944"/>
        <w:gridCol w:w="1093"/>
        <w:gridCol w:w="1094"/>
        <w:gridCol w:w="2105"/>
      </w:tblGrid>
      <w:tr>
        <w:trPr>
          <w:trHeight w:val="545" w:hRule="atLeast"/>
        </w:trPr>
        <w:tc>
          <w:tcPr>
            <w:tcW w:w="3243" w:type="dxa"/>
            <w:vAlign w:val="top"/>
          </w:tcPr>
          <w:p>
            <w:pPr>
              <w:ind w:left="153"/>
              <w:spacing w:before="142" w:line="18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1"/>
              </w:rPr>
              <w:t>划分</w:t>
            </w:r>
          </w:p>
        </w:tc>
        <w:tc>
          <w:tcPr>
            <w:tcW w:w="1243" w:type="dxa"/>
            <w:vAlign w:val="top"/>
          </w:tcPr>
          <w:p>
            <w:pPr>
              <w:ind w:left="365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4"/>
              </w:rPr>
              <w:t>图像数</w:t>
            </w:r>
          </w:p>
        </w:tc>
        <w:tc>
          <w:tcPr>
            <w:tcW w:w="1228" w:type="dxa"/>
            <w:vAlign w:val="top"/>
          </w:tcPr>
          <w:p>
            <w:pPr>
              <w:ind w:left="348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1"/>
              </w:rPr>
              <w:t>不合格</w:t>
            </w:r>
          </w:p>
        </w:tc>
        <w:tc>
          <w:tcPr>
            <w:tcW w:w="944" w:type="dxa"/>
            <w:vAlign w:val="top"/>
          </w:tcPr>
          <w:p>
            <w:pPr>
              <w:ind w:left="313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4"/>
              </w:rPr>
              <w:t>一级</w:t>
            </w:r>
          </w:p>
        </w:tc>
        <w:tc>
          <w:tcPr>
            <w:tcW w:w="1093" w:type="dxa"/>
            <w:vAlign w:val="top"/>
          </w:tcPr>
          <w:p>
            <w:pPr>
              <w:ind w:left="463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2"/>
              </w:rPr>
              <w:t>二级</w:t>
            </w:r>
          </w:p>
        </w:tc>
        <w:tc>
          <w:tcPr>
            <w:tcW w:w="1094" w:type="dxa"/>
            <w:vAlign w:val="top"/>
          </w:tcPr>
          <w:p>
            <w:pPr>
              <w:ind w:left="464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2"/>
              </w:rPr>
              <w:t>三级</w:t>
            </w:r>
          </w:p>
        </w:tc>
        <w:tc>
          <w:tcPr>
            <w:tcW w:w="2105" w:type="dxa"/>
            <w:vAlign w:val="top"/>
          </w:tcPr>
          <w:p>
            <w:pPr>
              <w:ind w:left="986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2"/>
              </w:rPr>
              <w:t>实例合计</w:t>
            </w:r>
          </w:p>
        </w:tc>
      </w:tr>
      <w:tr>
        <w:trPr>
          <w:trHeight w:val="537" w:hRule="atLeast"/>
        </w:trPr>
        <w:tc>
          <w:tcPr>
            <w:tcW w:w="3243" w:type="dxa"/>
            <w:vAlign w:val="top"/>
          </w:tcPr>
          <w:p>
            <w:pPr>
              <w:ind w:left="151"/>
              <w:spacing w:before="136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原训练集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681"/>
              <w:spacing w:before="90" w:line="327" w:lineRule="exact"/>
              <w:rPr/>
            </w:pPr>
            <w:r>
              <w:rPr>
                <w:color w:val="B8BFC6"/>
                <w:spacing w:val="-3"/>
                <w:position w:val="1"/>
              </w:rPr>
              <w:t>966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674"/>
              <w:spacing w:before="90" w:line="327" w:lineRule="exact"/>
              <w:rPr/>
            </w:pPr>
            <w:r>
              <w:rPr>
                <w:color w:val="B8BFC6"/>
                <w:spacing w:val="-3"/>
                <w:position w:val="1"/>
              </w:rPr>
              <w:t>372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396"/>
              <w:spacing w:before="90" w:line="327" w:lineRule="exact"/>
              <w:rPr/>
            </w:pPr>
            <w:r>
              <w:rPr>
                <w:color w:val="B8BFC6"/>
                <w:spacing w:val="-3"/>
                <w:position w:val="1"/>
              </w:rPr>
              <w:t>945</w:t>
            </w:r>
          </w:p>
        </w:tc>
        <w:tc>
          <w:tcPr>
            <w:tcW w:w="1093" w:type="dxa"/>
            <w:vAlign w:val="top"/>
          </w:tcPr>
          <w:p>
            <w:pPr>
              <w:pStyle w:val="TableText"/>
              <w:ind w:left="361"/>
              <w:spacing w:before="90" w:line="327" w:lineRule="exact"/>
              <w:rPr/>
            </w:pPr>
            <w:r>
              <w:rPr>
                <w:color w:val="B8BFC6"/>
                <w:spacing w:val="-5"/>
                <w:position w:val="3"/>
              </w:rPr>
              <w:t>1,138</w:t>
            </w:r>
          </w:p>
        </w:tc>
        <w:tc>
          <w:tcPr>
            <w:tcW w:w="1094" w:type="dxa"/>
            <w:vAlign w:val="top"/>
          </w:tcPr>
          <w:p>
            <w:pPr>
              <w:pStyle w:val="TableText"/>
              <w:ind w:left="362"/>
              <w:spacing w:before="90" w:line="327" w:lineRule="exact"/>
              <w:rPr/>
            </w:pPr>
            <w:r>
              <w:rPr>
                <w:color w:val="B8BFC6"/>
                <w:spacing w:val="-5"/>
                <w:position w:val="3"/>
              </w:rPr>
              <w:t>1,822</w:t>
            </w:r>
          </w:p>
        </w:tc>
        <w:tc>
          <w:tcPr>
            <w:tcW w:w="2105" w:type="dxa"/>
            <w:vAlign w:val="top"/>
          </w:tcPr>
          <w:p>
            <w:pPr>
              <w:pStyle w:val="TableText"/>
              <w:ind w:left="1342"/>
              <w:spacing w:before="90" w:line="327" w:lineRule="exact"/>
              <w:rPr/>
            </w:pPr>
            <w:r>
              <w:rPr>
                <w:color w:val="B8BFC6"/>
                <w:spacing w:val="-1"/>
                <w:position w:val="3"/>
              </w:rPr>
              <w:t>4,277</w:t>
            </w:r>
          </w:p>
        </w:tc>
      </w:tr>
      <w:tr>
        <w:trPr>
          <w:trHeight w:val="537" w:hRule="atLeast"/>
        </w:trPr>
        <w:tc>
          <w:tcPr>
            <w:tcW w:w="3243" w:type="dxa"/>
            <w:vAlign w:val="top"/>
          </w:tcPr>
          <w:p>
            <w:pPr>
              <w:ind w:left="154"/>
              <w:spacing w:before="139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2"/>
              </w:rPr>
              <w:t>开发集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715"/>
              <w:spacing w:before="93" w:line="327" w:lineRule="exact"/>
              <w:rPr/>
            </w:pPr>
            <w:r>
              <w:rPr>
                <w:color w:val="B8BFC6"/>
                <w:spacing w:val="-12"/>
                <w:position w:val="1"/>
              </w:rPr>
              <w:t>116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808"/>
              <w:spacing w:before="93" w:line="327" w:lineRule="exact"/>
              <w:rPr/>
            </w:pPr>
            <w:r>
              <w:rPr>
                <w:color w:val="B8BFC6"/>
                <w:spacing w:val="-3"/>
                <w:position w:val="1"/>
              </w:rPr>
              <w:t>54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412"/>
              <w:spacing w:before="93" w:line="327" w:lineRule="exact"/>
              <w:rPr/>
            </w:pPr>
            <w:r>
              <w:rPr>
                <w:color w:val="B8BFC6"/>
                <w:spacing w:val="-6"/>
                <w:position w:val="1"/>
              </w:rPr>
              <w:t>109</w:t>
            </w:r>
          </w:p>
        </w:tc>
        <w:tc>
          <w:tcPr>
            <w:tcW w:w="1093" w:type="dxa"/>
            <w:vAlign w:val="top"/>
          </w:tcPr>
          <w:p>
            <w:pPr>
              <w:pStyle w:val="TableText"/>
              <w:ind w:left="562"/>
              <w:spacing w:before="93" w:line="327" w:lineRule="exact"/>
              <w:rPr/>
            </w:pPr>
            <w:r>
              <w:rPr>
                <w:color w:val="B8BFC6"/>
                <w:spacing w:val="-6"/>
                <w:position w:val="1"/>
              </w:rPr>
              <w:t>150</w:t>
            </w:r>
          </w:p>
        </w:tc>
        <w:tc>
          <w:tcPr>
            <w:tcW w:w="1094" w:type="dxa"/>
            <w:vAlign w:val="top"/>
          </w:tcPr>
          <w:p>
            <w:pPr>
              <w:pStyle w:val="TableText"/>
              <w:ind w:left="543"/>
              <w:spacing w:before="93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205</w:t>
            </w:r>
          </w:p>
        </w:tc>
        <w:tc>
          <w:tcPr>
            <w:tcW w:w="2105" w:type="dxa"/>
            <w:vAlign w:val="top"/>
          </w:tcPr>
          <w:p>
            <w:pPr>
              <w:pStyle w:val="TableText"/>
              <w:ind w:left="1549"/>
              <w:spacing w:before="93" w:line="327" w:lineRule="exact"/>
              <w:rPr/>
            </w:pPr>
            <w:r>
              <w:rPr>
                <w:color w:val="B8BFC6"/>
                <w:spacing w:val="-3"/>
                <w:position w:val="1"/>
              </w:rPr>
              <w:t>518</w:t>
            </w:r>
          </w:p>
        </w:tc>
      </w:tr>
      <w:tr>
        <w:trPr>
          <w:trHeight w:val="537" w:hRule="atLeast"/>
        </w:trPr>
        <w:tc>
          <w:tcPr>
            <w:tcW w:w="3243" w:type="dxa"/>
            <w:vAlign w:val="top"/>
          </w:tcPr>
          <w:p>
            <w:pPr>
              <w:ind w:left="153"/>
              <w:spacing w:before="142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最终测试集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697"/>
              <w:spacing w:before="96" w:line="327" w:lineRule="exact"/>
              <w:rPr/>
            </w:pPr>
            <w:r>
              <w:rPr>
                <w:color w:val="B8BFC6"/>
                <w:spacing w:val="-6"/>
                <w:position w:val="1"/>
              </w:rPr>
              <w:t>129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804"/>
              <w:spacing w:before="96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25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412"/>
              <w:spacing w:before="96" w:line="327" w:lineRule="exact"/>
              <w:rPr/>
            </w:pPr>
            <w:r>
              <w:rPr>
                <w:color w:val="B8BFC6"/>
                <w:spacing w:val="-6"/>
                <w:position w:val="1"/>
              </w:rPr>
              <w:t>126</w:t>
            </w:r>
          </w:p>
        </w:tc>
        <w:tc>
          <w:tcPr>
            <w:tcW w:w="1093" w:type="dxa"/>
            <w:vAlign w:val="top"/>
          </w:tcPr>
          <w:p>
            <w:pPr>
              <w:pStyle w:val="TableText"/>
              <w:ind w:left="562"/>
              <w:spacing w:before="96" w:line="327" w:lineRule="exact"/>
              <w:rPr/>
            </w:pPr>
            <w:r>
              <w:rPr>
                <w:color w:val="B8BFC6"/>
                <w:spacing w:val="-6"/>
                <w:position w:val="1"/>
              </w:rPr>
              <w:t>167</w:t>
            </w:r>
          </w:p>
        </w:tc>
        <w:tc>
          <w:tcPr>
            <w:tcW w:w="1094" w:type="dxa"/>
            <w:vAlign w:val="top"/>
          </w:tcPr>
          <w:p>
            <w:pPr>
              <w:pStyle w:val="TableText"/>
              <w:ind w:left="543"/>
              <w:spacing w:before="96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258</w:t>
            </w:r>
          </w:p>
        </w:tc>
        <w:tc>
          <w:tcPr>
            <w:tcW w:w="2105" w:type="dxa"/>
            <w:vAlign w:val="top"/>
          </w:tcPr>
          <w:p>
            <w:pPr>
              <w:pStyle w:val="TableText"/>
              <w:ind w:left="1549"/>
              <w:spacing w:before="96" w:line="327" w:lineRule="exact"/>
              <w:rPr/>
            </w:pPr>
            <w:r>
              <w:rPr>
                <w:color w:val="B8BFC6"/>
                <w:spacing w:val="-3"/>
                <w:position w:val="1"/>
              </w:rPr>
              <w:t>576</w:t>
            </w:r>
          </w:p>
        </w:tc>
      </w:tr>
      <w:tr>
        <w:trPr>
          <w:trHeight w:val="538" w:hRule="atLeast"/>
        </w:trPr>
        <w:tc>
          <w:tcPr>
            <w:tcW w:w="3243" w:type="dxa"/>
            <w:vAlign w:val="top"/>
          </w:tcPr>
          <w:p>
            <w:pPr>
              <w:ind w:left="153"/>
              <w:spacing w:before="143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新增模块拟合角色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682"/>
              <w:spacing w:before="99" w:line="327" w:lineRule="exact"/>
              <w:rPr/>
            </w:pPr>
            <w:r>
              <w:rPr>
                <w:color w:val="B8BFC6"/>
                <w:spacing w:val="-3"/>
                <w:position w:val="1"/>
              </w:rPr>
              <w:t>773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824"/>
              <w:spacing w:before="277" w:line="122" w:lineRule="exact"/>
              <w:rPr/>
            </w:pPr>
            <w:r>
              <w:rPr>
                <w:color w:val="B8BFC6"/>
                <w:position w:val="-3"/>
              </w:rPr>
              <w:t>—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546"/>
              <w:spacing w:before="277" w:line="122" w:lineRule="exact"/>
              <w:rPr/>
            </w:pPr>
            <w:r>
              <w:rPr>
                <w:color w:val="B8BFC6"/>
                <w:position w:val="-3"/>
              </w:rPr>
              <w:t>—</w:t>
            </w:r>
          </w:p>
        </w:tc>
        <w:tc>
          <w:tcPr>
            <w:tcW w:w="1093" w:type="dxa"/>
            <w:vAlign w:val="top"/>
          </w:tcPr>
          <w:p>
            <w:pPr>
              <w:pStyle w:val="TableText"/>
              <w:ind w:left="696"/>
              <w:spacing w:before="277" w:line="122" w:lineRule="exact"/>
              <w:rPr/>
            </w:pPr>
            <w:r>
              <w:rPr>
                <w:color w:val="B8BFC6"/>
                <w:position w:val="-3"/>
              </w:rPr>
              <w:t>—</w:t>
            </w:r>
          </w:p>
        </w:tc>
        <w:tc>
          <w:tcPr>
            <w:tcW w:w="1094" w:type="dxa"/>
            <w:vAlign w:val="top"/>
          </w:tcPr>
          <w:p>
            <w:pPr>
              <w:pStyle w:val="TableText"/>
              <w:ind w:left="697"/>
              <w:spacing w:before="277" w:line="122" w:lineRule="exact"/>
              <w:rPr/>
            </w:pPr>
            <w:r>
              <w:rPr>
                <w:color w:val="B8BFC6"/>
                <w:position w:val="-3"/>
              </w:rPr>
              <w:t>—</w:t>
            </w:r>
          </w:p>
        </w:tc>
        <w:tc>
          <w:tcPr>
            <w:tcW w:w="2105" w:type="dxa"/>
            <w:vAlign w:val="top"/>
          </w:tcPr>
          <w:p>
            <w:pPr>
              <w:ind w:left="502"/>
              <w:spacing w:before="145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属于原训练集</w:t>
            </w:r>
          </w:p>
        </w:tc>
      </w:tr>
      <w:tr>
        <w:trPr>
          <w:trHeight w:val="545" w:hRule="atLeast"/>
        </w:trPr>
        <w:tc>
          <w:tcPr>
            <w:tcW w:w="3243" w:type="dxa"/>
            <w:vAlign w:val="top"/>
          </w:tcPr>
          <w:p>
            <w:pPr>
              <w:ind w:left="153"/>
              <w:spacing w:before="145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新增模块内部留出角色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697"/>
              <w:spacing w:before="101" w:line="327" w:lineRule="exact"/>
              <w:rPr/>
            </w:pPr>
            <w:r>
              <w:rPr>
                <w:color w:val="B8BFC6"/>
                <w:spacing w:val="-6"/>
                <w:position w:val="1"/>
              </w:rPr>
              <w:t>193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824"/>
              <w:spacing w:before="279" w:line="122" w:lineRule="exact"/>
              <w:rPr/>
            </w:pPr>
            <w:r>
              <w:rPr>
                <w:color w:val="B8BFC6"/>
                <w:position w:val="-3"/>
              </w:rPr>
              <w:t>—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546"/>
              <w:spacing w:before="279" w:line="122" w:lineRule="exact"/>
              <w:rPr/>
            </w:pPr>
            <w:r>
              <w:rPr>
                <w:color w:val="B8BFC6"/>
                <w:position w:val="-3"/>
              </w:rPr>
              <w:t>—</w:t>
            </w:r>
          </w:p>
        </w:tc>
        <w:tc>
          <w:tcPr>
            <w:tcW w:w="1093" w:type="dxa"/>
            <w:vAlign w:val="top"/>
          </w:tcPr>
          <w:p>
            <w:pPr>
              <w:pStyle w:val="TableText"/>
              <w:ind w:left="696"/>
              <w:spacing w:before="279" w:line="122" w:lineRule="exact"/>
              <w:rPr/>
            </w:pPr>
            <w:r>
              <w:rPr>
                <w:color w:val="B8BFC6"/>
                <w:position w:val="-3"/>
              </w:rPr>
              <w:t>—</w:t>
            </w:r>
          </w:p>
        </w:tc>
        <w:tc>
          <w:tcPr>
            <w:tcW w:w="1094" w:type="dxa"/>
            <w:vAlign w:val="top"/>
          </w:tcPr>
          <w:p>
            <w:pPr>
              <w:pStyle w:val="TableText"/>
              <w:ind w:left="697"/>
              <w:spacing w:before="279" w:line="122" w:lineRule="exact"/>
              <w:rPr/>
            </w:pPr>
            <w:r>
              <w:rPr>
                <w:color w:val="B8BFC6"/>
                <w:position w:val="-3"/>
              </w:rPr>
              <w:t>—</w:t>
            </w:r>
          </w:p>
        </w:tc>
        <w:tc>
          <w:tcPr>
            <w:tcW w:w="2105" w:type="dxa"/>
            <w:vAlign w:val="top"/>
          </w:tcPr>
          <w:p>
            <w:pPr>
              <w:ind w:left="502"/>
              <w:spacing w:before="147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属于原训练集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3"/>
          <w:footerReference w:type="default" r:id="rId4"/>
          <w:pgSz w:w="11919" w:h="16858"/>
          <w:pgMar w:top="400" w:right="0" w:bottom="921" w:left="0" w:header="0" w:footer="6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457" w:lineRule="auto"/>
        <w:rPr>
          <w:rFonts w:ascii="Arial"/>
          <w:sz w:val="21"/>
        </w:rPr>
      </w:pPr>
      <w:r/>
    </w:p>
    <w:p>
      <w:pPr>
        <w:pStyle w:val="BodyText"/>
        <w:ind w:left="482" w:right="638" w:hanging="1"/>
        <w:spacing w:before="103" w:line="239" w:lineRule="auto"/>
        <w:rPr/>
      </w:pPr>
      <w:r>
        <w:rPr>
          <w:color w:val="B8BFC6"/>
        </w:rPr>
        <w:t>后两行是原训练集内部的角色划分，不应再与原训练集相加。本文总体对照不依赖这两个角色的</w:t>
      </w:r>
      <w:r>
        <w:rPr>
          <w:color w:val="B8BFC6"/>
          <w:spacing w:val="-1"/>
        </w:rPr>
        <w:t>逐类实</w:t>
      </w:r>
      <w:r>
        <w:rPr>
          <w:color w:val="B8BFC6"/>
          <w:spacing w:val="-10"/>
        </w:rPr>
        <w:t>例合计。</w:t>
      </w:r>
    </w:p>
    <w:p>
      <w:pPr>
        <w:pStyle w:val="BodyText"/>
        <w:ind w:left="480" w:right="638" w:firstLine="2"/>
        <w:spacing w:before="322" w:line="234" w:lineRule="auto"/>
        <w:jc w:val="both"/>
        <w:rPr/>
      </w:pPr>
      <w:r>
        <w:rPr>
          <w:color w:val="B8BFC6"/>
        </w:rPr>
        <w:t>人工实例轮廓用于几何特征提取，缺陷和果梗审核形成属性依据，部分最终等级由冻结的可</w:t>
      </w:r>
      <w:r>
        <w:rPr>
          <w:color w:val="B8BFC6"/>
          <w:spacing w:val="-1"/>
        </w:rPr>
        <w:t>解释规则生</w:t>
      </w:r>
      <w:r>
        <w:rPr>
          <w:color w:val="B8BFC6"/>
        </w:rPr>
        <w:t>成。因此，连续目标是规则派生评分，并非独立专家对整体品质的连续打分。缺失的属性标签不参</w:t>
      </w:r>
      <w:r>
        <w:rPr>
          <w:color w:val="B8BFC6"/>
          <w:spacing w:val="-1"/>
        </w:rPr>
        <w:t>加对</w:t>
      </w:r>
      <w:r>
        <w:rPr>
          <w:color w:val="B8BFC6"/>
          <w:spacing w:val="-4"/>
        </w:rPr>
        <w:t>应监督，不作为负类填入。</w:t>
      </w:r>
    </w:p>
    <w:p>
      <w:pPr>
        <w:pStyle w:val="BodyText"/>
        <w:ind w:left="482" w:right="600" w:firstLine="3"/>
        <w:spacing w:before="280" w:line="227" w:lineRule="auto"/>
        <w:rPr/>
      </w:pPr>
      <w:r>
        <w:rPr>
          <w:color w:val="B8BFC6"/>
        </w:rPr>
        <w:t>冻结配置中，面积百分位、短轴百分位与形态评分的权重分别为</w:t>
      </w:r>
      <w:r>
        <w:rPr>
          <w:rFonts w:ascii="Arial" w:hAnsi="Arial" w:eastAsia="Arial" w:cs="Arial"/>
          <w:color w:val="B8BFC6"/>
        </w:rPr>
        <w:t>0.7</w:t>
      </w:r>
      <w:r>
        <w:rPr>
          <w:color w:val="B8BFC6"/>
        </w:rPr>
        <w:t>、</w:t>
      </w:r>
      <w:r>
        <w:rPr>
          <w:rFonts w:ascii="Arial" w:hAnsi="Arial" w:eastAsia="Arial" w:cs="Arial"/>
          <w:color w:val="B8BFC6"/>
        </w:rPr>
        <w:t>0.1</w:t>
      </w:r>
      <w:r>
        <w:rPr>
          <w:color w:val="B8BFC6"/>
        </w:rPr>
        <w:t>和</w:t>
      </w:r>
      <w:r>
        <w:rPr>
          <w:rFonts w:ascii="Arial" w:hAnsi="Arial" w:eastAsia="Arial" w:cs="Arial"/>
          <w:color w:val="B8BFC6"/>
        </w:rPr>
        <w:t>0.2</w:t>
      </w:r>
      <w:r>
        <w:rPr>
          <w:color w:val="B8BFC6"/>
          <w:spacing w:val="-1"/>
        </w:rPr>
        <w:t>。颜色均匀性保留为描述</w:t>
      </w:r>
      <w:r>
        <w:rPr>
          <w:color w:val="B8BFC6"/>
        </w:rPr>
        <w:t>性特征，但在该配置中的直接等级权重为</w:t>
      </w:r>
      <w:r>
        <w:rPr>
          <w:rFonts w:ascii="Arial" w:hAnsi="Arial" w:eastAsia="Arial" w:cs="Arial"/>
          <w:color w:val="B8BFC6"/>
        </w:rPr>
        <w:t>0</w:t>
      </w:r>
      <w:r>
        <w:rPr>
          <w:color w:val="B8BFC6"/>
        </w:rPr>
        <w:t>。两个评分阈值分别为</w:t>
      </w:r>
      <w:r>
        <w:rPr>
          <w:rFonts w:ascii="Arial" w:hAnsi="Arial" w:eastAsia="Arial" w:cs="Arial"/>
          <w:color w:val="B8BFC6"/>
        </w:rPr>
        <w:t>37.40298225745</w:t>
      </w:r>
      <w:r>
        <w:rPr>
          <w:rFonts w:ascii="Arial" w:hAnsi="Arial" w:eastAsia="Arial" w:cs="Arial"/>
          <w:color w:val="B8BFC6"/>
          <w:spacing w:val="-1"/>
        </w:rPr>
        <w:t>565</w:t>
      </w:r>
      <w:r>
        <w:rPr>
          <w:color w:val="B8BFC6"/>
          <w:spacing w:val="-1"/>
        </w:rPr>
        <w:t>和</w:t>
      </w:r>
    </w:p>
    <w:p>
      <w:pPr>
        <w:pStyle w:val="BodyText"/>
        <w:ind w:left="482" w:right="611" w:firstLine="6"/>
        <w:spacing w:before="1" w:line="237" w:lineRule="auto"/>
        <w:rPr/>
      </w:pPr>
      <w:r>
        <w:rPr>
          <w:rFonts w:ascii="Arial" w:hAnsi="Arial" w:eastAsia="Arial" w:cs="Arial"/>
          <w:color w:val="B8BFC6"/>
        </w:rPr>
        <w:t>65.62684031710077</w:t>
      </w:r>
      <w:r>
        <w:rPr>
          <w:color w:val="B8BFC6"/>
        </w:rPr>
        <w:t>。缺陷果首先判为不合</w:t>
      </w:r>
      <w:r>
        <w:rPr>
          <w:color w:val="B8BFC6"/>
          <w:spacing w:val="-1"/>
        </w:rPr>
        <w:t>格；其他合格果若缺梗，判为三级；其余果实按照高、低阈</w:t>
      </w:r>
      <w:r>
        <w:rPr>
          <w:color w:val="B8BFC6"/>
          <w:spacing w:val="-2"/>
        </w:rPr>
        <w:t>值分为一级、二级或三级。这一规则决定了三级的异质性。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482" w:right="517" w:firstLine="10"/>
        <w:spacing w:before="103" w:line="224" w:lineRule="auto"/>
        <w:rPr/>
      </w:pPr>
      <w:r>
        <w:rPr>
          <w:color w:val="B8BFC6"/>
        </w:rPr>
        <w:t>当前长度单位为像素，面积单位为像素平方，尚无可靠的像素</w:t>
      </w:r>
      <w:r>
        <w:rPr>
          <w:rFonts w:ascii="Arial" w:hAnsi="Arial" w:eastAsia="Arial" w:cs="Arial"/>
          <w:color w:val="B8BFC6"/>
        </w:rPr>
        <w:t>—</w:t>
      </w:r>
      <w:r>
        <w:rPr>
          <w:color w:val="B8BFC6"/>
        </w:rPr>
        <w:t>毫米标</w:t>
      </w:r>
      <w:r>
        <w:rPr>
          <w:color w:val="B8BFC6"/>
          <w:spacing w:val="-1"/>
        </w:rPr>
        <w:t>定，因而不能据此声称符合物理</w:t>
      </w:r>
      <w:r>
        <w:rPr>
          <w:color w:val="B8BFC6"/>
        </w:rPr>
        <w:t>尺寸商业标准。终测核验确认</w:t>
      </w:r>
      <w:r>
        <w:rPr>
          <w:rFonts w:ascii="Arial" w:hAnsi="Arial" w:eastAsia="Arial" w:cs="Arial"/>
          <w:color w:val="B8BFC6"/>
        </w:rPr>
        <w:t>test</w:t>
      </w:r>
      <w:r>
        <w:rPr>
          <w:color w:val="B8BFC6"/>
        </w:rPr>
        <w:t>为</w:t>
      </w:r>
      <w:r>
        <w:rPr>
          <w:rFonts w:ascii="Arial" w:hAnsi="Arial" w:eastAsia="Arial" w:cs="Arial"/>
          <w:color w:val="B8BFC6"/>
        </w:rPr>
        <w:t>129</w:t>
      </w:r>
      <w:r>
        <w:rPr>
          <w:color w:val="B8BFC6"/>
        </w:rPr>
        <w:t>张图、</w:t>
      </w:r>
      <w:r>
        <w:rPr>
          <w:rFonts w:ascii="Arial" w:hAnsi="Arial" w:eastAsia="Arial" w:cs="Arial"/>
          <w:color w:val="B8BFC6"/>
        </w:rPr>
        <w:t>576</w:t>
      </w:r>
      <w:r>
        <w:rPr>
          <w:color w:val="B8BFC6"/>
        </w:rPr>
        <w:t>个实例：</w:t>
      </w:r>
      <w:r>
        <w:rPr>
          <w:rFonts w:ascii="Arial" w:hAnsi="Arial" w:eastAsia="Arial" w:cs="Arial"/>
          <w:color w:val="B8BFC6"/>
        </w:rPr>
        <w:t>302</w:t>
      </w:r>
      <w:r>
        <w:rPr>
          <w:color w:val="B8BFC6"/>
        </w:rPr>
        <w:t>个实例为双人审核一致，</w:t>
      </w:r>
      <w:r>
        <w:rPr>
          <w:rFonts w:ascii="Arial" w:hAnsi="Arial" w:eastAsia="Arial" w:cs="Arial"/>
          <w:color w:val="B8BFC6"/>
        </w:rPr>
        <w:t>51</w:t>
      </w:r>
      <w:r>
        <w:rPr>
          <w:color w:val="B8BFC6"/>
        </w:rPr>
        <w:t>个</w:t>
      </w:r>
      <w:r>
        <w:rPr>
          <w:color w:val="B8BFC6"/>
          <w:spacing w:val="-1"/>
        </w:rPr>
        <w:t>由负责人</w:t>
      </w:r>
      <w:r>
        <w:rPr>
          <w:color w:val="B8BFC6"/>
        </w:rPr>
        <w:t>手工裁决，</w:t>
      </w:r>
      <w:r>
        <w:rPr>
          <w:rFonts w:ascii="Arial" w:hAnsi="Arial" w:eastAsia="Arial" w:cs="Arial"/>
          <w:color w:val="B8BFC6"/>
        </w:rPr>
        <w:t>223</w:t>
      </w:r>
      <w:r>
        <w:rPr>
          <w:color w:val="B8BFC6"/>
        </w:rPr>
        <w:t>个沿用冻结基础规则。历史</w:t>
      </w:r>
      <w:r>
        <w:rPr>
          <w:rFonts w:ascii="Arial" w:hAnsi="Arial" w:eastAsia="Arial" w:cs="Arial"/>
          <w:color w:val="B8BFC6"/>
        </w:rPr>
        <w:t>582</w:t>
      </w:r>
      <w:r>
        <w:rPr>
          <w:color w:val="B8BFC6"/>
        </w:rPr>
        <w:t>个审核条目中，</w:t>
      </w:r>
      <w:r>
        <w:rPr>
          <w:rFonts w:ascii="Arial" w:hAnsi="Arial" w:eastAsia="Arial" w:cs="Arial"/>
          <w:color w:val="B8BFC6"/>
        </w:rPr>
        <w:t>6</w:t>
      </w:r>
      <w:r>
        <w:rPr>
          <w:color w:val="B8BFC6"/>
        </w:rPr>
        <w:t>个重复多边形在原导出阶段删</w:t>
      </w:r>
      <w:r>
        <w:rPr>
          <w:color w:val="B8BFC6"/>
          <w:spacing w:val="-1"/>
        </w:rPr>
        <w:t>除，本次</w:t>
      </w:r>
      <w:r>
        <w:rPr>
          <w:color w:val="B8BFC6"/>
        </w:rPr>
        <w:t>未更改标签。</w:t>
      </w:r>
      <w:r>
        <w:rPr>
          <w:rFonts w:ascii="Arial" w:hAnsi="Arial" w:eastAsia="Arial" w:cs="Arial"/>
          <w:color w:val="B8BFC6"/>
        </w:rPr>
        <w:t>val</w:t>
      </w:r>
      <w:r>
        <w:rPr>
          <w:color w:val="B8BFC6"/>
        </w:rPr>
        <w:t>采用仅修订</w:t>
      </w:r>
      <w:r>
        <w:rPr>
          <w:rFonts w:ascii="Arial" w:hAnsi="Arial" w:eastAsia="Arial" w:cs="Arial"/>
          <w:color w:val="B8BFC6"/>
        </w:rPr>
        <w:t>7</w:t>
      </w:r>
      <w:r>
        <w:rPr>
          <w:color w:val="B8BFC6"/>
        </w:rPr>
        <w:t>个类别标签、保留多边形坐标的单人复核覆盖版本；</w:t>
      </w:r>
      <w:r>
        <w:rPr>
          <w:rFonts w:ascii="Arial" w:hAnsi="Arial" w:eastAsia="Arial" w:cs="Arial"/>
          <w:color w:val="B8BFC6"/>
        </w:rPr>
        <w:t>test</w:t>
      </w:r>
      <w:r>
        <w:rPr>
          <w:color w:val="B8BFC6"/>
        </w:rPr>
        <w:t>使用原</w:t>
      </w:r>
      <w:r>
        <w:rPr>
          <w:rFonts w:ascii="Arial" w:hAnsi="Arial" w:eastAsia="Arial" w:cs="Arial"/>
          <w:color w:val="B8BFC6"/>
        </w:rPr>
        <w:t>v3</w:t>
      </w:r>
      <w:r>
        <w:rPr>
          <w:color w:val="B8BFC6"/>
          <w:spacing w:val="-1"/>
        </w:rPr>
        <w:t>标签。早</w:t>
      </w:r>
      <w:r>
        <w:rPr>
          <w:color w:val="B8BFC6"/>
        </w:rPr>
        <w:t>期基线曾在</w:t>
      </w:r>
      <w:r>
        <w:rPr>
          <w:rFonts w:ascii="Arial" w:hAnsi="Arial" w:eastAsia="Arial" w:cs="Arial"/>
          <w:color w:val="B8BFC6"/>
        </w:rPr>
        <w:t>test</w:t>
      </w:r>
      <w:r>
        <w:rPr>
          <w:color w:val="B8BFC6"/>
        </w:rPr>
        <w:t>上评估，后续新增模块未用</w:t>
      </w:r>
      <w:r>
        <w:rPr>
          <w:rFonts w:ascii="Arial" w:hAnsi="Arial" w:eastAsia="Arial" w:cs="Arial"/>
          <w:color w:val="B8BFC6"/>
        </w:rPr>
        <w:t>test</w:t>
      </w:r>
      <w:r>
        <w:rPr>
          <w:color w:val="B8BFC6"/>
        </w:rPr>
        <w:t>拟合或选点；锁定后完成本次统一测试，不能把</w:t>
      </w:r>
      <w:r>
        <w:rPr>
          <w:color w:val="B8BFC6"/>
          <w:spacing w:val="-1"/>
        </w:rPr>
        <w:t>该划分称</w:t>
      </w:r>
      <w:r>
        <w:rPr>
          <w:color w:val="B8BFC6"/>
          <w:spacing w:val="-4"/>
        </w:rPr>
        <w:t>为从未访问过的外部测试集。</w:t>
      </w:r>
    </w:p>
    <w:p>
      <w:pPr>
        <w:pStyle w:val="BodyText"/>
        <w:ind w:left="490"/>
        <w:spacing w:before="356" w:line="184" w:lineRule="auto"/>
        <w:outlineLvl w:val="2"/>
        <w:rPr>
          <w:sz w:val="28"/>
          <w:szCs w:val="28"/>
        </w:rPr>
      </w:pP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0"/>
          <w:w w:val="99"/>
        </w:rPr>
        <w:t>3.2</w:t>
      </w: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27"/>
        </w:rPr>
        <w:t xml:space="preserve"> </w:t>
      </w:r>
      <w:r>
        <w:rPr>
          <w:sz w:val="28"/>
          <w:szCs w:val="28"/>
          <w:b/>
          <w:bCs/>
          <w:color w:val="DEDEDE"/>
          <w:spacing w:val="-10"/>
          <w:w w:val="99"/>
        </w:rPr>
        <w:t>冻结检测器与分层属性表示</w:t>
      </w:r>
    </w:p>
    <w:p>
      <w:pPr>
        <w:pStyle w:val="BodyText"/>
        <w:ind w:left="482" w:right="638"/>
        <w:spacing w:before="342" w:line="233" w:lineRule="auto"/>
        <w:rPr/>
      </w:pPr>
      <w:r>
        <w:rPr>
          <w:color w:val="B8BFC6"/>
        </w:rPr>
        <w:t>检测器使用既有离线增强</w:t>
      </w:r>
      <w:r>
        <w:rPr>
          <w:rFonts w:ascii="Arial" w:hAnsi="Arial" w:eastAsia="Arial" w:cs="Arial"/>
          <w:color w:val="B8BFC6"/>
        </w:rPr>
        <w:t>200</w:t>
      </w:r>
      <w:r>
        <w:rPr>
          <w:color w:val="B8BFC6"/>
        </w:rPr>
        <w:t>轮协议得到的</w:t>
      </w:r>
      <w:r>
        <w:rPr>
          <w:rFonts w:ascii="Arial" w:hAnsi="Arial" w:eastAsia="Arial" w:cs="Arial"/>
          <w:color w:val="B8BFC6"/>
        </w:rPr>
        <w:t>YOLO26n-seg</w:t>
      </w:r>
      <w:r>
        <w:rPr>
          <w:color w:val="B8BFC6"/>
        </w:rPr>
        <w:t>检查点，训练种子为</w:t>
      </w:r>
      <w:r>
        <w:rPr>
          <w:rFonts w:ascii="Arial" w:hAnsi="Arial" w:eastAsia="Arial" w:cs="Arial"/>
          <w:color w:val="B8BFC6"/>
        </w:rPr>
        <w:t>20260915</w:t>
      </w:r>
      <w:r>
        <w:rPr>
          <w:color w:val="B8BFC6"/>
        </w:rPr>
        <w:t>，启用</w:t>
      </w:r>
      <w:r>
        <w:rPr>
          <w:rFonts w:ascii="Arial" w:hAnsi="Arial" w:eastAsia="Arial" w:cs="Arial"/>
          <w:color w:val="B8BFC6"/>
        </w:rPr>
        <w:t>en</w:t>
      </w:r>
      <w:r>
        <w:rPr>
          <w:rFonts w:ascii="Arial" w:hAnsi="Arial" w:eastAsia="Arial" w:cs="Arial"/>
          <w:color w:val="B8BFC6"/>
          <w:spacing w:val="-1"/>
        </w:rPr>
        <w:t>d-to-</w:t>
      </w:r>
      <w:r>
        <w:rPr>
          <w:rFonts w:ascii="Arial" w:hAnsi="Arial" w:eastAsia="Arial" w:cs="Arial"/>
          <w:color w:val="B8BFC6"/>
        </w:rPr>
        <w:t xml:space="preserve"> </w:t>
      </w:r>
      <w:r>
        <w:rPr>
          <w:rFonts w:ascii="Arial" w:hAnsi="Arial" w:eastAsia="Arial" w:cs="Arial"/>
          <w:color w:val="B8BFC6"/>
        </w:rPr>
        <w:t>end</w:t>
      </w:r>
      <w:r>
        <w:rPr>
          <w:color w:val="B8BFC6"/>
        </w:rPr>
        <w:t>输出头。原训练过程使用由</w:t>
      </w:r>
      <w:r>
        <w:rPr>
          <w:rFonts w:ascii="Arial" w:hAnsi="Arial" w:eastAsia="Arial" w:cs="Arial"/>
          <w:color w:val="B8BFC6"/>
        </w:rPr>
        <w:t>966</w:t>
      </w:r>
      <w:r>
        <w:rPr>
          <w:color w:val="B8BFC6"/>
        </w:rPr>
        <w:t>张原图形成的</w:t>
      </w:r>
      <w:r>
        <w:rPr>
          <w:rFonts w:ascii="Arial" w:hAnsi="Arial" w:eastAsia="Arial" w:cs="Arial"/>
          <w:color w:val="B8BFC6"/>
        </w:rPr>
        <w:t>2,898</w:t>
      </w:r>
      <w:r>
        <w:rPr>
          <w:color w:val="B8BFC6"/>
        </w:rPr>
        <w:t>张交付训练图，关闭在线尺度变化和</w:t>
      </w:r>
      <w:r>
        <w:rPr>
          <w:color w:val="B8BFC6"/>
          <w:spacing w:val="-1"/>
        </w:rPr>
        <w:t>组合增强；</w:t>
      </w:r>
      <w:r>
        <w:rPr>
          <w:color w:val="B8BFC6"/>
        </w:rPr>
        <w:t>这些衍生图像不代表额外独立采集果实。本文在当前标注版本上重新评价冻结检查点，不将旧</w:t>
      </w:r>
      <w:r>
        <w:rPr>
          <w:color w:val="B8BFC6"/>
          <w:spacing w:val="-1"/>
        </w:rPr>
        <w:t>标注版本</w:t>
      </w:r>
      <w:r>
        <w:rPr>
          <w:color w:val="B8BFC6"/>
          <w:spacing w:val="-3"/>
        </w:rPr>
        <w:t>下的历史训练日志数字替代当前重放结果。</w:t>
      </w:r>
    </w:p>
    <w:p>
      <w:pPr>
        <w:pStyle w:val="BodyText"/>
        <w:ind w:left="482" w:right="550" w:firstLine="1"/>
        <w:spacing w:before="318" w:line="232" w:lineRule="auto"/>
        <w:jc w:val="both"/>
        <w:rPr/>
      </w:pPr>
      <w:r>
        <w:rPr>
          <w:color w:val="B8BFC6"/>
        </w:rPr>
        <w:t>独立分级器接收缩放填充至</w:t>
      </w:r>
      <w:r>
        <w:rPr>
          <w:rFonts w:ascii="Arial" w:hAnsi="Arial" w:eastAsia="Arial" w:cs="Arial"/>
          <w:color w:val="B8BFC6"/>
        </w:rPr>
        <w:t>160×160</w:t>
      </w:r>
      <w:r>
        <w:rPr>
          <w:color w:val="B8BFC6"/>
        </w:rPr>
        <w:t>的</w:t>
      </w:r>
      <w:r>
        <w:rPr>
          <w:rFonts w:ascii="Arial" w:hAnsi="Arial" w:eastAsia="Arial" w:cs="Arial"/>
          <w:color w:val="B8BFC6"/>
        </w:rPr>
        <w:t>RGB</w:t>
      </w:r>
      <w:r>
        <w:rPr>
          <w:color w:val="B8BFC6"/>
        </w:rPr>
        <w:t>加掩膜四通道裁剪，以及六项掩膜</w:t>
      </w:r>
      <w:r>
        <w:rPr>
          <w:rFonts w:ascii="Arial" w:hAnsi="Arial" w:eastAsia="Arial" w:cs="Arial"/>
          <w:color w:val="B8BFC6"/>
        </w:rPr>
        <w:t>/</w:t>
      </w:r>
      <w:r>
        <w:rPr>
          <w:color w:val="B8BFC6"/>
        </w:rPr>
        <w:t>裁剪几何描述</w:t>
      </w:r>
      <w:r>
        <w:rPr>
          <w:color w:val="B8BFC6"/>
          <w:spacing w:val="-1"/>
        </w:rPr>
        <w:t>。视觉通道</w:t>
      </w:r>
      <w:r>
        <w:rPr>
          <w:color w:val="B8BFC6"/>
          <w:spacing w:val="-1"/>
        </w:rPr>
        <w:t>依次为</w:t>
      </w:r>
      <w:r>
        <w:rPr>
          <w:rFonts w:ascii="Arial" w:hAnsi="Arial" w:eastAsia="Arial" w:cs="Arial"/>
          <w:color w:val="B8BFC6"/>
          <w:spacing w:val="-1"/>
        </w:rPr>
        <w:t>32</w:t>
      </w:r>
      <w:r>
        <w:rPr>
          <w:color w:val="B8BFC6"/>
          <w:spacing w:val="-1"/>
        </w:rPr>
        <w:t>、</w:t>
      </w:r>
      <w:r>
        <w:rPr>
          <w:rFonts w:ascii="Arial" w:hAnsi="Arial" w:eastAsia="Arial" w:cs="Arial"/>
          <w:color w:val="B8BFC6"/>
          <w:spacing w:val="-1"/>
        </w:rPr>
        <w:t>64</w:t>
      </w:r>
      <w:r>
        <w:rPr>
          <w:color w:val="B8BFC6"/>
          <w:spacing w:val="-1"/>
        </w:rPr>
        <w:t>、</w:t>
      </w:r>
      <w:r>
        <w:rPr>
          <w:color w:val="B8BFC6"/>
          <w:spacing w:val="-44"/>
        </w:rPr>
        <w:t xml:space="preserve"> </w:t>
      </w:r>
      <w:r>
        <w:rPr>
          <w:rFonts w:ascii="Arial" w:hAnsi="Arial" w:eastAsia="Arial" w:cs="Arial"/>
          <w:color w:val="B8BFC6"/>
          <w:spacing w:val="-1"/>
        </w:rPr>
        <w:t>128</w:t>
      </w:r>
      <w:r>
        <w:rPr>
          <w:color w:val="B8BFC6"/>
          <w:spacing w:val="-1"/>
        </w:rPr>
        <w:t>、</w:t>
      </w:r>
      <w:r>
        <w:rPr>
          <w:color w:val="B8BFC6"/>
          <w:spacing w:val="-45"/>
        </w:rPr>
        <w:t xml:space="preserve"> </w:t>
      </w:r>
      <w:r>
        <w:rPr>
          <w:rFonts w:ascii="Arial" w:hAnsi="Arial" w:eastAsia="Arial" w:cs="Arial"/>
          <w:color w:val="B8BFC6"/>
          <w:spacing w:val="-1"/>
        </w:rPr>
        <w:t>192</w:t>
      </w:r>
      <w:r>
        <w:rPr>
          <w:color w:val="B8BFC6"/>
          <w:spacing w:val="-1"/>
        </w:rPr>
        <w:t>和</w:t>
      </w:r>
      <w:r>
        <w:rPr>
          <w:rFonts w:ascii="Arial" w:hAnsi="Arial" w:eastAsia="Arial" w:cs="Arial"/>
          <w:color w:val="B8BFC6"/>
          <w:spacing w:val="-1"/>
        </w:rPr>
        <w:t>256</w:t>
      </w:r>
      <w:r>
        <w:rPr>
          <w:color w:val="B8BFC6"/>
          <w:spacing w:val="-1"/>
        </w:rPr>
        <w:t>，随后进行全局池化；几何网络将六维输入映射至</w:t>
      </w:r>
      <w:r>
        <w:rPr>
          <w:rFonts w:ascii="Arial" w:hAnsi="Arial" w:eastAsia="Arial" w:cs="Arial"/>
          <w:color w:val="B8BFC6"/>
          <w:spacing w:val="-1"/>
        </w:rPr>
        <w:t>32</w:t>
      </w:r>
      <w:r>
        <w:rPr>
          <w:color w:val="B8BFC6"/>
          <w:spacing w:val="-1"/>
        </w:rPr>
        <w:t>维。两</w:t>
      </w:r>
      <w:r>
        <w:rPr>
          <w:color w:val="B8BFC6"/>
          <w:spacing w:val="-2"/>
        </w:rPr>
        <w:t>路拼接后融</w:t>
      </w:r>
      <w:r>
        <w:rPr>
          <w:color w:val="B8BFC6"/>
          <w:spacing w:val="-1"/>
        </w:rPr>
        <w:t>合为</w:t>
      </w:r>
      <w:r>
        <w:rPr>
          <w:rFonts w:ascii="Arial" w:hAnsi="Arial" w:eastAsia="Arial" w:cs="Arial"/>
          <w:color w:val="B8BFC6"/>
          <w:spacing w:val="-1"/>
        </w:rPr>
        <w:t>256</w:t>
      </w:r>
      <w:r>
        <w:rPr>
          <w:color w:val="B8BFC6"/>
          <w:spacing w:val="-1"/>
        </w:rPr>
        <w:t>维表示，接缺陷、缺梗和连续评分输出。紧凑排序候选使用冻结的这一既有表示。</w:t>
      </w:r>
    </w:p>
    <w:p>
      <w:pPr>
        <w:pStyle w:val="BodyText"/>
        <w:ind w:left="481" w:right="518" w:firstLine="1"/>
        <w:spacing w:before="337"/>
        <w:jc w:val="both"/>
        <w:rPr/>
      </w:pPr>
      <w:r>
        <w:rPr>
          <w:color w:val="B8BFC6"/>
        </w:rPr>
        <w:t>研究主方案实际上保留原检测类别中的</w:t>
      </w:r>
      <w:r>
        <w:rPr>
          <w:rFonts w:ascii="Arial" w:hAnsi="Arial" w:eastAsia="Arial" w:cs="Arial"/>
          <w:color w:val="B8BFC6"/>
        </w:rPr>
        <w:t>“</w:t>
      </w:r>
      <w:r>
        <w:rPr>
          <w:color w:val="B8BFC6"/>
        </w:rPr>
        <w:t>不合格</w:t>
      </w:r>
      <w:r>
        <w:rPr>
          <w:rFonts w:ascii="Arial" w:hAnsi="Arial" w:eastAsia="Arial" w:cs="Arial"/>
          <w:color w:val="B8BFC6"/>
        </w:rPr>
        <w:t>”</w:t>
      </w:r>
      <w:r>
        <w:rPr>
          <w:color w:val="B8BFC6"/>
        </w:rPr>
        <w:t>作为缺陷否决，原属性头的缺陷</w:t>
      </w:r>
      <w:r>
        <w:rPr>
          <w:rFonts w:ascii="Arial" w:hAnsi="Arial" w:eastAsia="Arial" w:cs="Arial"/>
          <w:color w:val="B8BFC6"/>
        </w:rPr>
        <w:t>logit</w:t>
      </w:r>
      <w:r>
        <w:rPr>
          <w:color w:val="B8BFC6"/>
        </w:rPr>
        <w:t>用于排序</w:t>
      </w:r>
      <w:r>
        <w:rPr>
          <w:color w:val="B8BFC6"/>
          <w:spacing w:val="-1"/>
        </w:rPr>
        <w:t>，不在主方</w:t>
      </w:r>
      <w:r>
        <w:rPr>
          <w:color w:val="B8BFC6"/>
        </w:rPr>
        <w:t>案中替换为新的缺陷门控。对原始高置信合格候选，再进行果梗与连续评分判定。低置信候选保留</w:t>
      </w:r>
      <w:r>
        <w:rPr>
          <w:color w:val="B8BFC6"/>
          <w:spacing w:val="-1"/>
        </w:rPr>
        <w:t>在</w:t>
      </w:r>
      <w:r>
        <w:rPr>
          <w:rFonts w:ascii="Arial" w:hAnsi="Arial" w:eastAsia="Arial" w:cs="Arial"/>
          <w:color w:val="B8BFC6"/>
          <w:spacing w:val="-1"/>
        </w:rPr>
        <w:t>AP</w:t>
      </w:r>
      <w:r>
        <w:rPr>
          <w:color w:val="B8BFC6"/>
          <w:spacing w:val="-2"/>
        </w:rPr>
        <w:t>候选池中，但不执行重新分级；属性无效时回退到原检测类别。</w:t>
      </w:r>
    </w:p>
    <w:p>
      <w:pPr>
        <w:pStyle w:val="BodyText"/>
        <w:ind w:left="496"/>
        <w:spacing w:before="340" w:line="184" w:lineRule="auto"/>
        <w:rPr/>
      </w:pPr>
      <w:r>
        <w:rPr>
          <w:color w:val="B8BFC6"/>
          <w:spacing w:val="-3"/>
        </w:rPr>
        <w:t>图</w:t>
      </w:r>
      <w:r>
        <w:rPr>
          <w:rFonts w:ascii="Arial" w:hAnsi="Arial" w:eastAsia="Arial" w:cs="Arial"/>
          <w:color w:val="B8BFC6"/>
          <w:spacing w:val="-3"/>
        </w:rPr>
        <w:t>1 </w:t>
      </w:r>
      <w:r>
        <w:rPr>
          <w:color w:val="B8BFC6"/>
          <w:spacing w:val="-3"/>
        </w:rPr>
        <w:t>处理流程及分级表示与输出分割的分离。</w:t>
      </w:r>
    </w:p>
    <w:p>
      <w:pPr>
        <w:spacing w:line="184" w:lineRule="auto"/>
        <w:sectPr>
          <w:headerReference w:type="default" r:id="rId5"/>
          <w:pgSz w:w="11919" w:h="16858"/>
          <w:pgMar w:top="400" w:right="0" w:bottom="921" w:left="0" w:header="0" w:footer="6" w:gutter="0"/>
        </w:sectPr>
        <w:rPr/>
      </w:pPr>
    </w:p>
    <w:p>
      <w:pPr>
        <w:spacing w:before="61"/>
        <w:rPr/>
      </w:pPr>
      <w:r>
        <w:pict>
          <v:rect id="_x0000_s14" style="position:absolute;margin-left:0pt;margin-top:0pt;mso-position-vertical-relative:page;mso-position-horizontal-relative:page;width:595.95pt;height:45.55pt;z-index:251669504;" o:allowincell="f" fillcolor="#363B40" filled="true" stroked="false"/>
        </w:pict>
      </w:r>
      <w:r/>
    </w:p>
    <w:p>
      <w:pPr>
        <w:spacing w:before="60"/>
        <w:rPr/>
      </w:pPr>
      <w:r/>
    </w:p>
    <w:tbl>
      <w:tblPr>
        <w:tblStyle w:val="TableNormal"/>
        <w:tblW w:w="1750" w:type="dxa"/>
        <w:tblInd w:w="7040" w:type="dxa"/>
        <w:shd w:val="clear" w:fill="1F2020"/>
        <w:tblLayout w:type="fixed"/>
        <w:tblBorders>
          <w:left w:val="single" w:color="CCCCCC" w:sz="4" w:space="0"/>
          <w:bottom w:val="single" w:color="CCCCCC" w:sz="4" w:space="0"/>
          <w:right w:val="single" w:color="CCCCCC" w:sz="4" w:space="0"/>
          <w:top w:val="single" w:color="CCCCCC" w:sz="4" w:space="0"/>
        </w:tblBorders>
      </w:tblPr>
      <w:tblGrid>
        <w:gridCol w:w="1750"/>
      </w:tblGrid>
      <w:tr>
        <w:trPr>
          <w:trHeight w:val="740" w:hRule="atLeast"/>
        </w:trPr>
        <w:tc>
          <w:tcPr>
            <w:shd w:val="clear" w:fill="1F2020"/>
            <w:tcW w:w="1750" w:type="dxa"/>
            <w:vAlign w:val="top"/>
          </w:tcPr>
          <w:p>
            <w:pPr>
              <w:ind w:left="432"/>
              <w:spacing w:before="252" w:line="183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Trebuchet MS" w:hAnsi="Trebuchet MS" w:eastAsia="Trebuchet MS" w:cs="Trebuchet MS"/>
                <w:sz w:val="22"/>
                <w:szCs w:val="22"/>
                <w:color w:val="CCCCCC"/>
                <w:spacing w:val="-2"/>
              </w:rPr>
              <w:t>RGB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CCCCCC"/>
                <w:spacing w:val="-2"/>
              </w:rPr>
              <w:t>图像</w:t>
            </w:r>
          </w:p>
        </w:tc>
      </w:tr>
    </w:tbl>
    <w:p>
      <w:pPr>
        <w:ind w:firstLine="7859"/>
        <w:spacing w:line="694" w:lineRule="exact"/>
        <w:rPr/>
      </w:pPr>
      <w:r>
        <w:rPr>
          <w:position w:val="-13"/>
        </w:rPr>
        <w:drawing>
          <wp:inline distT="0" distB="0" distL="0" distR="0">
            <wp:extent cx="70867" cy="44070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867" cy="44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2646" w:type="dxa"/>
        <w:tblInd w:w="6592" w:type="dxa"/>
        <w:shd w:val="clear" w:fill="1F2020"/>
        <w:tblLayout w:type="fixed"/>
        <w:tblBorders>
          <w:left w:val="single" w:color="CCCCCC" w:sz="4" w:space="0"/>
          <w:bottom w:val="single" w:color="CCCCCC" w:sz="4" w:space="0"/>
          <w:right w:val="single" w:color="CCCCCC" w:sz="4" w:space="0"/>
          <w:top w:val="single" w:color="CCCCCC" w:sz="4" w:space="0"/>
        </w:tblBorders>
      </w:tblPr>
      <w:tblGrid>
        <w:gridCol w:w="2646"/>
      </w:tblGrid>
      <w:tr>
        <w:trPr>
          <w:trHeight w:val="724" w:hRule="atLeast"/>
        </w:trPr>
        <w:tc>
          <w:tcPr>
            <w:shd w:val="clear" w:fill="1F2020"/>
            <w:tcW w:w="2646" w:type="dxa"/>
            <w:vAlign w:val="top"/>
          </w:tcPr>
          <w:p>
            <w:pPr>
              <w:ind w:left="421"/>
              <w:spacing w:before="242" w:line="182" w:lineRule="auto"/>
              <w:rPr>
                <w:rFonts w:ascii="Trebuchet MS" w:hAnsi="Trebuchet MS" w:eastAsia="Trebuchet MS" w:cs="Trebuchet MS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CCCCCC"/>
                <w:spacing w:val="3"/>
              </w:rPr>
              <w:t>冻结</w:t>
            </w:r>
            <w:r>
              <w:rPr>
                <w:rFonts w:ascii="Trebuchet MS" w:hAnsi="Trebuchet MS" w:eastAsia="Trebuchet MS" w:cs="Trebuchet MS"/>
                <w:sz w:val="22"/>
                <w:szCs w:val="22"/>
                <w:color w:val="CCCCCC"/>
              </w:rPr>
              <w:t>YOLO</w:t>
            </w:r>
            <w:r>
              <w:rPr>
                <w:rFonts w:ascii="Trebuchet MS" w:hAnsi="Trebuchet MS" w:eastAsia="Trebuchet MS" w:cs="Trebuchet MS"/>
                <w:sz w:val="22"/>
                <w:szCs w:val="22"/>
                <w:color w:val="CCCCCC"/>
                <w:spacing w:val="3"/>
              </w:rPr>
              <w:t>26n-</w:t>
            </w:r>
            <w:r>
              <w:rPr>
                <w:rFonts w:ascii="Trebuchet MS" w:hAnsi="Trebuchet MS" w:eastAsia="Trebuchet MS" w:cs="Trebuchet MS"/>
                <w:sz w:val="22"/>
                <w:szCs w:val="22"/>
                <w:color w:val="CCCCCC"/>
              </w:rPr>
              <w:t>seg</w:t>
            </w:r>
          </w:p>
        </w:tc>
      </w:tr>
    </w:tbl>
    <w:p>
      <w:pPr>
        <w:ind w:firstLine="5193"/>
        <w:spacing w:line="364" w:lineRule="exact"/>
        <w:rPr/>
      </w:pPr>
      <w:r>
        <w:pict>
          <v:shape id="_x0000_s16" style="position:absolute;margin-left:437.631pt;margin-top:0.632996pt;mso-position-vertical-relative:text;mso-position-horizontal-relative:text;width:38.9pt;height:18.1pt;z-index:-251658240;" filled="false" strokecolor="#D3D3D3" strokeweight="0.70pt" coordsize="778,362" coordorigin="0,0" path="m2,6l774,355e">
            <v:stroke joinstyle="miter" miterlimit="4"/>
          </v:shape>
        </w:pict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3263543</wp:posOffset>
            </wp:positionH>
            <wp:positionV relativeFrom="paragraph">
              <wp:posOffset>229105</wp:posOffset>
            </wp:positionV>
            <wp:extent cx="70866" cy="221459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866" cy="22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pict>
          <v:shape id="_x0000_s18" style="mso-position-vertical-relative:line;mso-position-horizontal-relative:char;width:70.15pt;height:19.35pt;" filled="false" strokecolor="#D3D3D3" strokeweight="0.70pt" coordsize="1403,387" coordorigin="0,0" path="m1400,6l1,379e">
            <v:stroke joinstyle="miter" miterlimit="4"/>
          </v:shape>
        </w:pict>
      </w:r>
    </w:p>
    <w:p>
      <w:pPr>
        <w:ind w:firstLine="9464"/>
        <w:spacing w:line="341" w:lineRule="exact"/>
        <w:rPr/>
      </w:pPr>
      <w:r>
        <w:pict>
          <v:shape id="_x0000_s20" style="position:absolute;margin-left:383.965pt;margin-top:15.9205pt;mso-position-vertical-relative:text;mso-position-horizontal-relative:text;width:184.1pt;height:57.1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631" w:type="dxa"/>
                    <w:tblInd w:w="25" w:type="dxa"/>
                    <w:shd w:val="clear" w:fill="1F2020"/>
                    <w:tblLayout w:type="fixed"/>
                    <w:tblBorders>
                      <w:left w:val="single" w:color="CCCCCC" w:sz="4" w:space="0"/>
                      <w:bottom w:val="single" w:color="CCCCCC" w:sz="4" w:space="0"/>
                      <w:right w:val="single" w:color="CCCCCC" w:sz="4" w:space="0"/>
                      <w:top w:val="single" w:color="CCCCCC" w:sz="4" w:space="0"/>
                    </w:tblBorders>
                  </w:tblPr>
                  <w:tblGrid>
                    <w:gridCol w:w="3631"/>
                  </w:tblGrid>
                  <w:tr>
                    <w:trPr>
                      <w:trHeight w:val="1082" w:hRule="atLeast"/>
                    </w:trPr>
                    <w:tc>
                      <w:tcPr>
                        <w:shd w:val="clear" w:fill="1F2020"/>
                        <w:tcW w:w="3631" w:type="dxa"/>
                        <w:vAlign w:val="top"/>
                      </w:tcPr>
                      <w:p>
                        <w:pPr>
                          <w:ind w:left="489"/>
                          <w:spacing w:before="253" w:line="185" w:lineRule="auto"/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color w:val="CCCCCC"/>
                            <w:spacing w:val="1"/>
                          </w:rPr>
                          <w:t>同次前向的软掩膜与原型特</w:t>
                        </w:r>
                      </w:p>
                      <w:p>
                        <w:pPr>
                          <w:ind w:left="1702"/>
                          <w:spacing w:before="48" w:line="182" w:lineRule="auto"/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color w:val="CCCCCC"/>
                          </w:rPr>
                          <w:t>征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2" style="position:absolute;margin-left:407.68pt;margin-top:105.202pt;mso-position-vertical-relative:text;mso-position-horizontal-relative:text;width:136.65pt;height:40.4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682" w:type="dxa"/>
                    <w:tblInd w:w="25" w:type="dxa"/>
                    <w:shd w:val="clear" w:fill="1F2020"/>
                    <w:tblLayout w:type="fixed"/>
                    <w:tblBorders>
                      <w:left w:val="single" w:color="CCCCCC" w:sz="4" w:space="0"/>
                      <w:bottom w:val="single" w:color="CCCCCC" w:sz="4" w:space="0"/>
                      <w:right w:val="single" w:color="CCCCCC" w:sz="4" w:space="0"/>
                      <w:top w:val="single" w:color="CCCCCC" w:sz="4" w:space="0"/>
                    </w:tblBorders>
                  </w:tblPr>
                  <w:tblGrid>
                    <w:gridCol w:w="2682"/>
                  </w:tblGrid>
                  <w:tr>
                    <w:trPr>
                      <w:trHeight w:val="747" w:hRule="atLeast"/>
                    </w:trPr>
                    <w:tc>
                      <w:tcPr>
                        <w:shd w:val="clear" w:fill="1F2020"/>
                        <w:tcW w:w="2682" w:type="dxa"/>
                        <w:vAlign w:val="top"/>
                      </w:tcPr>
                      <w:p>
                        <w:pPr>
                          <w:ind w:left="419"/>
                          <w:spacing w:before="252" w:line="186" w:lineRule="auto"/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color w:val="CCCCCC"/>
                            <w:spacing w:val="2"/>
                          </w:rPr>
                          <w:t>可选边界残差细化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3511143</wp:posOffset>
            </wp:positionH>
            <wp:positionV relativeFrom="paragraph">
              <wp:posOffset>907926</wp:posOffset>
            </wp:positionV>
            <wp:extent cx="177601" cy="1366538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601" cy="1366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4" style="position:absolute;margin-left:113.532pt;margin-top:71.6902pt;mso-position-vertical-relative:text;mso-position-horizontal-relative:text;width:57.45pt;height:18.15pt;z-index:-251657216;" filled="false" strokecolor="#D3D3D3" strokeweight="0.70pt" coordsize="1149,363" coordorigin="0,0" path="m1146,6l2,355e">
            <v:stroke joinstyle="miter" miterlimit="4"/>
          </v:shape>
        </w:pict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1403283</wp:posOffset>
            </wp:positionH>
            <wp:positionV relativeFrom="paragraph">
              <wp:posOffset>1131732</wp:posOffset>
            </wp:positionV>
            <wp:extent cx="70866" cy="22146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866" cy="22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1403283</wp:posOffset>
            </wp:positionH>
            <wp:positionV relativeFrom="paragraph">
              <wp:posOffset>1827115</wp:posOffset>
            </wp:positionV>
            <wp:extent cx="70866" cy="447348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866" cy="447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6009641</wp:posOffset>
            </wp:positionH>
            <wp:positionV relativeFrom="paragraph">
              <wp:posOffset>905843</wp:posOffset>
            </wp:positionV>
            <wp:extent cx="70866" cy="447348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866" cy="447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4131247</wp:posOffset>
            </wp:positionH>
            <wp:positionV relativeFrom="paragraph">
              <wp:posOffset>905843</wp:posOffset>
            </wp:positionV>
            <wp:extent cx="1212167" cy="480944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2167" cy="480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70866" cy="21710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866" cy="21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631" w:type="dxa"/>
        <w:tblInd w:w="3379" w:type="dxa"/>
        <w:shd w:val="clear" w:fill="1F2020"/>
        <w:tblLayout w:type="fixed"/>
        <w:tblBorders>
          <w:left w:val="single" w:color="CCCCCC" w:sz="4" w:space="0"/>
          <w:bottom w:val="single" w:color="CCCCCC" w:sz="4" w:space="0"/>
          <w:right w:val="single" w:color="CCCCCC" w:sz="4" w:space="0"/>
          <w:top w:val="single" w:color="CCCCCC" w:sz="4" w:space="0"/>
        </w:tblBorders>
      </w:tblPr>
      <w:tblGrid>
        <w:gridCol w:w="3631"/>
      </w:tblGrid>
      <w:tr>
        <w:trPr>
          <w:trHeight w:val="1078" w:hRule="atLeast"/>
        </w:trPr>
        <w:tc>
          <w:tcPr>
            <w:shd w:val="clear" w:fill="1F2020"/>
            <w:tcW w:w="3631" w:type="dxa"/>
            <w:vAlign w:val="top"/>
          </w:tcPr>
          <w:p>
            <w:pPr>
              <w:ind w:left="472"/>
              <w:spacing w:before="251" w:line="184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CCCCCC"/>
                <w:spacing w:val="3"/>
              </w:rPr>
              <w:t>原始框、掩膜、类别与置信</w:t>
            </w:r>
          </w:p>
          <w:p>
            <w:pPr>
              <w:ind w:left="1700"/>
              <w:spacing w:before="42" w:line="186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CCCCCC"/>
                <w:spacing w:val="1"/>
              </w:rPr>
              <w:t>度</w:t>
            </w:r>
          </w:p>
        </w:tc>
      </w:tr>
    </w:tbl>
    <w:p>
      <w:pPr>
        <w:spacing w:before="100"/>
        <w:rPr/>
      </w:pPr>
      <w:r/>
    </w:p>
    <w:p>
      <w:pPr>
        <w:spacing w:before="100"/>
        <w:rPr/>
      </w:pPr>
      <w:r/>
    </w:p>
    <w:tbl>
      <w:tblPr>
        <w:tblStyle w:val="TableNormal"/>
        <w:tblW w:w="3089" w:type="dxa"/>
        <w:tblInd w:w="720" w:type="dxa"/>
        <w:shd w:val="clear" w:fill="1F2020"/>
        <w:tblLayout w:type="fixed"/>
        <w:tblBorders>
          <w:left w:val="single" w:color="CCCCCC" w:sz="4" w:space="0"/>
          <w:bottom w:val="single" w:color="CCCCCC" w:sz="4" w:space="0"/>
          <w:right w:val="single" w:color="CCCCCC" w:sz="4" w:space="0"/>
          <w:top w:val="single" w:color="CCCCCC" w:sz="4" w:space="0"/>
        </w:tblBorders>
      </w:tblPr>
      <w:tblGrid>
        <w:gridCol w:w="3089"/>
      </w:tblGrid>
      <w:tr>
        <w:trPr>
          <w:trHeight w:val="740" w:hRule="atLeast"/>
        </w:trPr>
        <w:tc>
          <w:tcPr>
            <w:shd w:val="clear" w:fill="1F2020"/>
            <w:tcW w:w="3089" w:type="dxa"/>
            <w:vAlign w:val="top"/>
          </w:tcPr>
          <w:p>
            <w:pPr>
              <w:ind w:left="417"/>
              <w:spacing w:before="250" w:line="184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CCCCCC"/>
                <w:spacing w:val="3"/>
              </w:rPr>
              <w:t>原</w:t>
            </w:r>
            <w:r>
              <w:rPr>
                <w:rFonts w:ascii="Trebuchet MS" w:hAnsi="Trebuchet MS" w:eastAsia="Trebuchet MS" w:cs="Trebuchet MS"/>
                <w:sz w:val="22"/>
                <w:szCs w:val="22"/>
                <w:color w:val="CCCCCC"/>
              </w:rPr>
              <w:t>RGB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CCCCCC"/>
                <w:spacing w:val="3"/>
              </w:rPr>
              <w:t>掩膜裁剪与几何</w:t>
            </w:r>
          </w:p>
        </w:tc>
      </w:tr>
    </w:tbl>
    <w:p>
      <w:pPr>
        <w:ind w:firstLine="9464"/>
        <w:spacing w:line="694" w:lineRule="exact"/>
        <w:rPr/>
      </w:pPr>
      <w:r>
        <w:pict>
          <v:shape id="_x0000_s26" style="position:absolute;margin-left:230.513pt;margin-top:33.5268pt;mso-position-vertical-relative:text;mso-position-horizontal-relative:text;width:114.3pt;height:40.4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235" w:type="dxa"/>
                    <w:tblInd w:w="25" w:type="dxa"/>
                    <w:shd w:val="clear" w:fill="1F2020"/>
                    <w:tblLayout w:type="fixed"/>
                    <w:tblBorders>
                      <w:left w:val="single" w:color="CCCCCC" w:sz="4" w:space="0"/>
                      <w:bottom w:val="single" w:color="CCCCCC" w:sz="4" w:space="0"/>
                      <w:right w:val="single" w:color="CCCCCC" w:sz="4" w:space="0"/>
                      <w:top w:val="single" w:color="CCCCCC" w:sz="4" w:space="0"/>
                    </w:tblBorders>
                  </w:tblPr>
                  <w:tblGrid>
                    <w:gridCol w:w="2235"/>
                  </w:tblGrid>
                  <w:tr>
                    <w:trPr>
                      <w:trHeight w:val="747" w:hRule="atLeast"/>
                    </w:trPr>
                    <w:tc>
                      <w:tcPr>
                        <w:shd w:val="clear" w:fill="1F2020"/>
                        <w:tcW w:w="2235" w:type="dxa"/>
                        <w:vAlign w:val="top"/>
                      </w:tcPr>
                      <w:p>
                        <w:pPr>
                          <w:ind w:left="418"/>
                          <w:spacing w:before="255" w:line="184" w:lineRule="auto"/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color w:val="CCCCCC"/>
                            <w:spacing w:val="2"/>
                          </w:rPr>
                          <w:t>邻域候选证据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8" style="position:absolute;margin-left:418.841pt;margin-top:33.5268pt;mso-position-vertical-relative:text;mso-position-horizontal-relative:text;width:114.3pt;height:40.4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235" w:type="dxa"/>
                    <w:tblInd w:w="25" w:type="dxa"/>
                    <w:shd w:val="clear" w:fill="1F2020"/>
                    <w:tblLayout w:type="fixed"/>
                    <w:tblBorders>
                      <w:left w:val="single" w:color="CCCCCC" w:sz="4" w:space="0"/>
                      <w:bottom w:val="single" w:color="CCCCCC" w:sz="4" w:space="0"/>
                      <w:right w:val="single" w:color="CCCCCC" w:sz="4" w:space="0"/>
                      <w:top w:val="single" w:color="CCCCCC" w:sz="4" w:space="0"/>
                    </w:tblBorders>
                  </w:tblPr>
                  <w:tblGrid>
                    <w:gridCol w:w="2235"/>
                  </w:tblGrid>
                  <w:tr>
                    <w:trPr>
                      <w:trHeight w:val="747" w:hRule="atLeast"/>
                    </w:trPr>
                    <w:tc>
                      <w:tcPr>
                        <w:shd w:val="clear" w:fill="1F2020"/>
                        <w:tcW w:w="2235" w:type="dxa"/>
                        <w:vAlign w:val="top"/>
                      </w:tcPr>
                      <w:p>
                        <w:pPr>
                          <w:ind w:left="418"/>
                          <w:spacing w:before="253" w:line="185" w:lineRule="auto"/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color w:val="CCCCCC"/>
                            <w:spacing w:val="2"/>
                          </w:rPr>
                          <w:t>细化输出掩膜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0" style="position:absolute;margin-left:367.39pt;margin-top:72.8898pt;mso-position-vertical-relative:text;mso-position-horizontal-relative:text;width:109.3pt;height:348.3pt;z-index:251668480;" filled="false" strokecolor="#D3D3D3" strokeweight="0.70pt" coordsize="2186,6966" coordorigin="0,0" path="m2178,0l2178,348l2178,1241l2178,2134l2178,2859l2178,3585l2178,4310l2178,5036l2178,5761l2178,6486l1,6958e">
            <v:stroke joinstyle="miter" miterlimit="4"/>
          </v:shape>
        </w:pict>
      </w: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2421997</wp:posOffset>
            </wp:positionH>
            <wp:positionV relativeFrom="paragraph">
              <wp:posOffset>2050715</wp:posOffset>
            </wp:positionV>
            <wp:extent cx="70866" cy="228989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866" cy="228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1434287</wp:posOffset>
            </wp:positionH>
            <wp:positionV relativeFrom="paragraph">
              <wp:posOffset>921271</wp:posOffset>
            </wp:positionV>
            <wp:extent cx="419598" cy="473881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598" cy="473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3170991</wp:posOffset>
            </wp:positionH>
            <wp:positionV relativeFrom="paragraph">
              <wp:posOffset>921271</wp:posOffset>
            </wp:positionV>
            <wp:extent cx="486749" cy="47494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49" cy="47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"/>
        </w:rPr>
        <w:drawing>
          <wp:inline distT="0" distB="0" distL="0" distR="0">
            <wp:extent cx="70866" cy="440704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866" cy="44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351" w:type="dxa"/>
        <w:tblInd w:w="589" w:type="dxa"/>
        <w:shd w:val="clear" w:fill="1F2020"/>
        <w:tblLayout w:type="fixed"/>
        <w:tblBorders>
          <w:left w:val="single" w:color="CCCCCC" w:sz="4" w:space="0"/>
          <w:bottom w:val="single" w:color="CCCCCC" w:sz="4" w:space="0"/>
          <w:right w:val="single" w:color="CCCCCC" w:sz="4" w:space="0"/>
          <w:top w:val="single" w:color="CCCCCC" w:sz="4" w:space="0"/>
        </w:tblBorders>
      </w:tblPr>
      <w:tblGrid>
        <w:gridCol w:w="3351"/>
      </w:tblGrid>
      <w:tr>
        <w:trPr>
          <w:trHeight w:val="743" w:hRule="atLeast"/>
        </w:trPr>
        <w:tc>
          <w:tcPr>
            <w:shd w:val="clear" w:fill="1F2020"/>
            <w:tcW w:w="3351" w:type="dxa"/>
            <w:vAlign w:val="top"/>
          </w:tcPr>
          <w:p>
            <w:pPr>
              <w:ind w:left="421"/>
              <w:spacing w:before="250" w:line="185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CCCCCC"/>
                <w:spacing w:val="2"/>
              </w:rPr>
              <w:t>冻结属性与规则锚定评分</w:t>
            </w:r>
          </w:p>
        </w:tc>
      </w:tr>
    </w:tbl>
    <w:p>
      <w:pPr>
        <w:spacing w:before="100"/>
        <w:rPr/>
      </w:pPr>
      <w:r/>
    </w:p>
    <w:p>
      <w:pPr>
        <w:spacing w:before="100"/>
        <w:rPr/>
      </w:pPr>
      <w:r/>
    </w:p>
    <w:tbl>
      <w:tblPr>
        <w:tblStyle w:val="TableNormal"/>
        <w:tblW w:w="3631" w:type="dxa"/>
        <w:tblInd w:w="2054" w:type="dxa"/>
        <w:shd w:val="clear" w:fill="1F2020"/>
        <w:tblLayout w:type="fixed"/>
        <w:tblBorders>
          <w:left w:val="single" w:color="CCCCCC" w:sz="4" w:space="0"/>
          <w:bottom w:val="single" w:color="CCCCCC" w:sz="4" w:space="0"/>
          <w:right w:val="single" w:color="CCCCCC" w:sz="4" w:space="0"/>
          <w:top w:val="single" w:color="CCCCCC" w:sz="4" w:space="0"/>
        </w:tblBorders>
      </w:tblPr>
      <w:tblGrid>
        <w:gridCol w:w="3631"/>
      </w:tblGrid>
      <w:tr>
        <w:trPr>
          <w:trHeight w:val="1082" w:hRule="atLeast"/>
        </w:trPr>
        <w:tc>
          <w:tcPr>
            <w:shd w:val="clear" w:fill="1F2020"/>
            <w:tcW w:w="3631" w:type="dxa"/>
            <w:vAlign w:val="top"/>
          </w:tcPr>
          <w:p>
            <w:pPr>
              <w:ind w:left="473"/>
              <w:spacing w:before="253" w:line="185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CCCCCC"/>
                <w:spacing w:val="2"/>
              </w:rPr>
              <w:t>保留缺陷否决的分层等级判</w:t>
            </w:r>
          </w:p>
          <w:p>
            <w:pPr>
              <w:ind w:left="1712"/>
              <w:spacing w:before="48" w:line="182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CCCCCC"/>
              </w:rPr>
              <w:t>断</w:t>
            </w:r>
          </w:p>
        </w:tc>
      </w:tr>
    </w:tbl>
    <w:p>
      <w:pPr>
        <w:spacing w:before="101"/>
        <w:rPr/>
      </w:pPr>
      <w:r/>
    </w:p>
    <w:p>
      <w:pPr>
        <w:spacing w:before="100"/>
        <w:rPr/>
      </w:pPr>
      <w:r/>
    </w:p>
    <w:tbl>
      <w:tblPr>
        <w:tblStyle w:val="TableNormal"/>
        <w:tblW w:w="3575" w:type="dxa"/>
        <w:tblInd w:w="2082" w:type="dxa"/>
        <w:shd w:val="clear" w:fill="1F2020"/>
        <w:tblLayout w:type="fixed"/>
        <w:tblBorders>
          <w:left w:val="single" w:color="CCCCCC" w:sz="4" w:space="0"/>
          <w:bottom w:val="single" w:color="CCCCCC" w:sz="4" w:space="0"/>
          <w:right w:val="single" w:color="CCCCCC" w:sz="4" w:space="0"/>
          <w:top w:val="single" w:color="CCCCCC" w:sz="4" w:space="0"/>
        </w:tblBorders>
      </w:tblPr>
      <w:tblGrid>
        <w:gridCol w:w="3575"/>
      </w:tblGrid>
      <w:tr>
        <w:trPr>
          <w:trHeight w:val="747" w:hRule="atLeast"/>
        </w:trPr>
        <w:tc>
          <w:tcPr>
            <w:shd w:val="clear" w:fill="1F2020"/>
            <w:tcW w:w="3575" w:type="dxa"/>
            <w:vAlign w:val="top"/>
          </w:tcPr>
          <w:p>
            <w:pPr>
              <w:ind w:left="418"/>
              <w:spacing w:before="252" w:line="186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CCCCCC"/>
                <w:spacing w:val="2"/>
              </w:rPr>
              <w:t>复用原缺陷证据的质量排序</w:t>
            </w:r>
          </w:p>
        </w:tc>
      </w:tr>
    </w:tbl>
    <w:p>
      <w:pPr>
        <w:spacing w:before="101"/>
        <w:rPr/>
      </w:pPr>
      <w:r/>
    </w:p>
    <w:p>
      <w:pPr>
        <w:spacing w:before="100"/>
        <w:rPr/>
      </w:pPr>
      <w:r/>
    </w:p>
    <w:tbl>
      <w:tblPr>
        <w:tblStyle w:val="TableNormal"/>
        <w:tblW w:w="2644" w:type="dxa"/>
        <w:tblInd w:w="2547" w:type="dxa"/>
        <w:shd w:val="clear" w:fill="1F2020"/>
        <w:tblLayout w:type="fixed"/>
        <w:tblBorders>
          <w:left w:val="single" w:color="CCCCCC" w:sz="4" w:space="0"/>
          <w:bottom w:val="single" w:color="CCCCCC" w:sz="4" w:space="0"/>
          <w:right w:val="single" w:color="CCCCCC" w:sz="4" w:space="0"/>
          <w:top w:val="single" w:color="CCCCCC" w:sz="4" w:space="0"/>
        </w:tblBorders>
      </w:tblPr>
      <w:tblGrid>
        <w:gridCol w:w="2644"/>
      </w:tblGrid>
      <w:tr>
        <w:trPr>
          <w:trHeight w:val="747" w:hRule="atLeast"/>
        </w:trPr>
        <w:tc>
          <w:tcPr>
            <w:shd w:val="clear" w:fill="1F2020"/>
            <w:tcW w:w="2644" w:type="dxa"/>
            <w:vAlign w:val="top"/>
          </w:tcPr>
          <w:p>
            <w:pPr>
              <w:ind w:left="420"/>
              <w:spacing w:before="253" w:line="185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CCCCCC"/>
                <w:spacing w:val="3"/>
              </w:rPr>
              <w:t>真实同类</w:t>
            </w:r>
            <w:r>
              <w:rPr>
                <w:rFonts w:ascii="Trebuchet MS" w:hAnsi="Trebuchet MS" w:eastAsia="Trebuchet MS" w:cs="Trebuchet MS"/>
                <w:sz w:val="22"/>
                <w:szCs w:val="22"/>
                <w:color w:val="CCCCCC"/>
              </w:rPr>
              <w:t>NMS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CCCCCC"/>
                <w:spacing w:val="3"/>
              </w:rPr>
              <w:t>删行</w:t>
            </w:r>
          </w:p>
        </w:tc>
      </w:tr>
    </w:tbl>
    <w:p>
      <w:pPr>
        <w:spacing w:before="100"/>
        <w:rPr/>
      </w:pPr>
      <w:r/>
    </w:p>
    <w:p>
      <w:pPr>
        <w:spacing w:before="100"/>
        <w:rPr/>
      </w:pPr>
      <w:r/>
    </w:p>
    <w:tbl>
      <w:tblPr>
        <w:tblStyle w:val="TableNormal"/>
        <w:tblW w:w="2682" w:type="dxa"/>
        <w:tblInd w:w="2528" w:type="dxa"/>
        <w:shd w:val="clear" w:fill="1F2020"/>
        <w:tblLayout w:type="fixed"/>
        <w:tblBorders>
          <w:left w:val="single" w:color="CCCCCC" w:sz="4" w:space="0"/>
          <w:bottom w:val="single" w:color="CCCCCC" w:sz="4" w:space="0"/>
          <w:right w:val="single" w:color="CCCCCC" w:sz="4" w:space="0"/>
          <w:top w:val="single" w:color="CCCCCC" w:sz="4" w:space="0"/>
        </w:tblBorders>
      </w:tblPr>
      <w:tblGrid>
        <w:gridCol w:w="2682"/>
      </w:tblGrid>
      <w:tr>
        <w:trPr>
          <w:trHeight w:val="743" w:hRule="atLeast"/>
        </w:trPr>
        <w:tc>
          <w:tcPr>
            <w:shd w:val="clear" w:fill="1F2020"/>
            <w:tcW w:w="2682" w:type="dxa"/>
            <w:vAlign w:val="top"/>
          </w:tcPr>
          <w:p>
            <w:pPr>
              <w:ind w:left="417"/>
              <w:spacing w:before="251" w:line="185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CCCCCC"/>
                <w:spacing w:val="2"/>
              </w:rPr>
              <w:t>保留等级与置信度</w:t>
            </w:r>
          </w:p>
        </w:tc>
      </w:tr>
    </w:tbl>
    <w:p>
      <w:pPr>
        <w:ind w:firstLine="3862"/>
        <w:spacing w:line="730" w:lineRule="exact"/>
        <w:rPr/>
      </w:pPr>
      <w:r>
        <w:rPr>
          <w:position w:val="-14"/>
        </w:rPr>
        <w:drawing>
          <wp:inline distT="0" distB="0" distL="0" distR="0">
            <wp:extent cx="768041" cy="463308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8041" cy="46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2235" w:type="dxa"/>
        <w:tblInd w:w="5053" w:type="dxa"/>
        <w:shd w:val="clear" w:fill="1F2020"/>
        <w:tblLayout w:type="fixed"/>
        <w:tblBorders>
          <w:left w:val="single" w:color="CCCCCC" w:sz="4" w:space="0"/>
          <w:bottom w:val="single" w:color="CCCCCC" w:sz="4" w:space="0"/>
          <w:right w:val="single" w:color="CCCCCC" w:sz="4" w:space="0"/>
          <w:top w:val="single" w:color="CCCCCC" w:sz="4" w:space="0"/>
        </w:tblBorders>
      </w:tblPr>
      <w:tblGrid>
        <w:gridCol w:w="2235"/>
      </w:tblGrid>
      <w:tr>
        <w:trPr>
          <w:trHeight w:val="704" w:hRule="atLeast"/>
        </w:trPr>
        <w:tc>
          <w:tcPr>
            <w:shd w:val="clear" w:fill="1F2020"/>
            <w:tcW w:w="2235" w:type="dxa"/>
            <w:vAlign w:val="top"/>
          </w:tcPr>
          <w:p>
            <w:pPr>
              <w:ind w:left="418"/>
              <w:spacing w:before="211" w:line="185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CCCCCC"/>
                <w:spacing w:val="2"/>
              </w:rPr>
              <w:t>最终预测记录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6"/>
          <w:pgSz w:w="11919" w:h="16858"/>
          <w:pgMar w:top="400" w:right="0" w:bottom="921" w:left="0" w:header="0" w:footer="6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458" w:lineRule="auto"/>
        <w:rPr>
          <w:rFonts w:ascii="Arial"/>
          <w:sz w:val="21"/>
        </w:rPr>
      </w:pPr>
      <w:r/>
    </w:p>
    <w:p>
      <w:pPr>
        <w:pStyle w:val="BodyText"/>
        <w:ind w:left="483"/>
        <w:spacing w:before="103" w:line="184" w:lineRule="auto"/>
        <w:rPr/>
      </w:pPr>
      <w:r>
        <w:rPr>
          <w:color w:val="B8BFC6"/>
          <w:spacing w:val="-2"/>
        </w:rPr>
        <w:t>细化掩膜不回流至分级或排序特征。各输出字段通过原预测索引保持对应。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490"/>
        <w:spacing w:before="120" w:line="183" w:lineRule="auto"/>
        <w:outlineLvl w:val="2"/>
        <w:rPr>
          <w:sz w:val="28"/>
          <w:szCs w:val="28"/>
        </w:rPr>
      </w:pP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9"/>
          <w:w w:val="98"/>
        </w:rPr>
        <w:t>3.3</w:t>
      </w: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4"/>
        </w:rPr>
        <w:t xml:space="preserve"> </w:t>
      </w:r>
      <w:r>
        <w:rPr>
          <w:sz w:val="28"/>
          <w:szCs w:val="28"/>
          <w:b/>
          <w:bCs/>
          <w:color w:val="DEDEDE"/>
          <w:spacing w:val="-9"/>
          <w:w w:val="98"/>
        </w:rPr>
        <w:t>规则锚定残差评分与局部决策证据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480" w:right="611" w:firstLine="2"/>
        <w:spacing w:before="103" w:line="241" w:lineRule="auto"/>
        <w:jc w:val="both"/>
        <w:rPr/>
      </w:pPr>
      <w:r>
        <w:rPr>
          <w:color w:val="B8BFC6"/>
        </w:rPr>
        <w:t>本文区分原有学习评分、由预测掩膜特征直接计算的冻结规则评分，以及规则评分加有界学</w:t>
      </w:r>
      <w:r>
        <w:rPr>
          <w:color w:val="B8BFC6"/>
          <w:spacing w:val="-1"/>
        </w:rPr>
        <w:t>习残差三种</w:t>
      </w:r>
      <w:r>
        <w:rPr>
          <w:color w:val="B8BFC6"/>
        </w:rPr>
        <w:t>评分来源。最后一种作为</w:t>
      </w:r>
      <w:r>
        <w:rPr>
          <w:rFonts w:ascii="Arial" w:hAnsi="Arial" w:eastAsia="Arial" w:cs="Arial"/>
          <w:color w:val="B8BFC6"/>
        </w:rPr>
        <w:t>RR22</w:t>
      </w:r>
      <w:r>
        <w:rPr>
          <w:color w:val="B8BFC6"/>
        </w:rPr>
        <w:t>参考的评分组件。</w:t>
      </w:r>
      <w:r>
        <w:rPr>
          <w:rFonts w:ascii="Arial" w:hAnsi="Arial" w:eastAsia="Arial" w:cs="Arial"/>
          <w:color w:val="B8BFC6"/>
        </w:rPr>
        <w:t>RR22</w:t>
      </w:r>
      <w:r>
        <w:rPr>
          <w:color w:val="B8BFC6"/>
        </w:rPr>
        <w:t>是实验简称，不是新的检测器架构；本文所</w:t>
      </w:r>
      <w:r>
        <w:rPr>
          <w:color w:val="B8BFC6"/>
          <w:spacing w:val="-1"/>
        </w:rPr>
        <w:t>称完</w:t>
      </w:r>
      <w:r>
        <w:rPr>
          <w:color w:val="B8BFC6"/>
        </w:rPr>
        <w:t>整</w:t>
      </w:r>
      <w:r>
        <w:rPr>
          <w:rFonts w:ascii="Arial" w:hAnsi="Arial" w:eastAsia="Arial" w:cs="Arial"/>
          <w:color w:val="B8BFC6"/>
        </w:rPr>
        <w:t>RR22</w:t>
      </w:r>
      <w:r>
        <w:rPr>
          <w:color w:val="B8BFC6"/>
        </w:rPr>
        <w:t>参考还包含边界</w:t>
      </w:r>
      <w:r>
        <w:rPr>
          <w:rFonts w:ascii="Arial" w:hAnsi="Arial" w:eastAsia="Arial" w:cs="Arial"/>
          <w:color w:val="B8BFC6"/>
        </w:rPr>
        <w:t>/</w:t>
      </w:r>
      <w:r>
        <w:rPr>
          <w:color w:val="B8BFC6"/>
        </w:rPr>
        <w:t>果梗邻域决策和真实同类</w:t>
      </w:r>
      <w:r>
        <w:rPr>
          <w:rFonts w:ascii="Arial" w:hAnsi="Arial" w:eastAsia="Arial" w:cs="Arial"/>
          <w:color w:val="B8BFC6"/>
        </w:rPr>
        <w:t>N</w:t>
      </w:r>
      <w:r>
        <w:rPr>
          <w:rFonts w:ascii="Arial" w:hAnsi="Arial" w:eastAsia="Arial" w:cs="Arial"/>
          <w:color w:val="B8BFC6"/>
          <w:spacing w:val="-1"/>
        </w:rPr>
        <w:t>MS</w:t>
      </w:r>
      <w:r>
        <w:rPr>
          <w:color w:val="B8BFC6"/>
          <w:spacing w:val="-1"/>
        </w:rPr>
        <w:t>。</w:t>
      </w:r>
    </w:p>
    <w:p>
      <w:pPr>
        <w:pStyle w:val="BodyText"/>
        <w:ind w:left="483"/>
        <w:spacing w:before="292" w:line="182" w:lineRule="auto"/>
        <w:rPr/>
      </w:pPr>
      <w:r>
        <w:rPr>
          <w:color w:val="B8BFC6"/>
        </w:rPr>
        <w:t>对于冻结融合特征</w:t>
      </w:r>
      <w:r>
        <w:rPr>
          <w:rFonts w:ascii="Arial" w:hAnsi="Arial" w:eastAsia="Arial" w:cs="Arial"/>
          <w:sz w:val="33"/>
          <w:szCs w:val="33"/>
          <w:color w:val="B8BFC6"/>
          <w:position w:val="-1"/>
        </w:rPr>
        <w:t>f</w:t>
      </w:r>
      <w:r>
        <w:rPr>
          <w:color w:val="B8BFC6"/>
        </w:rPr>
        <w:t>及拟合角色统计量</w:t>
      </w:r>
      <w:r>
        <w:rPr>
          <w:position w:val="-4"/>
        </w:rPr>
        <w:drawing>
          <wp:inline distT="0" distB="0" distL="0" distR="0">
            <wp:extent cx="140598" cy="117574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598" cy="11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B8BFC6"/>
          <w:spacing w:val="12"/>
        </w:rPr>
        <w:t xml:space="preserve"> </w:t>
      </w:r>
      <w:r>
        <w:rPr>
          <w:rFonts w:ascii="Arial" w:hAnsi="Arial" w:eastAsia="Arial" w:cs="Arial"/>
          <w:sz w:val="33"/>
          <w:szCs w:val="33"/>
          <w:color w:val="B8BFC6"/>
          <w:position w:val="2"/>
        </w:rPr>
        <w:t>s</w:t>
      </w:r>
      <w:r>
        <w:rPr>
          <w:color w:val="B8BFC6"/>
        </w:rPr>
        <w:t>，已实现的规则锚定残</w:t>
      </w:r>
      <w:r>
        <w:rPr>
          <w:color w:val="B8BFC6"/>
          <w:spacing w:val="-1"/>
        </w:rPr>
        <w:t>差为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ind w:left="2682"/>
        <w:spacing w:before="78" w:line="202" w:lineRule="auto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color w:val="B8BFC6"/>
          <w:spacing w:val="4"/>
        </w:rPr>
        <w:t>(=</w:t>
      </w:r>
      <w:r>
        <w:rPr>
          <w:rFonts w:ascii="Arial" w:hAnsi="Arial" w:eastAsia="Arial" w:cs="Arial"/>
          <w:sz w:val="27"/>
          <w:szCs w:val="27"/>
          <w:color w:val="B8BFC6"/>
          <w:spacing w:val="43"/>
          <w:w w:val="101"/>
        </w:rPr>
        <w:t xml:space="preserve"> </w:t>
      </w:r>
      <w:r>
        <w:rPr>
          <w:rFonts w:ascii="Arial" w:hAnsi="Arial" w:eastAsia="Arial" w:cs="Arial"/>
          <w:sz w:val="27"/>
          <w:szCs w:val="27"/>
          <w:color w:val="B8BFC6"/>
          <w:spacing w:val="4"/>
        </w:rPr>
        <w:t>100</w:t>
      </w:r>
      <w:r>
        <w:rPr>
          <w:rFonts w:ascii="Arial" w:hAnsi="Arial" w:eastAsia="Arial" w:cs="Arial"/>
          <w:sz w:val="27"/>
          <w:szCs w:val="27"/>
          <w:color w:val="B8BFC6"/>
          <w:spacing w:val="29"/>
        </w:rPr>
        <w:t xml:space="preserve"> </w:t>
      </w:r>
      <w:r>
        <w:rPr>
          <w:rFonts w:ascii="Arial" w:hAnsi="Arial" w:eastAsia="Arial" w:cs="Arial"/>
          <w:sz w:val="27"/>
          <w:szCs w:val="27"/>
          <w:color w:val="B8BFC6"/>
        </w:rPr>
        <w:t>clip</w:t>
      </w:r>
      <w:r>
        <w:rPr>
          <w:rFonts w:ascii="Arial" w:hAnsi="Arial" w:eastAsia="Arial" w:cs="Arial"/>
          <w:sz w:val="27"/>
          <w:szCs w:val="27"/>
          <w:color w:val="B8BFC6"/>
          <w:spacing w:val="4"/>
        </w:rPr>
        <w:t xml:space="preserve"> </w:t>
      </w:r>
      <w:r>
        <w:rPr>
          <w:rFonts w:ascii="Arial" w:hAnsi="Arial" w:eastAsia="Arial" w:cs="Arial"/>
          <w:sz w:val="27"/>
          <w:szCs w:val="27"/>
          <w:color w:val="B8BFC6"/>
          <w:spacing w:val="4"/>
        </w:rPr>
        <w:t>(</w:t>
      </w:r>
      <w:r>
        <w:rPr>
          <w:rFonts w:ascii="Arial" w:hAnsi="Arial" w:eastAsia="Arial" w:cs="Arial"/>
          <w:sz w:val="27"/>
          <w:szCs w:val="27"/>
          <w:color w:val="B8BFC6"/>
        </w:rPr>
        <w:t>qr</w:t>
      </w:r>
      <w:r>
        <w:rPr>
          <w:sz w:val="27"/>
          <w:szCs w:val="27"/>
          <w:position w:val="-3"/>
        </w:rPr>
        <w:drawing>
          <wp:inline distT="0" distB="0" distL="0" distR="0">
            <wp:extent cx="75198" cy="57233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198" cy="5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7"/>
          <w:szCs w:val="27"/>
          <w:color w:val="B8BFC6"/>
          <w:position w:val="-1"/>
        </w:rPr>
        <w:t>le</w:t>
      </w:r>
      <w:r>
        <w:rPr>
          <w:sz w:val="27"/>
          <w:szCs w:val="27"/>
          <w:position w:val="-6"/>
        </w:rPr>
        <w:drawing>
          <wp:inline distT="0" distB="0" distL="0" distR="0">
            <wp:extent cx="82256" cy="178704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256" cy="17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7"/>
          <w:szCs w:val="27"/>
          <w:color w:val="B8BFC6"/>
          <w:spacing w:val="4"/>
          <w:position w:val="1"/>
        </w:rPr>
        <w:t>100</w:t>
      </w:r>
      <w:r>
        <w:rPr>
          <w:rFonts w:ascii="Arial" w:hAnsi="Arial" w:eastAsia="Arial" w:cs="Arial"/>
          <w:sz w:val="27"/>
          <w:szCs w:val="27"/>
          <w:color w:val="B8BFC6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27"/>
          <w:szCs w:val="27"/>
          <w:color w:val="B8BFC6"/>
          <w:spacing w:val="4"/>
          <w:position w:val="1"/>
        </w:rPr>
        <w:t>+</w:t>
      </w:r>
      <w:r>
        <w:rPr>
          <w:rFonts w:ascii="Arial" w:hAnsi="Arial" w:eastAsia="Arial" w:cs="Arial"/>
          <w:sz w:val="27"/>
          <w:szCs w:val="27"/>
          <w:color w:val="B8BFC6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27"/>
          <w:szCs w:val="27"/>
          <w:color w:val="B8BFC6"/>
          <w:spacing w:val="4"/>
          <w:position w:val="1"/>
        </w:rPr>
        <w:t>0</w:t>
      </w:r>
      <w:r>
        <w:rPr>
          <w:rFonts w:ascii="Arial" w:hAnsi="Arial" w:eastAsia="Arial" w:cs="Arial"/>
          <w:sz w:val="27"/>
          <w:szCs w:val="27"/>
          <w:color w:val="B8BFC6"/>
          <w:spacing w:val="-39"/>
          <w:position w:val="1"/>
        </w:rPr>
        <w:t xml:space="preserve"> </w:t>
      </w:r>
      <w:r>
        <w:rPr>
          <w:rFonts w:ascii="Arial" w:hAnsi="Arial" w:eastAsia="Arial" w:cs="Arial"/>
          <w:sz w:val="27"/>
          <w:szCs w:val="27"/>
          <w:color w:val="B8BFC6"/>
          <w:spacing w:val="4"/>
          <w:position w:val="1"/>
        </w:rPr>
        <w:t>.</w:t>
      </w:r>
      <w:r>
        <w:rPr>
          <w:rFonts w:ascii="Arial" w:hAnsi="Arial" w:eastAsia="Arial" w:cs="Arial"/>
          <w:sz w:val="27"/>
          <w:szCs w:val="27"/>
          <w:color w:val="B8BFC6"/>
          <w:spacing w:val="-40"/>
          <w:position w:val="1"/>
        </w:rPr>
        <w:t xml:space="preserve"> </w:t>
      </w:r>
      <w:r>
        <w:rPr>
          <w:rFonts w:ascii="Arial" w:hAnsi="Arial" w:eastAsia="Arial" w:cs="Arial"/>
          <w:sz w:val="27"/>
          <w:szCs w:val="27"/>
          <w:color w:val="B8BFC6"/>
          <w:spacing w:val="4"/>
        </w:rPr>
        <w:t>05</w:t>
      </w:r>
      <w:r>
        <w:rPr>
          <w:rFonts w:ascii="Arial" w:hAnsi="Arial" w:eastAsia="Arial" w:cs="Arial"/>
          <w:sz w:val="27"/>
          <w:szCs w:val="27"/>
          <w:color w:val="B8BFC6"/>
        </w:rPr>
        <w:t>tanhh</w:t>
      </w:r>
      <w:r>
        <w:rPr>
          <w:sz w:val="27"/>
          <w:szCs w:val="27"/>
          <w:position w:val="-6"/>
        </w:rPr>
        <w:drawing>
          <wp:inline distT="0" distB="0" distL="0" distR="0">
            <wp:extent cx="144637" cy="177989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637" cy="17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7"/>
          <w:szCs w:val="27"/>
          <w:color w:val="B8BFC6"/>
          <w:spacing w:val="4"/>
          <w:position w:val="-1"/>
        </w:rPr>
        <w:t>(f</w:t>
      </w:r>
      <w:r>
        <w:rPr>
          <w:rFonts w:ascii="Arial" w:hAnsi="Arial" w:eastAsia="Arial" w:cs="Arial"/>
          <w:sz w:val="27"/>
          <w:szCs w:val="27"/>
          <w:color w:val="B8BFC6"/>
          <w:spacing w:val="4"/>
          <w:position w:val="-1"/>
        </w:rPr>
        <w:t xml:space="preserve"> </w:t>
      </w:r>
      <w:r>
        <w:rPr>
          <w:rFonts w:ascii="Arial" w:hAnsi="Arial" w:eastAsia="Arial" w:cs="Arial"/>
          <w:sz w:val="27"/>
          <w:szCs w:val="27"/>
          <w:strike/>
          <w:color w:val="B8BFC6"/>
          <w:spacing w:val="4"/>
          <w:position w:val="-1"/>
        </w:rPr>
        <w:t xml:space="preserve">  </w:t>
      </w:r>
      <w:r>
        <w:rPr>
          <w:rFonts w:ascii="Arial" w:hAnsi="Arial" w:eastAsia="Arial" w:cs="Arial"/>
          <w:sz w:val="27"/>
          <w:szCs w:val="27"/>
          <w:color w:val="B8BFC6"/>
          <w:spacing w:val="10"/>
          <w:position w:val="-1"/>
        </w:rPr>
        <w:t xml:space="preserve"> </w:t>
      </w:r>
      <w:r>
        <w:rPr>
          <w:rFonts w:ascii="Arial" w:hAnsi="Arial" w:eastAsia="Arial" w:cs="Arial"/>
          <w:sz w:val="27"/>
          <w:szCs w:val="27"/>
          <w:color w:val="B8BFC6"/>
          <w:spacing w:val="4"/>
          <w:position w:val="-1"/>
        </w:rPr>
        <w:t>μ)/s)</w:t>
      </w:r>
      <w:r>
        <w:rPr>
          <w:rFonts w:ascii="Arial" w:hAnsi="Arial" w:eastAsia="Arial" w:cs="Arial"/>
          <w:sz w:val="27"/>
          <w:szCs w:val="27"/>
          <w:color w:val="B8BFC6"/>
          <w:spacing w:val="-22"/>
          <w:position w:val="-1"/>
        </w:rPr>
        <w:t xml:space="preserve"> </w:t>
      </w:r>
      <w:r>
        <w:rPr>
          <w:rFonts w:ascii="Arial" w:hAnsi="Arial" w:eastAsia="Arial" w:cs="Arial"/>
          <w:sz w:val="27"/>
          <w:szCs w:val="27"/>
          <w:spacing w:val="4"/>
          <w:position w:val="-1"/>
        </w:rPr>
        <w:t>,</w:t>
      </w:r>
      <w:r>
        <w:rPr>
          <w:rFonts w:ascii="Arial" w:hAnsi="Arial" w:eastAsia="Arial" w:cs="Arial"/>
          <w:sz w:val="27"/>
          <w:szCs w:val="27"/>
          <w:spacing w:val="4"/>
          <w:position w:val="-1"/>
        </w:rPr>
        <w:t xml:space="preserve"> </w:t>
      </w:r>
      <w:r>
        <w:rPr>
          <w:rFonts w:ascii="Arial" w:hAnsi="Arial" w:eastAsia="Arial" w:cs="Arial"/>
          <w:sz w:val="27"/>
          <w:szCs w:val="27"/>
          <w:color w:val="B8BFC6"/>
          <w:spacing w:val="4"/>
          <w:position w:val="-1"/>
        </w:rPr>
        <w:t>0</w:t>
      </w:r>
      <w:r>
        <w:rPr>
          <w:rFonts w:ascii="Arial" w:hAnsi="Arial" w:eastAsia="Arial" w:cs="Arial"/>
          <w:sz w:val="27"/>
          <w:szCs w:val="27"/>
          <w:color w:val="B8BFC6"/>
          <w:spacing w:val="-40"/>
          <w:position w:val="-1"/>
        </w:rPr>
        <w:t xml:space="preserve"> </w:t>
      </w:r>
      <w:r>
        <w:rPr>
          <w:rFonts w:ascii="Arial" w:hAnsi="Arial" w:eastAsia="Arial" w:cs="Arial"/>
          <w:sz w:val="27"/>
          <w:szCs w:val="27"/>
          <w:color w:val="B8BFC6"/>
          <w:spacing w:val="4"/>
          <w:position w:val="-1"/>
        </w:rPr>
        <w:t>,</w:t>
      </w:r>
      <w:r>
        <w:rPr>
          <w:rFonts w:ascii="Arial" w:hAnsi="Arial" w:eastAsia="Arial" w:cs="Arial"/>
          <w:sz w:val="27"/>
          <w:szCs w:val="27"/>
          <w:color w:val="B8BFC6"/>
          <w:spacing w:val="18"/>
          <w:position w:val="-1"/>
        </w:rPr>
        <w:t xml:space="preserve"> </w:t>
      </w:r>
      <w:r>
        <w:rPr>
          <w:rFonts w:ascii="Arial" w:hAnsi="Arial" w:eastAsia="Arial" w:cs="Arial"/>
          <w:sz w:val="27"/>
          <w:szCs w:val="27"/>
          <w:color w:val="B8BFC6"/>
          <w:spacing w:val="4"/>
          <w:position w:val="-1"/>
        </w:rPr>
        <w:t>1)</w:t>
      </w:r>
      <w:r>
        <w:rPr>
          <w:rFonts w:ascii="Arial" w:hAnsi="Arial" w:eastAsia="Arial" w:cs="Arial"/>
          <w:sz w:val="27"/>
          <w:szCs w:val="27"/>
          <w:color w:val="B8BFC6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27"/>
          <w:szCs w:val="27"/>
          <w:color w:val="B8BFC6"/>
          <w:spacing w:val="4"/>
          <w:position w:val="-1"/>
        </w:rPr>
        <w:t>.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484" w:right="481" w:hanging="1"/>
        <w:spacing w:before="104" w:line="232" w:lineRule="auto"/>
        <w:rPr/>
      </w:pPr>
      <w:r>
        <w:rPr>
          <w:color w:val="B8BFC6"/>
          <w:spacing w:val="-1"/>
        </w:rPr>
        <w:t>其中</w:t>
      </w:r>
      <w:r>
        <w:rPr>
          <w:position w:val="-3"/>
        </w:rPr>
        <w:drawing>
          <wp:inline distT="0" distB="0" distL="0" distR="0">
            <wp:extent cx="81525" cy="113647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525" cy="1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B8BFC6"/>
          <w:spacing w:val="-1"/>
          <w:position w:val="-1"/>
        </w:rPr>
        <w:t>r</w:t>
      </w:r>
      <w:r>
        <w:rPr>
          <w:position w:val="-2"/>
        </w:rPr>
        <w:drawing>
          <wp:inline distT="0" distB="0" distL="0" distR="0">
            <wp:extent cx="70369" cy="5722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369" cy="5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B8BFC6"/>
          <w:spacing w:val="-1"/>
        </w:rPr>
        <w:t>le</w:t>
      </w:r>
      <w:r>
        <w:rPr>
          <w:color w:val="B8BFC6"/>
          <w:spacing w:val="-1"/>
        </w:rPr>
        <w:t>为直接规则评分，</w:t>
      </w:r>
      <w:r>
        <w:rPr>
          <w:color w:val="B8BFC6"/>
          <w:spacing w:val="-36"/>
        </w:rPr>
        <w:t xml:space="preserve"> </w:t>
      </w:r>
      <w:r>
        <w:rPr>
          <w:rFonts w:ascii="Arial" w:hAnsi="Arial" w:eastAsia="Arial" w:cs="Arial"/>
          <w:color w:val="B8BFC6"/>
          <w:spacing w:val="-1"/>
          <w:position w:val="1"/>
        </w:rPr>
        <w:t>hn</w:t>
      </w:r>
      <w:r>
        <w:rPr>
          <w:color w:val="B8BFC6"/>
          <w:spacing w:val="-1"/>
        </w:rPr>
        <w:t>为</w:t>
      </w:r>
      <w:r>
        <w:rPr>
          <w:rFonts w:ascii="Arial" w:hAnsi="Arial" w:eastAsia="Arial" w:cs="Arial"/>
          <w:color w:val="B8BFC6"/>
          <w:spacing w:val="-1"/>
        </w:rPr>
        <w:t>256→3</w:t>
      </w:r>
      <w:r>
        <w:rPr>
          <w:rFonts w:ascii="Arial" w:hAnsi="Arial" w:eastAsia="Arial" w:cs="Arial"/>
          <w:color w:val="B8BFC6"/>
          <w:spacing w:val="-2"/>
        </w:rPr>
        <w:t>2→</w:t>
      </w:r>
      <w:r>
        <w:rPr>
          <w:rFonts w:ascii="Arial" w:hAnsi="Arial" w:eastAsia="Arial" w:cs="Arial"/>
          <w:color w:val="B8BFC6"/>
          <w:spacing w:val="-41"/>
        </w:rPr>
        <w:t xml:space="preserve"> </w:t>
      </w:r>
      <w:r>
        <w:rPr>
          <w:rFonts w:ascii="Arial" w:hAnsi="Arial" w:eastAsia="Arial" w:cs="Arial"/>
          <w:color w:val="B8BFC6"/>
          <w:spacing w:val="-2"/>
        </w:rPr>
        <w:t>1</w:t>
      </w:r>
      <w:r>
        <w:rPr>
          <w:color w:val="B8BFC6"/>
          <w:spacing w:val="-2"/>
        </w:rPr>
        <w:t>多层感知机，隐藏层采用</w:t>
      </w:r>
      <w:r>
        <w:rPr>
          <w:rFonts w:ascii="Arial" w:hAnsi="Arial" w:eastAsia="Arial" w:cs="Arial"/>
          <w:color w:val="B8BFC6"/>
          <w:spacing w:val="-2"/>
        </w:rPr>
        <w:t>SiLU</w:t>
      </w:r>
      <w:r>
        <w:rPr>
          <w:color w:val="B8BFC6"/>
          <w:spacing w:val="-2"/>
        </w:rPr>
        <w:t>，末层零初始化。裁剪前残差</w:t>
      </w:r>
      <w:r>
        <w:rPr>
          <w:color w:val="B8BFC6"/>
        </w:rPr>
        <w:t>范围为正负</w:t>
      </w:r>
      <w:r>
        <w:rPr>
          <w:rFonts w:ascii="Arial" w:hAnsi="Arial" w:eastAsia="Arial" w:cs="Arial"/>
          <w:color w:val="B8BFC6"/>
        </w:rPr>
        <w:t>5</w:t>
      </w:r>
      <w:r>
        <w:rPr>
          <w:color w:val="B8BFC6"/>
        </w:rPr>
        <w:t>个评分点。原评分训练包含</w:t>
      </w:r>
      <w:r>
        <w:rPr>
          <w:rFonts w:ascii="Arial" w:hAnsi="Arial" w:eastAsia="Arial" w:cs="Arial"/>
          <w:color w:val="B8BFC6"/>
        </w:rPr>
        <w:t>3,053</w:t>
      </w:r>
      <w:r>
        <w:rPr>
          <w:color w:val="B8BFC6"/>
        </w:rPr>
        <w:t>个拟合实例和</w:t>
      </w:r>
      <w:r>
        <w:rPr>
          <w:rFonts w:ascii="Arial" w:hAnsi="Arial" w:eastAsia="Arial" w:cs="Arial"/>
          <w:color w:val="B8BFC6"/>
        </w:rPr>
        <w:t>761</w:t>
      </w:r>
      <w:r>
        <w:rPr>
          <w:color w:val="B8BFC6"/>
        </w:rPr>
        <w:t>个内部留出实例。</w:t>
      </w:r>
      <w:r>
        <w:rPr>
          <w:color w:val="B8BFC6"/>
          <w:spacing w:val="-1"/>
        </w:rPr>
        <w:t>采用</w:t>
      </w:r>
      <w:r>
        <w:rPr>
          <w:rFonts w:ascii="Arial" w:hAnsi="Arial" w:eastAsia="Arial" w:cs="Arial"/>
          <w:color w:val="B8BFC6"/>
          <w:spacing w:val="-1"/>
        </w:rPr>
        <w:t>AdamW</w:t>
      </w:r>
      <w:r>
        <w:rPr>
          <w:color w:val="B8BFC6"/>
          <w:spacing w:val="-1"/>
        </w:rPr>
        <w:t>，学习率</w:t>
      </w:r>
      <w:r>
        <w:rPr>
          <w:rFonts w:ascii="Arial" w:hAnsi="Arial" w:eastAsia="Arial" w:cs="Arial"/>
          <w:color w:val="B8BFC6"/>
        </w:rPr>
        <w:t>0.001</w:t>
      </w:r>
      <w:r>
        <w:rPr>
          <w:color w:val="B8BFC6"/>
        </w:rPr>
        <w:t>、权重衰减</w:t>
      </w:r>
      <w:r>
        <w:rPr>
          <w:rFonts w:ascii="Arial" w:hAnsi="Arial" w:eastAsia="Arial" w:cs="Arial"/>
          <w:color w:val="B8BFC6"/>
        </w:rPr>
        <w:t>0.001</w:t>
      </w:r>
      <w:r>
        <w:rPr>
          <w:color w:val="B8BFC6"/>
        </w:rPr>
        <w:t>、</w:t>
      </w:r>
      <w:r>
        <w:rPr>
          <w:rFonts w:ascii="Arial" w:hAnsi="Arial" w:eastAsia="Arial" w:cs="Arial"/>
          <w:color w:val="B8BFC6"/>
        </w:rPr>
        <w:t>batch</w:t>
      </w:r>
      <w:r>
        <w:rPr>
          <w:rFonts w:ascii="Arial" w:hAnsi="Arial" w:eastAsia="Arial" w:cs="Arial"/>
          <w:color w:val="B8BFC6"/>
          <w:spacing w:val="26"/>
          <w:w w:val="101"/>
        </w:rPr>
        <w:t xml:space="preserve"> </w:t>
      </w:r>
      <w:r>
        <w:rPr>
          <w:rFonts w:ascii="Arial" w:hAnsi="Arial" w:eastAsia="Arial" w:cs="Arial"/>
          <w:color w:val="B8BFC6"/>
        </w:rPr>
        <w:t>1</w:t>
      </w:r>
      <w:r>
        <w:rPr>
          <w:rFonts w:ascii="Arial" w:hAnsi="Arial" w:eastAsia="Arial" w:cs="Arial"/>
          <w:color w:val="B8BFC6"/>
          <w:spacing w:val="-1"/>
        </w:rPr>
        <w:t>28</w:t>
      </w:r>
      <w:r>
        <w:rPr>
          <w:color w:val="B8BFC6"/>
          <w:spacing w:val="-1"/>
        </w:rPr>
        <w:t>、最多</w:t>
      </w:r>
      <w:r>
        <w:rPr>
          <w:rFonts w:ascii="Arial" w:hAnsi="Arial" w:eastAsia="Arial" w:cs="Arial"/>
          <w:color w:val="B8BFC6"/>
          <w:spacing w:val="-1"/>
        </w:rPr>
        <w:t>60</w:t>
      </w:r>
      <w:r>
        <w:rPr>
          <w:color w:val="B8BFC6"/>
          <w:spacing w:val="-1"/>
        </w:rPr>
        <w:t>轮、内部留出</w:t>
      </w:r>
      <w:r>
        <w:rPr>
          <w:rFonts w:ascii="Arial" w:hAnsi="Arial" w:eastAsia="Arial" w:cs="Arial"/>
          <w:color w:val="B8BFC6"/>
          <w:spacing w:val="-1"/>
        </w:rPr>
        <w:t>MAE</w:t>
      </w:r>
      <w:r>
        <w:rPr>
          <w:color w:val="B8BFC6"/>
          <w:spacing w:val="-1"/>
        </w:rPr>
        <w:t>早停耐心</w:t>
      </w:r>
      <w:r>
        <w:rPr>
          <w:rFonts w:ascii="Arial" w:hAnsi="Arial" w:eastAsia="Arial" w:cs="Arial"/>
          <w:color w:val="B8BFC6"/>
          <w:spacing w:val="-1"/>
        </w:rPr>
        <w:t>12</w:t>
      </w:r>
      <w:r>
        <w:rPr>
          <w:color w:val="B8BFC6"/>
          <w:spacing w:val="-1"/>
        </w:rPr>
        <w:t>轮。目标由归一化评分的</w:t>
      </w:r>
    </w:p>
    <w:p>
      <w:pPr>
        <w:pStyle w:val="BodyText"/>
        <w:ind w:left="485" w:right="677" w:firstLine="5"/>
        <w:spacing w:before="21" w:line="238" w:lineRule="auto"/>
        <w:rPr/>
      </w:pPr>
      <w:r>
        <w:rPr>
          <w:rFonts w:ascii="Arial" w:hAnsi="Arial" w:eastAsia="Arial" w:cs="Arial"/>
          <w:color w:val="B8BFC6"/>
          <w:spacing w:val="-1"/>
        </w:rPr>
        <w:t>Smooth</w:t>
      </w:r>
      <w:r>
        <w:rPr>
          <w:rFonts w:ascii="Arial" w:hAnsi="Arial" w:eastAsia="Arial" w:cs="Arial"/>
          <w:color w:val="B8BFC6"/>
          <w:spacing w:val="36"/>
        </w:rPr>
        <w:t xml:space="preserve"> </w:t>
      </w:r>
      <w:r>
        <w:rPr>
          <w:rFonts w:ascii="Arial" w:hAnsi="Arial" w:eastAsia="Arial" w:cs="Arial"/>
          <w:color w:val="B8BFC6"/>
          <w:spacing w:val="-1"/>
        </w:rPr>
        <w:t>L1</w:t>
      </w:r>
      <w:r>
        <w:rPr>
          <w:color w:val="B8BFC6"/>
          <w:spacing w:val="-1"/>
        </w:rPr>
        <w:t>损失、尺寸任务条件下的有序辅助损失以及残差平方约束组成。原规则锚定实验未通过其预</w:t>
      </w:r>
      <w:r>
        <w:rPr>
          <w:color w:val="B8BFC6"/>
          <w:spacing w:val="-1"/>
        </w:rPr>
        <w:t>设</w:t>
      </w:r>
      <w:r>
        <w:rPr>
          <w:rFonts w:ascii="Arial" w:hAnsi="Arial" w:eastAsia="Arial" w:cs="Arial"/>
          <w:color w:val="B8BFC6"/>
          <w:spacing w:val="-1"/>
        </w:rPr>
        <w:t>MAE</w:t>
      </w:r>
      <w:r>
        <w:rPr>
          <w:color w:val="B8BFC6"/>
          <w:spacing w:val="-1"/>
        </w:rPr>
        <w:t>实用改善门槛，后来将其作为级联参考属于探索性流程选择，不能</w:t>
      </w:r>
      <w:r>
        <w:rPr>
          <w:color w:val="B8BFC6"/>
          <w:spacing w:val="-2"/>
        </w:rPr>
        <w:t>改写此前门槛结果。</w:t>
      </w:r>
    </w:p>
    <w:p>
      <w:pPr>
        <w:pStyle w:val="BodyText"/>
        <w:ind w:left="481" w:right="559" w:firstLine="2"/>
        <w:spacing w:before="282" w:line="226" w:lineRule="auto"/>
        <w:rPr/>
      </w:pPr>
      <w:r>
        <w:rPr>
          <w:color w:val="B8BFC6"/>
        </w:rPr>
        <w:t>局部证据在</w:t>
      </w:r>
      <w:r>
        <w:rPr>
          <w:rFonts w:ascii="Arial" w:hAnsi="Arial" w:eastAsia="Arial" w:cs="Arial"/>
          <w:color w:val="B8BFC6"/>
        </w:rPr>
        <w:t>box</w:t>
      </w:r>
      <w:r>
        <w:rPr>
          <w:rFonts w:ascii="Arial" w:hAnsi="Arial" w:eastAsia="Arial" w:cs="Arial"/>
          <w:color w:val="B8BFC6"/>
          <w:spacing w:val="22"/>
        </w:rPr>
        <w:t xml:space="preserve"> </w:t>
      </w:r>
      <w:r>
        <w:rPr>
          <w:rFonts w:ascii="Arial" w:hAnsi="Arial" w:eastAsia="Arial" w:cs="Arial"/>
          <w:color w:val="B8BFC6"/>
        </w:rPr>
        <w:t>IoU</w:t>
      </w:r>
      <w:r>
        <w:rPr>
          <w:color w:val="B8BFC6"/>
        </w:rPr>
        <w:t>不低于</w:t>
      </w:r>
      <w:r>
        <w:rPr>
          <w:rFonts w:ascii="Arial" w:hAnsi="Arial" w:eastAsia="Arial" w:cs="Arial"/>
          <w:color w:val="B8BFC6"/>
        </w:rPr>
        <w:t>0.85</w:t>
      </w:r>
      <w:r>
        <w:rPr>
          <w:color w:val="B8BFC6"/>
        </w:rPr>
        <w:t>的候选邻域内，对每</w:t>
      </w:r>
      <w:r>
        <w:rPr>
          <w:color w:val="B8BFC6"/>
          <w:spacing w:val="-1"/>
        </w:rPr>
        <w:t>个原类别取其</w:t>
      </w:r>
      <w:r>
        <w:rPr>
          <w:rFonts w:ascii="Arial" w:hAnsi="Arial" w:eastAsia="Arial" w:cs="Arial"/>
          <w:color w:val="B8BFC6"/>
          <w:spacing w:val="-1"/>
        </w:rPr>
        <w:t>top-class</w:t>
      </w:r>
      <w:r>
        <w:rPr>
          <w:color w:val="B8BFC6"/>
          <w:spacing w:val="-1"/>
        </w:rPr>
        <w:t>置信度最大值，缺失类别填</w:t>
      </w:r>
      <w:r>
        <w:rPr>
          <w:color w:val="B8BFC6"/>
        </w:rPr>
        <w:t xml:space="preserve">  </w:t>
      </w:r>
      <w:r>
        <w:rPr>
          <w:rFonts w:ascii="Arial" w:hAnsi="Arial" w:eastAsia="Arial" w:cs="Arial"/>
          <w:color w:val="B8BFC6"/>
          <w:spacing w:val="-1"/>
          <w:position w:val="4"/>
        </w:rPr>
        <w:t>1</w:t>
      </w:r>
      <w:r>
        <w:rPr>
          <w:position w:val="1"/>
        </w:rPr>
        <w:drawing>
          <wp:inline distT="0" distB="0" distL="0" distR="0">
            <wp:extent cx="96658" cy="122923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658" cy="12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trike/>
          <w:color w:val="B8BFC6"/>
          <w:spacing w:val="24"/>
          <w:position w:val="4"/>
        </w:rPr>
        <w:t xml:space="preserve">  </w:t>
      </w:r>
      <w:r>
        <w:rPr>
          <w:rFonts w:ascii="Arial" w:hAnsi="Arial" w:eastAsia="Arial" w:cs="Arial"/>
          <w:color w:val="B8BFC6"/>
          <w:spacing w:val="-1"/>
          <w:position w:val="13"/>
        </w:rPr>
        <w:t>4</w:t>
      </w:r>
      <w:r>
        <w:rPr>
          <w:color w:val="B8BFC6"/>
          <w:spacing w:val="-1"/>
        </w:rPr>
        <w:t>。该四维向量来自多个邻域候选的汇聚，与同一候选本身的真实四类输出不同。后者在前阶段已经</w:t>
      </w:r>
      <w:r>
        <w:rPr>
          <w:color w:val="B8BFC6"/>
        </w:rPr>
        <w:t>于检测</w:t>
      </w:r>
      <w:r>
        <w:rPr>
          <w:rFonts w:ascii="Arial" w:hAnsi="Arial" w:eastAsia="Arial" w:cs="Arial"/>
          <w:color w:val="B8BFC6"/>
        </w:rPr>
        <w:t>top-k</w:t>
      </w:r>
      <w:r>
        <w:rPr>
          <w:color w:val="B8BFC6"/>
        </w:rPr>
        <w:t>之前独立捕获，并与候选索引对齐。两类向量均不保证和为</w:t>
      </w:r>
      <w:r>
        <w:rPr>
          <w:rFonts w:ascii="Arial" w:hAnsi="Arial" w:eastAsia="Arial" w:cs="Arial"/>
          <w:color w:val="B8BFC6"/>
        </w:rPr>
        <w:t>1</w:t>
      </w:r>
      <w:r>
        <w:rPr>
          <w:color w:val="B8BFC6"/>
        </w:rPr>
        <w:t>，也不能直</w:t>
      </w:r>
      <w:r>
        <w:rPr>
          <w:color w:val="B8BFC6"/>
          <w:spacing w:val="-1"/>
        </w:rPr>
        <w:t>接称为已校准的后</w:t>
      </w:r>
      <w:r>
        <w:rPr>
          <w:color w:val="B8BFC6"/>
          <w:spacing w:val="-1"/>
        </w:rPr>
        <w:t>验概率。主策略使用邻域向量，不能把提取同候选四类分布本身写成最终</w:t>
      </w:r>
      <w:r>
        <w:rPr>
          <w:color w:val="B8BFC6"/>
          <w:spacing w:val="-2"/>
        </w:rPr>
        <w:t>改善的全部来源。</w:t>
      </w:r>
    </w:p>
    <w:p>
      <w:pPr>
        <w:pStyle w:val="BodyText"/>
        <w:ind w:left="483"/>
        <w:spacing w:before="313" w:line="225" w:lineRule="auto"/>
        <w:rPr/>
      </w:pPr>
      <w:r>
        <w:rPr>
          <w:color w:val="B8BFC6"/>
        </w:rPr>
        <w:t>边界融合只在阈值附近调整尺寸判定。对评分阈值</w:t>
      </w:r>
      <w:r>
        <w:rPr>
          <w:rFonts w:ascii="Arial" w:hAnsi="Arial" w:eastAsia="Arial" w:cs="Arial"/>
          <w:sz w:val="29"/>
          <w:szCs w:val="29"/>
          <w:color w:val="B8BFC6"/>
          <w:position w:val="3"/>
        </w:rPr>
        <w:t>T</w:t>
      </w:r>
      <w:r>
        <w:rPr>
          <w:color w:val="B8BFC6"/>
        </w:rPr>
        <w:t>、对应相邻类别的</w:t>
      </w:r>
      <w:r>
        <w:rPr>
          <w:rFonts w:ascii="Arial" w:hAnsi="Arial" w:eastAsia="Arial" w:cs="Arial"/>
          <w:color w:val="B8BFC6"/>
        </w:rPr>
        <w:t>l</w:t>
      </w:r>
      <w:r>
        <w:rPr>
          <w:rFonts w:ascii="Arial" w:hAnsi="Arial" w:eastAsia="Arial" w:cs="Arial"/>
          <w:color w:val="B8BFC6"/>
          <w:spacing w:val="-1"/>
        </w:rPr>
        <w:t>ogit</w:t>
      </w:r>
      <w:r>
        <w:rPr>
          <w:color w:val="B8BFC6"/>
          <w:spacing w:val="-1"/>
        </w:rPr>
        <w:t>差</w:t>
      </w:r>
      <w:r>
        <w:rPr>
          <w:rFonts w:ascii="Arial" w:hAnsi="Arial" w:eastAsia="Arial" w:cs="Arial"/>
          <w:sz w:val="29"/>
          <w:szCs w:val="29"/>
          <w:color w:val="B8BFC6"/>
          <w:spacing w:val="-1"/>
          <w:position w:val="3"/>
        </w:rPr>
        <w:t>d</w:t>
      </w:r>
      <w:r>
        <w:rPr>
          <w:color w:val="B8BFC6"/>
          <w:spacing w:val="-1"/>
        </w:rPr>
        <w:t>，已实现的修正边距为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2948"/>
        <w:spacing w:before="78" w:line="194" w:lineRule="auto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column">
              <wp:posOffset>3682117</wp:posOffset>
            </wp:positionH>
            <wp:positionV relativeFrom="paragraph">
              <wp:posOffset>157350</wp:posOffset>
            </wp:positionV>
            <wp:extent cx="98957" cy="10725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957" cy="1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B8BFC6"/>
          <w:spacing w:val="15"/>
          <w:w w:val="123"/>
        </w:rPr>
        <w:t>rmT</w:t>
      </w:r>
      <w:r>
        <w:rPr>
          <w:rFonts w:ascii="Arial" w:hAnsi="Arial" w:eastAsia="Arial" w:cs="Arial"/>
          <w:sz w:val="18"/>
          <w:szCs w:val="18"/>
          <w:color w:val="B8BFC6"/>
          <w:spacing w:val="5"/>
        </w:rPr>
        <w:t xml:space="preserve">  </w:t>
      </w:r>
      <w:r>
        <w:rPr>
          <w:sz w:val="18"/>
          <w:szCs w:val="18"/>
          <w:position w:val="-4"/>
        </w:rPr>
        <w:drawing>
          <wp:inline distT="0" distB="0" distL="0" distR="0">
            <wp:extent cx="277611" cy="113686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611" cy="11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8"/>
          <w:szCs w:val="18"/>
          <w:color w:val="B8BFC6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trike/>
          <w:color w:val="B8BFC6"/>
          <w:spacing w:val="12"/>
          <w:w w:val="101"/>
        </w:rPr>
        <w:t xml:space="preserve">   </w:t>
      </w:r>
      <w:r>
        <w:rPr>
          <w:rFonts w:ascii="Arial" w:hAnsi="Arial" w:eastAsia="Arial" w:cs="Arial"/>
          <w:sz w:val="18"/>
          <w:szCs w:val="18"/>
          <w:color w:val="B8BFC6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B8BFC6"/>
          <w:spacing w:val="15"/>
          <w:w w:val="123"/>
        </w:rPr>
        <w:t>T+</w:t>
      </w:r>
      <w:r>
        <w:rPr>
          <w:rFonts w:ascii="Arial" w:hAnsi="Arial" w:eastAsia="Arial" w:cs="Arial"/>
          <w:sz w:val="18"/>
          <w:szCs w:val="18"/>
          <w:color w:val="B8BFC6"/>
          <w:spacing w:val="38"/>
        </w:rPr>
        <w:t xml:space="preserve"> </w:t>
      </w:r>
      <w:r>
        <w:rPr>
          <w:sz w:val="18"/>
          <w:szCs w:val="18"/>
          <w:color w:val="B8BFC6"/>
          <w:spacing w:val="15"/>
          <w:w w:val="123"/>
        </w:rPr>
        <w:t>入</w:t>
      </w:r>
      <w:r>
        <w:rPr>
          <w:sz w:val="18"/>
          <w:szCs w:val="18"/>
          <w:color w:val="B8BFC6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B8BFC6"/>
          <w:spacing w:val="15"/>
          <w:w w:val="123"/>
        </w:rPr>
        <w:t>e</w:t>
      </w:r>
      <w:r>
        <w:rPr>
          <w:sz w:val="18"/>
          <w:szCs w:val="18"/>
        </w:rPr>
        <w:drawing>
          <wp:inline distT="0" distB="0" distL="0" distR="0">
            <wp:extent cx="96374" cy="77042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374" cy="7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8"/>
          <w:szCs w:val="18"/>
          <w:color w:val="B8BFC6"/>
          <w:spacing w:val="15"/>
          <w:w w:val="123"/>
          <w:position w:val="-3"/>
        </w:rPr>
        <w:t>p</w:t>
      </w:r>
      <w:r>
        <w:rPr>
          <w:rFonts w:ascii="Arial" w:hAnsi="Arial" w:eastAsia="Arial" w:cs="Arial"/>
          <w:sz w:val="18"/>
          <w:szCs w:val="18"/>
          <w:color w:val="B8BFC6"/>
          <w:spacing w:val="9"/>
          <w:position w:val="-3"/>
        </w:rPr>
        <w:t xml:space="preserve">  </w:t>
      </w:r>
      <w:r>
        <w:rPr>
          <w:sz w:val="18"/>
          <w:szCs w:val="18"/>
          <w:position w:val="-8"/>
        </w:rPr>
        <w:drawing>
          <wp:inline distT="0" distB="0" distL="0" distR="0">
            <wp:extent cx="31742" cy="214503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42" cy="21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8"/>
          <w:szCs w:val="18"/>
          <w:color w:val="B8BFC6"/>
          <w:spacing w:val="-25"/>
          <w:position w:val="-3"/>
        </w:rPr>
        <w:t xml:space="preserve"> </w:t>
      </w:r>
      <w:r>
        <w:rPr>
          <w:rFonts w:ascii="Arial" w:hAnsi="Arial" w:eastAsia="Arial" w:cs="Arial"/>
          <w:sz w:val="18"/>
          <w:szCs w:val="18"/>
          <w:strike/>
          <w:color w:val="B8BFC6"/>
          <w:spacing w:val="12"/>
          <w:w w:val="101"/>
          <w:position w:val="-3"/>
        </w:rPr>
        <w:t xml:space="preserve">   </w:t>
      </w:r>
      <w:r>
        <w:rPr>
          <w:rFonts w:ascii="Arial" w:hAnsi="Arial" w:eastAsia="Arial" w:cs="Arial"/>
          <w:sz w:val="18"/>
          <w:szCs w:val="18"/>
          <w:color w:val="B8BFC6"/>
          <w:position w:val="-3"/>
        </w:rPr>
        <w:t xml:space="preserve"> </w:t>
      </w:r>
      <w:r>
        <w:rPr>
          <w:rFonts w:ascii="Arial" w:hAnsi="Arial" w:eastAsia="Arial" w:cs="Arial"/>
          <w:sz w:val="18"/>
          <w:szCs w:val="18"/>
          <w:color w:val="B8BFC6"/>
          <w:spacing w:val="-12"/>
          <w:position w:val="-3"/>
        </w:rPr>
        <w:t xml:space="preserve"> </w:t>
      </w:r>
      <w:r>
        <w:rPr>
          <w:rFonts w:ascii="Arial" w:hAnsi="Arial" w:eastAsia="Arial" w:cs="Arial"/>
          <w:sz w:val="18"/>
          <w:szCs w:val="18"/>
          <w:color w:val="B8BFC6"/>
          <w:spacing w:val="15"/>
          <w:w w:val="123"/>
          <w:position w:val="-8"/>
        </w:rPr>
        <w:t>2</w:t>
      </w:r>
      <w:r>
        <w:rPr>
          <w:rFonts w:ascii="Arial" w:hAnsi="Arial" w:eastAsia="Arial" w:cs="Arial"/>
          <w:sz w:val="18"/>
          <w:szCs w:val="18"/>
          <w:color w:val="B8BFC6"/>
          <w:spacing w:val="-12"/>
          <w:position w:val="-8"/>
        </w:rPr>
        <w:t xml:space="preserve"> </w:t>
      </w:r>
      <w:r>
        <w:rPr>
          <w:rFonts w:ascii="Arial" w:hAnsi="Arial" w:eastAsia="Arial" w:cs="Arial"/>
          <w:sz w:val="18"/>
          <w:szCs w:val="18"/>
          <w:color w:val="B8BFC6"/>
          <w:spacing w:val="12"/>
          <w:position w:val="-8"/>
        </w:rPr>
        <w:t xml:space="preserve"> </w:t>
      </w:r>
      <w:r>
        <w:rPr>
          <w:sz w:val="18"/>
          <w:szCs w:val="18"/>
          <w:position w:val="-6"/>
        </w:rPr>
        <w:drawing>
          <wp:inline distT="0" distB="0" distL="0" distR="0">
            <wp:extent cx="215884" cy="178037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884" cy="17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8"/>
          <w:szCs w:val="18"/>
          <w:color w:val="B8BFC6"/>
          <w:spacing w:val="28"/>
          <w:w w:val="101"/>
          <w:position w:val="-8"/>
        </w:rPr>
        <w:t xml:space="preserve"> </w:t>
      </w:r>
      <w:r>
        <w:rPr>
          <w:rFonts w:ascii="Arial" w:hAnsi="Arial" w:eastAsia="Arial" w:cs="Arial"/>
          <w:sz w:val="18"/>
          <w:szCs w:val="18"/>
          <w:strike/>
          <w:color w:val="B8BFC6"/>
          <w:spacing w:val="12"/>
          <w:w w:val="101"/>
          <w:position w:val="-8"/>
        </w:rPr>
        <w:t xml:space="preserve">   </w:t>
      </w:r>
      <w:r>
        <w:rPr>
          <w:rFonts w:ascii="Arial" w:hAnsi="Arial" w:eastAsia="Arial" w:cs="Arial"/>
          <w:sz w:val="18"/>
          <w:szCs w:val="18"/>
          <w:color w:val="B8BFC6"/>
          <w:spacing w:val="35"/>
          <w:position w:val="-8"/>
        </w:rPr>
        <w:t xml:space="preserve"> </w:t>
      </w:r>
      <w:r>
        <w:rPr>
          <w:rFonts w:ascii="Arial" w:hAnsi="Arial" w:eastAsia="Arial" w:cs="Arial"/>
          <w:sz w:val="18"/>
          <w:szCs w:val="18"/>
          <w:color w:val="B8BFC6"/>
          <w:spacing w:val="15"/>
          <w:w w:val="123"/>
          <w:position w:val="2"/>
        </w:rPr>
        <w:t>T</w:t>
      </w:r>
      <w:r>
        <w:rPr>
          <w:sz w:val="18"/>
          <w:szCs w:val="18"/>
          <w:position w:val="-6"/>
        </w:rPr>
        <w:drawing>
          <wp:inline distT="0" distB="0" distL="0" distR="0">
            <wp:extent cx="323350" cy="178753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350" cy="17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8"/>
          <w:szCs w:val="18"/>
          <w:color w:val="B8BFC6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B8BFC6"/>
          <w:spacing w:val="15"/>
          <w:w w:val="123"/>
          <w:position w:val="12"/>
        </w:rPr>
        <w:t>2</w:t>
      </w:r>
      <w:r>
        <w:rPr>
          <w:sz w:val="18"/>
          <w:szCs w:val="18"/>
          <w:position w:val="-8"/>
        </w:rPr>
        <w:drawing>
          <wp:inline distT="0" distB="0" distL="0" distR="0">
            <wp:extent cx="31742" cy="214503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42" cy="21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8"/>
          <w:szCs w:val="18"/>
          <w:color w:val="B8BFC6"/>
          <w:spacing w:val="7"/>
          <w:position w:val="12"/>
        </w:rPr>
        <w:t xml:space="preserve">  </w:t>
      </w:r>
      <w:r>
        <w:rPr>
          <w:rFonts w:ascii="Arial" w:hAnsi="Arial" w:eastAsia="Arial" w:cs="Arial"/>
          <w:sz w:val="18"/>
          <w:szCs w:val="18"/>
          <w:color w:val="B8BFC6"/>
          <w:spacing w:val="15"/>
          <w:w w:val="123"/>
        </w:rPr>
        <w:t>tanh</w:t>
      </w:r>
      <w:r>
        <w:rPr>
          <w:sz w:val="18"/>
          <w:szCs w:val="18"/>
          <w:position w:val="-6"/>
        </w:rPr>
        <w:drawing>
          <wp:inline distT="0" distB="0" distL="0" distR="0">
            <wp:extent cx="44171" cy="17803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71" cy="17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8"/>
          <w:szCs w:val="18"/>
          <w:color w:val="B8BFC6"/>
          <w:spacing w:val="15"/>
          <w:w w:val="123"/>
          <w:position w:val="1"/>
        </w:rPr>
        <w:t>d</w:t>
      </w:r>
      <w:r>
        <w:rPr>
          <w:sz w:val="18"/>
          <w:szCs w:val="18"/>
          <w:position w:val="-6"/>
        </w:rPr>
        <w:drawing>
          <wp:inline distT="0" distB="0" distL="0" distR="0">
            <wp:extent cx="74384" cy="178753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384" cy="17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8"/>
          <w:szCs w:val="18"/>
          <w:color w:val="B8BFC6"/>
          <w:spacing w:val="15"/>
          <w:w w:val="123"/>
          <w:position w:val="-2"/>
        </w:rPr>
        <w:t>3)</w:t>
      </w:r>
      <w:r>
        <w:rPr>
          <w:rFonts w:ascii="Arial" w:hAnsi="Arial" w:eastAsia="Arial" w:cs="Arial"/>
          <w:sz w:val="18"/>
          <w:szCs w:val="18"/>
          <w:color w:val="B8BFC6"/>
          <w:spacing w:val="2"/>
          <w:position w:val="-2"/>
        </w:rPr>
        <w:t xml:space="preserve"> </w:t>
      </w:r>
      <w:r>
        <w:rPr>
          <w:rFonts w:ascii="Arial" w:hAnsi="Arial" w:eastAsia="Arial" w:cs="Arial"/>
          <w:sz w:val="18"/>
          <w:szCs w:val="18"/>
          <w:color w:val="B8BFC6"/>
          <w:spacing w:val="15"/>
          <w:w w:val="123"/>
          <w:position w:val="-2"/>
        </w:rPr>
        <w:t>,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83" w:right="585"/>
        <w:spacing w:before="103" w:line="226" w:lineRule="auto"/>
        <w:jc w:val="both"/>
        <w:rPr/>
      </w:pPr>
      <w:r>
        <w:rPr>
          <w:color w:val="B8BFC6"/>
          <w:spacing w:val="-1"/>
        </w:rPr>
        <w:t>其中</w:t>
      </w:r>
      <w:r>
        <w:rPr>
          <w:color w:val="B8BFC6"/>
          <w:spacing w:val="-1"/>
          <w:position w:val="2"/>
        </w:rPr>
        <w:t>入</w:t>
      </w:r>
      <w:r>
        <w:rPr>
          <w:color w:val="B8BFC6"/>
          <w:spacing w:val="-1"/>
          <w:position w:val="2"/>
        </w:rPr>
        <w:t xml:space="preserve"> </w:t>
      </w:r>
      <w:r>
        <w:rPr>
          <w:position w:val="5"/>
        </w:rPr>
        <w:drawing>
          <wp:inline distT="0" distB="0" distL="0" distR="0">
            <wp:extent cx="119042" cy="41826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042" cy="4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B8BFC6"/>
          <w:spacing w:val="66"/>
          <w:position w:val="2"/>
        </w:rPr>
        <w:t xml:space="preserve"> </w:t>
      </w:r>
      <w:r>
        <w:rPr>
          <w:rFonts w:ascii="Arial" w:hAnsi="Arial" w:eastAsia="Arial" w:cs="Arial"/>
          <w:color w:val="B8BFC6"/>
          <w:spacing w:val="-1"/>
          <w:position w:val="3"/>
        </w:rPr>
        <w:t>i</w:t>
      </w:r>
      <w:r>
        <w:rPr>
          <w:rFonts w:ascii="Arial" w:hAnsi="Arial" w:eastAsia="Arial" w:cs="Arial"/>
          <w:color w:val="B8BFC6"/>
          <w:spacing w:val="-20"/>
          <w:position w:val="3"/>
        </w:rPr>
        <w:t xml:space="preserve"> </w:t>
      </w:r>
      <w:r>
        <w:rPr>
          <w:position w:val="1"/>
        </w:rPr>
        <w:drawing>
          <wp:inline distT="0" distB="0" distL="0" distR="0">
            <wp:extent cx="18946" cy="18946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46" cy="1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B8BFC6"/>
          <w:spacing w:val="-29"/>
          <w:position w:val="3"/>
        </w:rPr>
        <w:t xml:space="preserve"> </w:t>
      </w:r>
      <w:r>
        <w:rPr>
          <w:rFonts w:ascii="Arial" w:hAnsi="Arial" w:eastAsia="Arial" w:cs="Arial"/>
          <w:color w:val="B8BFC6"/>
          <w:spacing w:val="-1"/>
          <w:position w:val="1"/>
        </w:rPr>
        <w:t>5</w:t>
      </w:r>
      <w:r>
        <w:rPr>
          <w:rFonts w:ascii="Arial" w:hAnsi="Arial" w:eastAsia="Arial" w:cs="Arial"/>
          <w:color w:val="B8BFC6"/>
          <w:spacing w:val="-31"/>
          <w:position w:val="1"/>
        </w:rPr>
        <w:t xml:space="preserve"> </w:t>
      </w:r>
      <w:r>
        <w:rPr>
          <w:color w:val="B8BFC6"/>
          <w:spacing w:val="-1"/>
        </w:rPr>
        <w:t>、</w:t>
      </w:r>
      <w:r>
        <w:rPr>
          <w:rFonts w:ascii="Arial" w:hAnsi="Arial" w:eastAsia="Arial" w:cs="Arial"/>
          <w:color w:val="B8BFC6"/>
          <w:spacing w:val="-1"/>
          <w:position w:val="1"/>
        </w:rPr>
        <w:t>n</w:t>
      </w:r>
      <w:r>
        <w:rPr>
          <w:rFonts w:ascii="Arial" w:hAnsi="Arial" w:eastAsia="Arial" w:cs="Arial"/>
          <w:color w:val="B8BFC6"/>
          <w:spacing w:val="-1"/>
          <w:position w:val="1"/>
        </w:rPr>
        <w:t xml:space="preserve"> </w:t>
      </w:r>
      <w:r>
        <w:rPr>
          <w:rFonts w:ascii="Arial" w:hAnsi="Arial" w:eastAsia="Arial" w:cs="Arial"/>
          <w:color w:val="B8BFC6"/>
          <w:spacing w:val="-1"/>
          <w:position w:val="1"/>
        </w:rPr>
        <w:t>=</w:t>
      </w:r>
      <w:r>
        <w:rPr>
          <w:rFonts w:ascii="Arial" w:hAnsi="Arial" w:eastAsia="Arial" w:cs="Arial"/>
          <w:color w:val="B8BFC6"/>
          <w:spacing w:val="36"/>
          <w:w w:val="101"/>
          <w:position w:val="1"/>
        </w:rPr>
        <w:t xml:space="preserve"> </w:t>
      </w:r>
      <w:r>
        <w:rPr>
          <w:rFonts w:ascii="Arial" w:hAnsi="Arial" w:eastAsia="Arial" w:cs="Arial"/>
          <w:color w:val="B8BFC6"/>
          <w:spacing w:val="-1"/>
          <w:position w:val="1"/>
        </w:rPr>
        <w:t>2</w:t>
      </w:r>
      <w:r>
        <w:rPr>
          <w:rFonts w:ascii="Arial" w:hAnsi="Arial" w:eastAsia="Arial" w:cs="Arial"/>
          <w:color w:val="B8BFC6"/>
          <w:spacing w:val="-33"/>
          <w:position w:val="1"/>
        </w:rPr>
        <w:t xml:space="preserve"> </w:t>
      </w:r>
      <w:r>
        <w:rPr>
          <w:rFonts w:ascii="Arial" w:hAnsi="Arial" w:eastAsia="Arial" w:cs="Arial"/>
          <w:color w:val="B8BFC6"/>
          <w:spacing w:val="-1"/>
          <w:position w:val="1"/>
        </w:rPr>
        <w:t>.</w:t>
      </w:r>
      <w:r>
        <w:rPr>
          <w:rFonts w:ascii="Arial" w:hAnsi="Arial" w:eastAsia="Arial" w:cs="Arial"/>
          <w:color w:val="B8BFC6"/>
          <w:spacing w:val="-32"/>
          <w:position w:val="1"/>
        </w:rPr>
        <w:t xml:space="preserve"> </w:t>
      </w:r>
      <w:r>
        <w:rPr>
          <w:rFonts w:ascii="Arial" w:hAnsi="Arial" w:eastAsia="Arial" w:cs="Arial"/>
          <w:color w:val="B8BFC6"/>
          <w:spacing w:val="-1"/>
          <w:position w:val="1"/>
        </w:rPr>
        <w:t>5</w:t>
      </w:r>
      <w:r>
        <w:rPr>
          <w:color w:val="B8BFC6"/>
          <w:spacing w:val="-1"/>
        </w:rPr>
        <w:t>。根据高、低阈值修正后的边距确定尺寸等级。缺梗判断在原缺梗</w:t>
      </w:r>
      <w:r>
        <w:rPr>
          <w:rFonts w:ascii="Arial" w:hAnsi="Arial" w:eastAsia="Arial" w:cs="Arial"/>
          <w:color w:val="B8BFC6"/>
          <w:spacing w:val="-1"/>
        </w:rPr>
        <w:t>logit</w:t>
      </w:r>
      <w:r>
        <w:rPr>
          <w:color w:val="B8BFC6"/>
          <w:spacing w:val="-1"/>
        </w:rPr>
        <w:t>上，加入</w:t>
      </w:r>
      <w:r>
        <w:rPr>
          <w:rFonts w:ascii="Arial" w:hAnsi="Arial" w:eastAsia="Arial" w:cs="Arial"/>
          <w:color w:val="B8BFC6"/>
        </w:rPr>
        <w:t>0.5</w:t>
      </w:r>
      <w:r>
        <w:rPr>
          <w:color w:val="B8BFC6"/>
        </w:rPr>
        <w:t>倍的</w:t>
      </w:r>
      <w:r>
        <w:rPr>
          <w:rFonts w:ascii="Arial" w:hAnsi="Arial" w:eastAsia="Arial" w:cs="Arial"/>
          <w:color w:val="B8BFC6"/>
        </w:rPr>
        <w:t>“</w:t>
      </w:r>
      <w:r>
        <w:rPr>
          <w:color w:val="B8BFC6"/>
        </w:rPr>
        <w:t>邻域三级证据减去一级、二级较大证据</w:t>
      </w:r>
      <w:r>
        <w:rPr>
          <w:rFonts w:ascii="Arial" w:hAnsi="Arial" w:eastAsia="Arial" w:cs="Arial"/>
          <w:color w:val="B8BFC6"/>
        </w:rPr>
        <w:t>”</w:t>
      </w:r>
      <w:r>
        <w:rPr>
          <w:color w:val="B8BFC6"/>
        </w:rPr>
        <w:t>，结果非负时判为缺梗并分入</w:t>
      </w:r>
      <w:r>
        <w:rPr>
          <w:color w:val="B8BFC6"/>
          <w:spacing w:val="-1"/>
        </w:rPr>
        <w:t>三级。不合格否决位于上</w:t>
      </w:r>
      <w:r>
        <w:rPr>
          <w:color w:val="B8BFC6"/>
          <w:spacing w:val="-2"/>
        </w:rPr>
        <w:t>述判断之前。主候选不启用将原不合格预测恢复为合格等级的操作。</w:t>
      </w:r>
    </w:p>
    <w:p>
      <w:pPr>
        <w:pStyle w:val="BodyText"/>
        <w:ind w:left="490"/>
        <w:spacing w:before="360" w:line="183" w:lineRule="auto"/>
        <w:outlineLvl w:val="2"/>
        <w:rPr>
          <w:sz w:val="28"/>
          <w:szCs w:val="28"/>
        </w:rPr>
      </w:pP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3"/>
        </w:rPr>
        <w:t>3.4</w:t>
      </w: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7"/>
        </w:rPr>
        <w:t xml:space="preserve"> </w:t>
      </w:r>
      <w:r>
        <w:rPr>
          <w:sz w:val="28"/>
          <w:szCs w:val="28"/>
          <w:b/>
          <w:bCs/>
          <w:color w:val="DEDEDE"/>
          <w:spacing w:val="-13"/>
        </w:rPr>
        <w:t>质量排序与真实重复抑制</w:t>
      </w:r>
    </w:p>
    <w:p>
      <w:pPr>
        <w:pStyle w:val="BodyText"/>
        <w:ind w:left="483" w:right="602" w:firstLine="1"/>
        <w:spacing w:before="342" w:line="230" w:lineRule="auto"/>
        <w:rPr/>
      </w:pPr>
      <w:r>
        <w:rPr>
          <w:color w:val="B8BFC6"/>
        </w:rPr>
        <w:t>重分类可能使多个候选竞争同一最终等级。当前检测器运行</w:t>
      </w:r>
      <w:r>
        <w:rPr>
          <w:rFonts w:ascii="Arial" w:hAnsi="Arial" w:eastAsia="Arial" w:cs="Arial"/>
          <w:color w:val="B8BFC6"/>
        </w:rPr>
        <w:t>end-to-end</w:t>
      </w:r>
      <w:r>
        <w:rPr>
          <w:color w:val="B8BFC6"/>
        </w:rPr>
        <w:t>输出路径，不能假定传统</w:t>
      </w:r>
      <w:r>
        <w:rPr>
          <w:rFonts w:ascii="Arial" w:hAnsi="Arial" w:eastAsia="Arial" w:cs="Arial"/>
          <w:color w:val="B8BFC6"/>
          <w:spacing w:val="-1"/>
        </w:rPr>
        <w:t>class-</w:t>
      </w:r>
      <w:r>
        <w:rPr>
          <w:rFonts w:ascii="Arial" w:hAnsi="Arial" w:eastAsia="Arial" w:cs="Arial"/>
          <w:color w:val="B8BFC6"/>
        </w:rPr>
        <w:t xml:space="preserve"> </w:t>
      </w:r>
      <w:r>
        <w:rPr>
          <w:rFonts w:ascii="Arial" w:hAnsi="Arial" w:eastAsia="Arial" w:cs="Arial"/>
          <w:color w:val="B8BFC6"/>
        </w:rPr>
        <w:t>offset</w:t>
      </w:r>
      <w:r>
        <w:rPr>
          <w:rFonts w:ascii="Arial" w:hAnsi="Arial" w:eastAsia="Arial" w:cs="Arial"/>
          <w:color w:val="B8BFC6"/>
          <w:spacing w:val="18"/>
        </w:rPr>
        <w:t xml:space="preserve"> </w:t>
      </w:r>
      <w:r>
        <w:rPr>
          <w:rFonts w:ascii="Arial" w:hAnsi="Arial" w:eastAsia="Arial" w:cs="Arial"/>
          <w:color w:val="B8BFC6"/>
        </w:rPr>
        <w:t>NMS</w:t>
      </w:r>
      <w:r>
        <w:rPr>
          <w:color w:val="B8BFC6"/>
        </w:rPr>
        <w:t>已经消除了所有原始同类碰撞。因此</w:t>
      </w:r>
      <w:r>
        <w:rPr>
          <w:color w:val="B8BFC6"/>
          <w:spacing w:val="-1"/>
        </w:rPr>
        <w:t>，对原</w:t>
      </w:r>
      <w:r>
        <w:rPr>
          <w:rFonts w:ascii="Arial" w:hAnsi="Arial" w:eastAsia="Arial" w:cs="Arial"/>
          <w:color w:val="B8BFC6"/>
          <w:spacing w:val="-1"/>
        </w:rPr>
        <w:t>YOLO</w:t>
      </w:r>
      <w:r>
        <w:rPr>
          <w:color w:val="B8BFC6"/>
          <w:spacing w:val="-1"/>
        </w:rPr>
        <w:t>同时给出追加相同</w:t>
      </w:r>
      <w:r>
        <w:rPr>
          <w:rFonts w:ascii="Arial" w:hAnsi="Arial" w:eastAsia="Arial" w:cs="Arial"/>
          <w:color w:val="B8BFC6"/>
          <w:spacing w:val="-1"/>
        </w:rPr>
        <w:t>NMS</w:t>
      </w:r>
      <w:r>
        <w:rPr>
          <w:color w:val="B8BFC6"/>
          <w:spacing w:val="-1"/>
        </w:rPr>
        <w:t>与不追加</w:t>
      </w:r>
      <w:r>
        <w:rPr>
          <w:rFonts w:ascii="Arial" w:hAnsi="Arial" w:eastAsia="Arial" w:cs="Arial"/>
          <w:color w:val="B8BFC6"/>
          <w:spacing w:val="-1"/>
        </w:rPr>
        <w:t>NMS</w:t>
      </w:r>
      <w:r>
        <w:rPr>
          <w:color w:val="B8BFC6"/>
          <w:spacing w:val="-1"/>
        </w:rPr>
        <w:t>两种</w:t>
      </w:r>
      <w:r>
        <w:rPr>
          <w:color w:val="B8BFC6"/>
          <w:spacing w:val="-11"/>
        </w:rPr>
        <w:t>对照。</w:t>
      </w:r>
    </w:p>
    <w:p>
      <w:pPr>
        <w:spacing w:line="230" w:lineRule="auto"/>
        <w:sectPr>
          <w:headerReference w:type="default" r:id="rId20"/>
          <w:pgSz w:w="11919" w:h="16858"/>
          <w:pgMar w:top="400" w:right="0" w:bottom="921" w:left="0" w:header="0" w:footer="6" w:gutter="0"/>
        </w:sectPr>
        <w:rPr/>
      </w:pPr>
    </w:p>
    <w:p>
      <w:pPr>
        <w:spacing w:line="415" w:lineRule="auto"/>
        <w:rPr>
          <w:rFonts w:ascii="Arial"/>
          <w:sz w:val="21"/>
        </w:rPr>
      </w:pPr>
      <w:r/>
    </w:p>
    <w:p>
      <w:pPr>
        <w:pStyle w:val="BodyText"/>
        <w:ind w:left="483" w:right="638" w:firstLine="2"/>
        <w:spacing w:before="103" w:line="238" w:lineRule="auto"/>
        <w:jc w:val="both"/>
        <w:rPr/>
      </w:pPr>
      <w:r>
        <w:rPr>
          <w:color w:val="B8BFC6"/>
        </w:rPr>
        <w:t>真实</w:t>
      </w:r>
      <w:r>
        <w:rPr>
          <w:rFonts w:ascii="Arial" w:hAnsi="Arial" w:eastAsia="Arial" w:cs="Arial"/>
          <w:color w:val="B8BFC6"/>
        </w:rPr>
        <w:t>NMS</w:t>
      </w:r>
      <w:r>
        <w:rPr>
          <w:color w:val="B8BFC6"/>
        </w:rPr>
        <w:t>在相同最终类别内使用</w:t>
      </w:r>
      <w:r>
        <w:rPr>
          <w:rFonts w:ascii="Arial" w:hAnsi="Arial" w:eastAsia="Arial" w:cs="Arial"/>
          <w:color w:val="B8BFC6"/>
        </w:rPr>
        <w:t>box</w:t>
      </w:r>
      <w:r>
        <w:rPr>
          <w:rFonts w:ascii="Arial" w:hAnsi="Arial" w:eastAsia="Arial" w:cs="Arial"/>
          <w:color w:val="B8BFC6"/>
          <w:spacing w:val="22"/>
        </w:rPr>
        <w:t xml:space="preserve"> </w:t>
      </w:r>
      <w:r>
        <w:rPr>
          <w:rFonts w:ascii="Arial" w:hAnsi="Arial" w:eastAsia="Arial" w:cs="Arial"/>
          <w:color w:val="B8BFC6"/>
        </w:rPr>
        <w:t>IoU 0.</w:t>
      </w:r>
      <w:r>
        <w:rPr>
          <w:rFonts w:ascii="Arial" w:hAnsi="Arial" w:eastAsia="Arial" w:cs="Arial"/>
          <w:color w:val="B8BFC6"/>
          <w:spacing w:val="-1"/>
        </w:rPr>
        <w:t>70</w:t>
      </w:r>
      <w:r>
        <w:rPr>
          <w:color w:val="B8BFC6"/>
          <w:spacing w:val="-1"/>
        </w:rPr>
        <w:t>。原始置信度不低于</w:t>
      </w:r>
      <w:r>
        <w:rPr>
          <w:rFonts w:ascii="Arial" w:hAnsi="Arial" w:eastAsia="Arial" w:cs="Arial"/>
          <w:color w:val="B8BFC6"/>
          <w:spacing w:val="-1"/>
        </w:rPr>
        <w:t>0.25</w:t>
      </w:r>
      <w:r>
        <w:rPr>
          <w:color w:val="B8BFC6"/>
          <w:spacing w:val="-1"/>
        </w:rPr>
        <w:t>的候选优先于低置信候选；各范</w:t>
      </w:r>
      <w:r>
        <w:rPr>
          <w:color w:val="B8BFC6"/>
        </w:rPr>
        <w:t>围内按排序分数和稳定索引处理。该范围优先规则是显式的评价协议选择。抑制后同时从框</w:t>
      </w:r>
      <w:r>
        <w:rPr>
          <w:color w:val="B8BFC6"/>
          <w:spacing w:val="-1"/>
        </w:rPr>
        <w:t>、掩膜、类</w:t>
      </w:r>
      <w:r>
        <w:rPr>
          <w:color w:val="B8BFC6"/>
        </w:rPr>
        <w:t>别、置信度和相关元数据中删除对应行，再重新匹配；仅降低重复候选分数不视为删除。该</w:t>
      </w:r>
      <w:r>
        <w:rPr>
          <w:color w:val="B8BFC6"/>
          <w:spacing w:val="-1"/>
        </w:rPr>
        <w:t>方法也不等</w:t>
      </w:r>
      <w:r>
        <w:rPr>
          <w:color w:val="B8BFC6"/>
          <w:spacing w:val="-2"/>
        </w:rPr>
        <w:t>于已经为所有跨类残余候选建立唯一物理果实身份。</w:t>
      </w:r>
    </w:p>
    <w:p>
      <w:pPr>
        <w:pStyle w:val="BodyText"/>
        <w:ind w:left="482" w:right="642"/>
        <w:spacing w:before="288" w:line="230" w:lineRule="auto"/>
        <w:jc w:val="both"/>
        <w:rPr/>
      </w:pPr>
      <w:r>
        <w:rPr>
          <w:color w:val="B8BFC6"/>
        </w:rPr>
        <w:t>排序器包含</w:t>
      </w:r>
      <w:r>
        <w:rPr>
          <w:rFonts w:ascii="Arial" w:hAnsi="Arial" w:eastAsia="Arial" w:cs="Arial"/>
          <w:color w:val="B8BFC6"/>
        </w:rPr>
        <w:t>18</w:t>
      </w:r>
      <w:r>
        <w:rPr>
          <w:color w:val="B8BFC6"/>
        </w:rPr>
        <w:t>项核心特征与</w:t>
      </w:r>
      <w:r>
        <w:rPr>
          <w:rFonts w:ascii="Arial" w:hAnsi="Arial" w:eastAsia="Arial" w:cs="Arial"/>
          <w:color w:val="B8BFC6"/>
        </w:rPr>
        <w:t>4</w:t>
      </w:r>
      <w:r>
        <w:rPr>
          <w:color w:val="B8BFC6"/>
        </w:rPr>
        <w:t>项附加通道。核心信息包括原置信度、果实评分及距阈值的距离</w:t>
      </w:r>
      <w:r>
        <w:rPr>
          <w:color w:val="B8BFC6"/>
          <w:spacing w:val="-1"/>
        </w:rPr>
        <w:t>、缺梗证</w:t>
      </w:r>
      <w:r>
        <w:rPr>
          <w:color w:val="B8BFC6"/>
        </w:rPr>
        <w:t>据、归一化掩膜与框几何、原始</w:t>
      </w:r>
      <w:r>
        <w:rPr>
          <w:rFonts w:ascii="Arial" w:hAnsi="Arial" w:eastAsia="Arial" w:cs="Arial"/>
          <w:color w:val="B8BFC6"/>
        </w:rPr>
        <w:t>/</w:t>
      </w:r>
      <w:r>
        <w:rPr>
          <w:color w:val="B8BFC6"/>
        </w:rPr>
        <w:t>最终类别指示和邻域类别</w:t>
      </w:r>
      <w:r>
        <w:rPr>
          <w:rFonts w:ascii="Arial" w:hAnsi="Arial" w:eastAsia="Arial" w:cs="Arial"/>
          <w:color w:val="B8BFC6"/>
        </w:rPr>
        <w:t>log</w:t>
      </w:r>
      <w:r>
        <w:rPr>
          <w:rFonts w:ascii="Arial" w:hAnsi="Arial" w:eastAsia="Arial" w:cs="Arial"/>
          <w:color w:val="B8BFC6"/>
          <w:spacing w:val="-1"/>
        </w:rPr>
        <w:t>it</w:t>
      </w:r>
      <w:r>
        <w:rPr>
          <w:color w:val="B8BFC6"/>
          <w:spacing w:val="-1"/>
        </w:rPr>
        <w:t>。原缺陷版本增加原缺陷</w:t>
      </w:r>
      <w:r>
        <w:rPr>
          <w:rFonts w:ascii="Arial" w:hAnsi="Arial" w:eastAsia="Arial" w:cs="Arial"/>
          <w:color w:val="B8BFC6"/>
          <w:spacing w:val="-1"/>
        </w:rPr>
        <w:t>logit</w:t>
      </w:r>
      <w:r>
        <w:rPr>
          <w:color w:val="B8BFC6"/>
          <w:spacing w:val="-1"/>
        </w:rPr>
        <w:t>除以</w:t>
      </w:r>
      <w:r>
        <w:rPr>
          <w:rFonts w:ascii="Arial" w:hAnsi="Arial" w:eastAsia="Arial" w:cs="Arial"/>
          <w:color w:val="B8BFC6"/>
          <w:spacing w:val="-1"/>
        </w:rPr>
        <w:t>10</w:t>
      </w:r>
      <w:r>
        <w:rPr>
          <w:color w:val="B8BFC6"/>
          <w:spacing w:val="-1"/>
        </w:rPr>
        <w:t>、归</w:t>
      </w:r>
      <w:r>
        <w:rPr>
          <w:color w:val="B8BFC6"/>
          <w:spacing w:val="-2"/>
        </w:rPr>
        <w:t>一化二元熵、可用标记和一个零通道。标准化仅使用排序拟合预测。网络为</w:t>
      </w:r>
      <w:r>
        <w:rPr>
          <w:rFonts w:ascii="Arial" w:hAnsi="Arial" w:eastAsia="Arial" w:cs="Arial"/>
          <w:color w:val="B8BFC6"/>
          <w:spacing w:val="-2"/>
        </w:rPr>
        <w:t>22→</w:t>
      </w:r>
      <w:r>
        <w:rPr>
          <w:rFonts w:ascii="Arial" w:hAnsi="Arial" w:eastAsia="Arial" w:cs="Arial"/>
          <w:color w:val="B8BFC6"/>
          <w:spacing w:val="-29"/>
        </w:rPr>
        <w:t xml:space="preserve"> </w:t>
      </w:r>
      <w:r>
        <w:rPr>
          <w:rFonts w:ascii="Arial" w:hAnsi="Arial" w:eastAsia="Arial" w:cs="Arial"/>
          <w:color w:val="B8BFC6"/>
          <w:spacing w:val="-2"/>
        </w:rPr>
        <w:t>16→</w:t>
      </w:r>
      <w:r>
        <w:rPr>
          <w:rFonts w:ascii="Arial" w:hAnsi="Arial" w:eastAsia="Arial" w:cs="Arial"/>
          <w:color w:val="B8BFC6"/>
          <w:spacing w:val="-40"/>
        </w:rPr>
        <w:t xml:space="preserve"> </w:t>
      </w:r>
      <w:r>
        <w:rPr>
          <w:rFonts w:ascii="Arial" w:hAnsi="Arial" w:eastAsia="Arial" w:cs="Arial"/>
          <w:color w:val="B8BFC6"/>
          <w:spacing w:val="-2"/>
        </w:rPr>
        <w:t>1</w:t>
      </w:r>
      <w:r>
        <w:rPr>
          <w:color w:val="B8BFC6"/>
          <w:spacing w:val="-2"/>
        </w:rPr>
        <w:t>，隐藏层</w:t>
      </w:r>
      <w:r>
        <w:rPr>
          <w:rFonts w:ascii="Arial" w:hAnsi="Arial" w:eastAsia="Arial" w:cs="Arial"/>
          <w:color w:val="B8BFC6"/>
          <w:spacing w:val="-2"/>
        </w:rPr>
        <w:t>SiLU</w:t>
      </w:r>
      <w:r>
        <w:rPr>
          <w:rFonts w:ascii="Arial" w:hAnsi="Arial" w:eastAsia="Arial" w:cs="Arial"/>
          <w:color w:val="B8BFC6"/>
          <w:spacing w:val="-30"/>
        </w:rPr>
        <w:t xml:space="preserve"> </w:t>
      </w:r>
      <w:r>
        <w:rPr>
          <w:color w:val="B8BFC6"/>
          <w:spacing w:val="-2"/>
        </w:rPr>
        <w:t>，</w:t>
      </w:r>
      <w:r>
        <w:rPr>
          <w:color w:val="B8BFC6"/>
          <w:spacing w:val="-1"/>
        </w:rPr>
        <w:t>共</w:t>
      </w:r>
      <w:r>
        <w:rPr>
          <w:rFonts w:ascii="Arial" w:hAnsi="Arial" w:eastAsia="Arial" w:cs="Arial"/>
          <w:color w:val="B8BFC6"/>
          <w:spacing w:val="-1"/>
        </w:rPr>
        <w:t>385</w:t>
      </w:r>
      <w:r>
        <w:rPr>
          <w:color w:val="B8BFC6"/>
          <w:spacing w:val="-1"/>
        </w:rPr>
        <w:t>个分配参数。零通道对照保持分配架构相同，但不</w:t>
      </w:r>
      <w:r>
        <w:rPr>
          <w:color w:val="B8BFC6"/>
          <w:spacing w:val="-2"/>
        </w:rPr>
        <w:t>具有相同的有效信息容量。</w:t>
      </w:r>
    </w:p>
    <w:p>
      <w:pPr>
        <w:pStyle w:val="BodyText"/>
        <w:ind w:left="483"/>
        <w:spacing w:before="339" w:line="213" w:lineRule="auto"/>
        <w:rPr/>
      </w:pPr>
      <w:r>
        <w:rPr>
          <w:color w:val="B8BFC6"/>
          <w:spacing w:val="1"/>
        </w:rPr>
        <w:t>记候选</w:t>
      </w:r>
      <w:r>
        <w:rPr>
          <w:rFonts w:ascii="Arial" w:hAnsi="Arial" w:eastAsia="Arial" w:cs="Arial"/>
          <w:sz w:val="34"/>
          <w:szCs w:val="34"/>
          <w:color w:val="B8BFC6"/>
          <w:spacing w:val="1"/>
          <w:position w:val="2"/>
        </w:rPr>
        <w:t>i</w:t>
      </w:r>
      <w:r>
        <w:rPr>
          <w:color w:val="B8BFC6"/>
          <w:spacing w:val="1"/>
        </w:rPr>
        <w:t>与相同最终类别训练</w:t>
      </w:r>
      <w:r>
        <w:rPr>
          <w:rFonts w:ascii="Arial" w:hAnsi="Arial" w:eastAsia="Arial" w:cs="Arial"/>
          <w:color w:val="B8BFC6"/>
        </w:rPr>
        <w:t>GT</w:t>
      </w:r>
      <w:r>
        <w:rPr>
          <w:color w:val="B8BFC6"/>
          <w:spacing w:val="1"/>
        </w:rPr>
        <w:t>的最大掩膜</w:t>
      </w:r>
      <w:r>
        <w:rPr>
          <w:rFonts w:ascii="Arial" w:hAnsi="Arial" w:eastAsia="Arial" w:cs="Arial"/>
          <w:color w:val="B8BFC6"/>
        </w:rPr>
        <w:t>IoU</w:t>
      </w:r>
      <w:r>
        <w:rPr>
          <w:color w:val="B8BFC6"/>
          <w:spacing w:val="1"/>
        </w:rPr>
        <w:t>为</w:t>
      </w:r>
      <w:r>
        <w:rPr/>
        <w:drawing>
          <wp:inline distT="0" distB="0" distL="0" distR="0">
            <wp:extent cx="87574" cy="80929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574" cy="8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34"/>
          <w:szCs w:val="34"/>
          <w:color w:val="B8BFC6"/>
          <w:spacing w:val="1"/>
          <w:position w:val="-2"/>
        </w:rPr>
        <w:t>i</w:t>
      </w:r>
      <w:r>
        <w:rPr>
          <w:color w:val="B8BFC6"/>
          <w:spacing w:val="1"/>
        </w:rPr>
        <w:t>，不存在兼容</w:t>
      </w:r>
      <w:r>
        <w:rPr>
          <w:rFonts w:ascii="Arial" w:hAnsi="Arial" w:eastAsia="Arial" w:cs="Arial"/>
          <w:color w:val="B8BFC6"/>
        </w:rPr>
        <w:t>GT</w:t>
      </w:r>
      <w:r>
        <w:rPr>
          <w:color w:val="B8BFC6"/>
          <w:spacing w:val="1"/>
        </w:rPr>
        <w:t>时取</w:t>
      </w:r>
      <w:r>
        <w:rPr>
          <w:rFonts w:ascii="Arial" w:hAnsi="Arial" w:eastAsia="Arial" w:cs="Arial"/>
          <w:color w:val="B8BFC6"/>
          <w:spacing w:val="1"/>
        </w:rPr>
        <w:t>0</w:t>
      </w:r>
      <w:r>
        <w:rPr>
          <w:color w:val="B8BFC6"/>
          <w:spacing w:val="1"/>
        </w:rPr>
        <w:t>。独</w:t>
      </w:r>
      <w:r>
        <w:rPr>
          <w:color w:val="B8BFC6"/>
        </w:rPr>
        <w:t>立多</w:t>
      </w:r>
      <w:r>
        <w:rPr>
          <w:rFonts w:ascii="Arial" w:hAnsi="Arial" w:eastAsia="Arial" w:cs="Arial"/>
          <w:color w:val="B8BFC6"/>
        </w:rPr>
        <w:t>IoU</w:t>
      </w:r>
      <w:r>
        <w:rPr>
          <w:color w:val="B8BFC6"/>
        </w:rPr>
        <w:t>目标为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ind w:left="3938"/>
        <w:spacing w:line="750" w:lineRule="exact"/>
        <w:rPr/>
      </w:pPr>
      <w:r>
        <w:rPr>
          <w:position w:val="-15"/>
        </w:rPr>
        <w:drawing>
          <wp:inline distT="0" distB="0" distL="0" distR="0">
            <wp:extent cx="2561958" cy="476524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1958" cy="47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483" w:right="491"/>
        <w:spacing w:before="103" w:line="214" w:lineRule="auto"/>
        <w:rPr>
          <w:rFonts w:ascii="Arial" w:hAnsi="Arial" w:eastAsia="Arial" w:cs="Arial"/>
        </w:rPr>
      </w:pPr>
      <w:r>
        <w:rPr>
          <w:color w:val="B8BFC6"/>
        </w:rPr>
        <w:t>该逐候选目标不将一个</w:t>
      </w:r>
      <w:r>
        <w:rPr>
          <w:rFonts w:ascii="Arial" w:hAnsi="Arial" w:eastAsia="Arial" w:cs="Arial"/>
          <w:color w:val="B8BFC6"/>
        </w:rPr>
        <w:t>GT</w:t>
      </w:r>
      <w:r>
        <w:rPr>
          <w:color w:val="B8BFC6"/>
        </w:rPr>
        <w:t>独占分配给一个预测，重复竞争在后续真实</w:t>
      </w:r>
      <w:r>
        <w:rPr>
          <w:rFonts w:ascii="Arial" w:hAnsi="Arial" w:eastAsia="Arial" w:cs="Arial"/>
          <w:color w:val="B8BFC6"/>
        </w:rPr>
        <w:t>NMS</w:t>
      </w:r>
      <w:r>
        <w:rPr>
          <w:color w:val="B8BFC6"/>
        </w:rPr>
        <w:t>中处理。排序训练</w:t>
      </w:r>
      <w:r>
        <w:rPr>
          <w:color w:val="B8BFC6"/>
          <w:spacing w:val="-1"/>
        </w:rPr>
        <w:t>采用二元交</w:t>
      </w:r>
      <w:r>
        <w:rPr>
          <w:color w:val="B8BFC6"/>
        </w:rPr>
        <w:t>叉熵、</w:t>
      </w:r>
      <w:r>
        <w:rPr>
          <w:rFonts w:ascii="Arial" w:hAnsi="Arial" w:eastAsia="Arial" w:cs="Arial"/>
          <w:color w:val="B8BFC6"/>
        </w:rPr>
        <w:t>AdamW</w:t>
      </w:r>
      <w:r>
        <w:rPr>
          <w:color w:val="B8BFC6"/>
        </w:rPr>
        <w:t>，学习率</w:t>
      </w:r>
      <w:r>
        <w:rPr>
          <w:rFonts w:ascii="Arial" w:hAnsi="Arial" w:eastAsia="Arial" w:cs="Arial"/>
          <w:color w:val="B8BFC6"/>
        </w:rPr>
        <w:t>0.003</w:t>
      </w:r>
      <w:r>
        <w:rPr>
          <w:color w:val="B8BFC6"/>
        </w:rPr>
        <w:t>、权重衰减</w:t>
      </w:r>
      <w:r>
        <w:rPr>
          <w:rFonts w:ascii="Arial" w:hAnsi="Arial" w:eastAsia="Arial" w:cs="Arial"/>
          <w:color w:val="B8BFC6"/>
        </w:rPr>
        <w:t>0.0001</w:t>
      </w:r>
      <w:r>
        <w:rPr>
          <w:color w:val="B8BFC6"/>
        </w:rPr>
        <w:t>、</w:t>
      </w:r>
      <w:r>
        <w:rPr>
          <w:rFonts w:ascii="Arial" w:hAnsi="Arial" w:eastAsia="Arial" w:cs="Arial"/>
          <w:color w:val="B8BFC6"/>
        </w:rPr>
        <w:t>batch 256</w:t>
      </w:r>
      <w:r>
        <w:rPr>
          <w:color w:val="B8BFC6"/>
        </w:rPr>
        <w:t>、最多</w:t>
      </w:r>
      <w:r>
        <w:rPr>
          <w:rFonts w:ascii="Arial" w:hAnsi="Arial" w:eastAsia="Arial" w:cs="Arial"/>
          <w:color w:val="B8BFC6"/>
        </w:rPr>
        <w:t>300</w:t>
      </w:r>
      <w:r>
        <w:rPr>
          <w:color w:val="B8BFC6"/>
        </w:rPr>
        <w:t>轮，内部留出损失早</w:t>
      </w:r>
      <w:r>
        <w:rPr>
          <w:color w:val="B8BFC6"/>
          <w:spacing w:val="-1"/>
        </w:rPr>
        <w:t>停耐心</w:t>
      </w:r>
      <w:r>
        <w:rPr>
          <w:rFonts w:ascii="Arial" w:hAnsi="Arial" w:eastAsia="Arial" w:cs="Arial"/>
          <w:color w:val="B8BFC6"/>
          <w:spacing w:val="-1"/>
        </w:rPr>
        <w:t>30</w:t>
      </w:r>
    </w:p>
    <w:p>
      <w:pPr>
        <w:pStyle w:val="BodyText"/>
        <w:ind w:left="481" w:right="550" w:firstLine="1"/>
        <w:spacing w:before="2" w:line="233" w:lineRule="auto"/>
        <w:rPr/>
      </w:pPr>
      <w:r>
        <w:rPr>
          <w:color w:val="B8BFC6"/>
          <w:spacing w:val="-1"/>
        </w:rPr>
        <w:t>轮，允许选择第</w:t>
      </w:r>
      <w:r>
        <w:rPr>
          <w:rFonts w:ascii="Arial" w:hAnsi="Arial" w:eastAsia="Arial" w:cs="Arial"/>
          <w:color w:val="B8BFC6"/>
          <w:spacing w:val="-1"/>
        </w:rPr>
        <w:t>0</w:t>
      </w:r>
      <w:r>
        <w:rPr>
          <w:color w:val="B8BFC6"/>
          <w:spacing w:val="-1"/>
        </w:rPr>
        <w:t>轮。对最终非零类别，以</w:t>
      </w:r>
      <w:r>
        <w:rPr>
          <w:rFonts w:ascii="Arial" w:hAnsi="Arial" w:eastAsia="Arial" w:cs="Arial"/>
          <w:color w:val="B8BFC6"/>
          <w:spacing w:val="-1"/>
        </w:rPr>
        <w:t>sigmoid</w:t>
      </w:r>
      <w:r>
        <w:rPr>
          <w:color w:val="B8BFC6"/>
          <w:spacing w:val="-1"/>
        </w:rPr>
        <w:t>排序输出乘原检测置信度；最终类别</w:t>
      </w:r>
      <w:r>
        <w:rPr>
          <w:rFonts w:ascii="Arial" w:hAnsi="Arial" w:eastAsia="Arial" w:cs="Arial"/>
          <w:color w:val="B8BFC6"/>
          <w:spacing w:val="-1"/>
        </w:rPr>
        <w:t>0</w:t>
      </w:r>
      <w:r>
        <w:rPr>
          <w:color w:val="B8BFC6"/>
          <w:spacing w:val="-1"/>
        </w:rPr>
        <w:t>保留原置信度。</w:t>
      </w:r>
      <w:r>
        <w:rPr>
          <w:color w:val="B8BFC6"/>
          <w:spacing w:val="-2"/>
        </w:rPr>
        <w:t>是否处于分级操作范围始终由原始置信度</w:t>
      </w:r>
      <w:r>
        <w:rPr>
          <w:rFonts w:ascii="Arial" w:hAnsi="Arial" w:eastAsia="Arial" w:cs="Arial"/>
          <w:color w:val="B8BFC6"/>
          <w:spacing w:val="-2"/>
        </w:rPr>
        <w:t>≥0.25</w:t>
      </w:r>
      <w:r>
        <w:rPr>
          <w:color w:val="B8BFC6"/>
          <w:spacing w:val="-2"/>
        </w:rPr>
        <w:t>定义。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481" w:right="638" w:firstLine="1"/>
        <w:spacing w:before="104"/>
        <w:jc w:val="both"/>
        <w:rPr/>
      </w:pPr>
      <w:r>
        <w:rPr>
          <w:color w:val="B8BFC6"/>
        </w:rPr>
        <w:t>对照包含附加四维置零、仅可用标记、新训练缺陷证据，以及原缺陷证据。新属性家族在查</w:t>
      </w:r>
      <w:r>
        <w:rPr>
          <w:color w:val="B8BFC6"/>
          <w:spacing w:val="-1"/>
        </w:rPr>
        <w:t>看相应开发</w:t>
      </w:r>
      <w:r>
        <w:rPr>
          <w:color w:val="B8BFC6"/>
        </w:rPr>
        <w:t>结果之前完成内部筛选；原缺陷证据组则是在已有反馈后追加的适应性机制对照，随后冻结为本</w:t>
      </w:r>
      <w:r>
        <w:rPr>
          <w:color w:val="B8BFC6"/>
          <w:spacing w:val="-1"/>
        </w:rPr>
        <w:t>次最终</w:t>
      </w:r>
      <w:r>
        <w:rPr>
          <w:color w:val="B8BFC6"/>
          <w:spacing w:val="-1"/>
        </w:rPr>
        <w:t>测试的主方案。主结果固定种子为</w:t>
      </w:r>
      <w:r>
        <w:rPr>
          <w:rFonts w:ascii="Arial" w:hAnsi="Arial" w:eastAsia="Arial" w:cs="Arial"/>
          <w:color w:val="B8BFC6"/>
          <w:spacing w:val="-1"/>
        </w:rPr>
        <w:t>20261025</w:t>
      </w:r>
      <w:r>
        <w:rPr>
          <w:color w:val="B8BFC6"/>
          <w:spacing w:val="-1"/>
        </w:rPr>
        <w:t>，不以开发集上更好的</w:t>
      </w:r>
      <w:r>
        <w:rPr>
          <w:color w:val="B8BFC6"/>
          <w:spacing w:val="-2"/>
        </w:rPr>
        <w:t>其他种子替换。</w:t>
      </w:r>
    </w:p>
    <w:p>
      <w:pPr>
        <w:pStyle w:val="BodyText"/>
        <w:ind w:left="490"/>
        <w:spacing w:before="258" w:line="184" w:lineRule="auto"/>
        <w:outlineLvl w:val="2"/>
        <w:rPr>
          <w:sz w:val="28"/>
          <w:szCs w:val="28"/>
        </w:rPr>
      </w:pP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3"/>
        </w:rPr>
        <w:t>3.5</w:t>
      </w: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23"/>
        </w:rPr>
        <w:t xml:space="preserve"> </w:t>
      </w:r>
      <w:r>
        <w:rPr>
          <w:sz w:val="28"/>
          <w:szCs w:val="28"/>
          <w:b/>
          <w:bCs/>
          <w:color w:val="DEDEDE"/>
          <w:spacing w:val="-13"/>
        </w:rPr>
        <w:t>保持分级输入兼容的输出掩膜细化</w:t>
      </w:r>
    </w:p>
    <w:p>
      <w:pPr>
        <w:pStyle w:val="BodyText"/>
        <w:ind w:left="482" w:right="544"/>
        <w:spacing w:before="345" w:line="231" w:lineRule="auto"/>
        <w:jc w:val="both"/>
        <w:rPr/>
      </w:pPr>
      <w:r>
        <w:rPr>
          <w:color w:val="B8BFC6"/>
        </w:rPr>
        <w:t>细化支路捕获检测器同次前向的阈值前掩膜信息和</w:t>
      </w:r>
      <w:r>
        <w:rPr>
          <w:rFonts w:ascii="Arial" w:hAnsi="Arial" w:eastAsia="Arial" w:cs="Arial"/>
          <w:color w:val="B8BFC6"/>
        </w:rPr>
        <w:t>32</w:t>
      </w:r>
      <w:r>
        <w:rPr>
          <w:color w:val="B8BFC6"/>
        </w:rPr>
        <w:t>通道原型特征。</w:t>
      </w:r>
      <w:r>
        <w:rPr>
          <w:rFonts w:ascii="Arial" w:hAnsi="Arial" w:eastAsia="Arial" w:cs="Arial"/>
          <w:color w:val="B8BFC6"/>
        </w:rPr>
        <w:t>RGB</w:t>
      </w:r>
      <w:r>
        <w:rPr>
          <w:color w:val="B8BFC6"/>
        </w:rPr>
        <w:t>、单通道粗掩膜及原</w:t>
      </w:r>
      <w:r>
        <w:rPr>
          <w:color w:val="B8BFC6"/>
          <w:spacing w:val="-1"/>
        </w:rPr>
        <w:t>型构成</w:t>
      </w:r>
      <w:r>
        <w:rPr>
          <w:rFonts w:ascii="Arial" w:hAnsi="Arial" w:eastAsia="Arial" w:cs="Arial"/>
          <w:color w:val="B8BFC6"/>
          <w:spacing w:val="-1"/>
        </w:rPr>
        <w:t>36</w:t>
      </w:r>
      <w:r>
        <w:rPr>
          <w:color w:val="B8BFC6"/>
          <w:spacing w:val="-2"/>
        </w:rPr>
        <w:t>通道输入，经过</w:t>
      </w:r>
      <w:r>
        <w:rPr>
          <w:rFonts w:ascii="Arial" w:hAnsi="Arial" w:eastAsia="Arial" w:cs="Arial"/>
          <w:color w:val="B8BFC6"/>
          <w:spacing w:val="-2"/>
        </w:rPr>
        <w:t>36→32→</w:t>
      </w:r>
      <w:r>
        <w:rPr>
          <w:rFonts w:ascii="Arial" w:hAnsi="Arial" w:eastAsia="Arial" w:cs="Arial"/>
          <w:color w:val="B8BFC6"/>
          <w:spacing w:val="-34"/>
        </w:rPr>
        <w:t xml:space="preserve"> </w:t>
      </w:r>
      <w:r>
        <w:rPr>
          <w:rFonts w:ascii="Arial" w:hAnsi="Arial" w:eastAsia="Arial" w:cs="Arial"/>
          <w:color w:val="B8BFC6"/>
          <w:spacing w:val="-2"/>
        </w:rPr>
        <w:t>16→</w:t>
      </w:r>
      <w:r>
        <w:rPr>
          <w:rFonts w:ascii="Arial" w:hAnsi="Arial" w:eastAsia="Arial" w:cs="Arial"/>
          <w:color w:val="B8BFC6"/>
          <w:spacing w:val="-40"/>
        </w:rPr>
        <w:t xml:space="preserve"> </w:t>
      </w:r>
      <w:r>
        <w:rPr>
          <w:rFonts w:ascii="Arial" w:hAnsi="Arial" w:eastAsia="Arial" w:cs="Arial"/>
          <w:color w:val="B8BFC6"/>
          <w:spacing w:val="-2"/>
        </w:rPr>
        <w:t>1</w:t>
      </w:r>
      <w:r>
        <w:rPr>
          <w:color w:val="B8BFC6"/>
          <w:spacing w:val="-2"/>
        </w:rPr>
        <w:t>的逐点卷积头，层间使用</w:t>
      </w:r>
      <w:r>
        <w:rPr>
          <w:rFonts w:ascii="Arial" w:hAnsi="Arial" w:eastAsia="Arial" w:cs="Arial"/>
          <w:color w:val="B8BFC6"/>
          <w:spacing w:val="-2"/>
        </w:rPr>
        <w:t>SiLU</w:t>
      </w:r>
      <w:r>
        <w:rPr>
          <w:color w:val="B8BFC6"/>
          <w:spacing w:val="-2"/>
        </w:rPr>
        <w:t>，末层零初始化，残差幅值为</w:t>
      </w:r>
      <w:r>
        <w:rPr>
          <w:position w:val="1"/>
        </w:rPr>
        <w:drawing>
          <wp:inline distT="0" distB="0" distL="0" distR="0">
            <wp:extent cx="87986" cy="122975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986" cy="1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B8BFC6"/>
          <w:spacing w:val="-7"/>
        </w:rPr>
        <w:t xml:space="preserve"> </w:t>
      </w:r>
      <w:r>
        <w:rPr>
          <w:rFonts w:ascii="Arial" w:hAnsi="Arial" w:eastAsia="Arial" w:cs="Arial"/>
          <w:sz w:val="28"/>
          <w:szCs w:val="28"/>
          <w:color w:val="B8BFC6"/>
          <w:spacing w:val="-2"/>
        </w:rPr>
        <w:t>tanh</w:t>
      </w:r>
      <w:r>
        <w:rPr>
          <w:sz w:val="28"/>
          <w:szCs w:val="28"/>
          <w:position w:val="-4"/>
        </w:rPr>
        <w:drawing>
          <wp:inline distT="0" distB="0" distL="0" distR="0">
            <wp:extent cx="176892" cy="178027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892" cy="17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8"/>
          <w:szCs w:val="28"/>
          <w:color w:val="B8BFC6"/>
          <w:spacing w:val="-28"/>
        </w:rPr>
        <w:t xml:space="preserve"> </w:t>
      </w:r>
      <w:r>
        <w:rPr>
          <w:color w:val="B8BFC6"/>
          <w:spacing w:val="-2"/>
        </w:rPr>
        <w:t>。</w:t>
      </w:r>
      <w:r>
        <w:rPr>
          <w:color w:val="B8BFC6"/>
        </w:rPr>
        <w:t>采用硬</w:t>
      </w:r>
      <w:r>
        <w:rPr>
          <w:rFonts w:ascii="Arial" w:hAnsi="Arial" w:eastAsia="Arial" w:cs="Arial"/>
          <w:color w:val="B8BFC6"/>
        </w:rPr>
        <w:t>/</w:t>
      </w:r>
      <w:r>
        <w:rPr>
          <w:color w:val="B8BFC6"/>
        </w:rPr>
        <w:t>软粗掩膜与零</w:t>
      </w:r>
      <w:r>
        <w:rPr>
          <w:rFonts w:ascii="Arial" w:hAnsi="Arial" w:eastAsia="Arial" w:cs="Arial"/>
          <w:color w:val="B8BFC6"/>
        </w:rPr>
        <w:t>/</w:t>
      </w:r>
      <w:r>
        <w:rPr>
          <w:color w:val="B8BFC6"/>
        </w:rPr>
        <w:t>真实原型的二乘二对照，各组均保</w:t>
      </w:r>
      <w:r>
        <w:rPr>
          <w:color w:val="B8BFC6"/>
          <w:spacing w:val="-1"/>
        </w:rPr>
        <w:t>留</w:t>
      </w:r>
      <w:r>
        <w:rPr>
          <w:rFonts w:ascii="Arial" w:hAnsi="Arial" w:eastAsia="Arial" w:cs="Arial"/>
          <w:color w:val="B8BFC6"/>
          <w:spacing w:val="-1"/>
        </w:rPr>
        <w:t>RGB</w:t>
      </w:r>
      <w:r>
        <w:rPr>
          <w:color w:val="B8BFC6"/>
          <w:spacing w:val="-1"/>
        </w:rPr>
        <w:t>。</w:t>
      </w:r>
    </w:p>
    <w:p>
      <w:pPr>
        <w:pStyle w:val="BodyText"/>
        <w:ind w:left="483" w:right="517"/>
        <w:spacing w:before="340" w:line="227" w:lineRule="auto"/>
        <w:rPr/>
      </w:pPr>
      <w:r>
        <w:rPr>
          <w:color w:val="B8BFC6"/>
        </w:rPr>
        <w:t>训练使用</w:t>
      </w:r>
      <w:r>
        <w:rPr>
          <w:rFonts w:ascii="Arial" w:hAnsi="Arial" w:eastAsia="Arial" w:cs="Arial"/>
          <w:color w:val="B8BFC6"/>
        </w:rPr>
        <w:t>160×160</w:t>
      </w:r>
      <w:r>
        <w:rPr>
          <w:color w:val="B8BFC6"/>
        </w:rPr>
        <w:t>裁剪，原型特征插值至该网格。预测残差再双线性映射回原图裁剪，只在</w:t>
      </w:r>
      <w:r>
        <w:rPr>
          <w:color w:val="B8BFC6"/>
          <w:spacing w:val="-1"/>
        </w:rPr>
        <w:t>原始二值掩</w:t>
      </w:r>
      <w:r>
        <w:rPr>
          <w:color w:val="B8BFC6"/>
        </w:rPr>
        <w:t>膜固定</w:t>
      </w:r>
      <w:r>
        <w:rPr>
          <w:rFonts w:ascii="Arial" w:hAnsi="Arial" w:eastAsia="Arial" w:cs="Arial"/>
          <w:color w:val="B8BFC6"/>
        </w:rPr>
        <w:t>4</w:t>
      </w:r>
      <w:r>
        <w:rPr>
          <w:color w:val="B8BFC6"/>
        </w:rPr>
        <w:t>像素边界带内叠加于</w:t>
      </w:r>
      <w:r>
        <w:rPr>
          <w:rFonts w:ascii="Arial" w:hAnsi="Arial" w:eastAsia="Arial" w:cs="Arial"/>
          <w:color w:val="B8BFC6"/>
        </w:rPr>
        <w:t>−2/+2</w:t>
      </w:r>
      <w:r>
        <w:rPr>
          <w:color w:val="B8BFC6"/>
        </w:rPr>
        <w:t>的原始二值</w:t>
      </w:r>
      <w:r>
        <w:rPr>
          <w:rFonts w:ascii="Arial" w:hAnsi="Arial" w:eastAsia="Arial" w:cs="Arial"/>
          <w:color w:val="B8BFC6"/>
        </w:rPr>
        <w:t>logit</w:t>
      </w:r>
      <w:r>
        <w:rPr>
          <w:color w:val="B8BFC6"/>
        </w:rPr>
        <w:t>，并以</w:t>
      </w:r>
      <w:r>
        <w:rPr>
          <w:rFonts w:ascii="Arial" w:hAnsi="Arial" w:eastAsia="Arial" w:cs="Arial"/>
          <w:color w:val="B8BFC6"/>
        </w:rPr>
        <w:t>0</w:t>
      </w:r>
      <w:r>
        <w:rPr>
          <w:color w:val="B8BFC6"/>
        </w:rPr>
        <w:t>阈值输出。因此，零残差严格恢复</w:t>
      </w:r>
      <w:r>
        <w:rPr>
          <w:color w:val="B8BFC6"/>
          <w:spacing w:val="-1"/>
        </w:rPr>
        <w:t>原掩膜，不</w:t>
      </w:r>
      <w:r>
        <w:rPr>
          <w:color w:val="B8BFC6"/>
        </w:rPr>
        <w:t>以低分辨率粗掩膜放大替代原分割。损失包括边界加权二元交叉熵和</w:t>
      </w:r>
      <w:r>
        <w:rPr>
          <w:rFonts w:ascii="Arial" w:hAnsi="Arial" w:eastAsia="Arial" w:cs="Arial"/>
          <w:color w:val="B8BFC6"/>
        </w:rPr>
        <w:t>Dice</w:t>
      </w:r>
      <w:r>
        <w:rPr>
          <w:color w:val="B8BFC6"/>
        </w:rPr>
        <w:t>项。采用</w:t>
      </w:r>
      <w:r>
        <w:rPr>
          <w:rFonts w:ascii="Arial" w:hAnsi="Arial" w:eastAsia="Arial" w:cs="Arial"/>
          <w:color w:val="B8BFC6"/>
          <w:spacing w:val="-1"/>
        </w:rPr>
        <w:t>AdamW</w:t>
      </w:r>
      <w:r>
        <w:rPr>
          <w:color w:val="B8BFC6"/>
          <w:spacing w:val="-1"/>
        </w:rPr>
        <w:t>，学习率</w:t>
      </w:r>
    </w:p>
    <w:p>
      <w:pPr>
        <w:pStyle w:val="BodyText"/>
        <w:ind w:left="483" w:right="489" w:firstLine="6"/>
        <w:spacing w:before="2" w:line="233" w:lineRule="auto"/>
        <w:rPr/>
      </w:pPr>
      <w:r>
        <w:rPr>
          <w:rFonts w:ascii="Arial" w:hAnsi="Arial" w:eastAsia="Arial" w:cs="Arial"/>
          <w:color w:val="B8BFC6"/>
        </w:rPr>
        <w:t>0.001</w:t>
      </w:r>
      <w:r>
        <w:rPr>
          <w:color w:val="B8BFC6"/>
        </w:rPr>
        <w:t>、权重衰减</w:t>
      </w:r>
      <w:r>
        <w:rPr>
          <w:rFonts w:ascii="Arial" w:hAnsi="Arial" w:eastAsia="Arial" w:cs="Arial"/>
          <w:color w:val="B8BFC6"/>
        </w:rPr>
        <w:t>0.0001</w:t>
      </w:r>
      <w:r>
        <w:rPr>
          <w:color w:val="B8BFC6"/>
        </w:rPr>
        <w:t>、</w:t>
      </w:r>
      <w:r>
        <w:rPr>
          <w:rFonts w:ascii="Arial" w:hAnsi="Arial" w:eastAsia="Arial" w:cs="Arial"/>
          <w:color w:val="B8BFC6"/>
        </w:rPr>
        <w:t>batch 32</w:t>
      </w:r>
      <w:r>
        <w:rPr>
          <w:color w:val="B8BFC6"/>
        </w:rPr>
        <w:t>、最多</w:t>
      </w:r>
      <w:r>
        <w:rPr>
          <w:rFonts w:ascii="Arial" w:hAnsi="Arial" w:eastAsia="Arial" w:cs="Arial"/>
          <w:color w:val="B8BFC6"/>
        </w:rPr>
        <w:t>30</w:t>
      </w:r>
      <w:r>
        <w:rPr>
          <w:color w:val="B8BFC6"/>
        </w:rPr>
        <w:t>轮、早停耐心</w:t>
      </w:r>
      <w:r>
        <w:rPr>
          <w:rFonts w:ascii="Arial" w:hAnsi="Arial" w:eastAsia="Arial" w:cs="Arial"/>
          <w:color w:val="B8BFC6"/>
        </w:rPr>
        <w:t>8</w:t>
      </w:r>
      <w:r>
        <w:rPr>
          <w:color w:val="B8BFC6"/>
        </w:rPr>
        <w:t>轮，根据内部原图</w:t>
      </w:r>
      <w:r>
        <w:rPr>
          <w:rFonts w:ascii="Arial" w:hAnsi="Arial" w:eastAsia="Arial" w:cs="Arial"/>
          <w:color w:val="B8BFC6"/>
        </w:rPr>
        <w:t>I</w:t>
      </w:r>
      <w:r>
        <w:rPr>
          <w:rFonts w:ascii="Arial" w:hAnsi="Arial" w:eastAsia="Arial" w:cs="Arial"/>
          <w:color w:val="B8BFC6"/>
          <w:spacing w:val="-1"/>
        </w:rPr>
        <w:t>oU</w:t>
      </w:r>
      <w:r>
        <w:rPr>
          <w:color w:val="B8BFC6"/>
          <w:spacing w:val="-1"/>
        </w:rPr>
        <w:t>及相对面积误差选择检</w:t>
      </w:r>
      <w:r>
        <w:rPr>
          <w:color w:val="B8BFC6"/>
          <w:spacing w:val="-1"/>
        </w:rPr>
        <w:t>查点。额外运行所有组固定</w:t>
      </w:r>
      <w:r>
        <w:rPr>
          <w:rFonts w:ascii="Arial" w:hAnsi="Arial" w:eastAsia="Arial" w:cs="Arial"/>
          <w:color w:val="B8BFC6"/>
          <w:spacing w:val="-1"/>
        </w:rPr>
        <w:t>30</w:t>
      </w:r>
      <w:r>
        <w:rPr>
          <w:color w:val="B8BFC6"/>
          <w:spacing w:val="-1"/>
        </w:rPr>
        <w:t>轮的对照，检查早停剂量</w:t>
      </w:r>
      <w:r>
        <w:rPr>
          <w:color w:val="B8BFC6"/>
          <w:spacing w:val="-2"/>
        </w:rPr>
        <w:t>差异是否影响二乘二比较。</w:t>
      </w:r>
    </w:p>
    <w:p>
      <w:pPr>
        <w:pStyle w:val="BodyText"/>
        <w:ind w:left="481" w:right="584"/>
        <w:spacing w:before="338"/>
        <w:jc w:val="both"/>
        <w:rPr/>
      </w:pPr>
      <w:r>
        <w:rPr>
          <w:color w:val="B8BFC6"/>
        </w:rPr>
        <w:t>原图</w:t>
      </w:r>
      <w:r>
        <w:rPr>
          <w:rFonts w:ascii="Arial" w:hAnsi="Arial" w:eastAsia="Arial" w:cs="Arial"/>
          <w:color w:val="B8BFC6"/>
        </w:rPr>
        <w:t>union</w:t>
      </w:r>
      <w:r>
        <w:rPr>
          <w:color w:val="B8BFC6"/>
        </w:rPr>
        <w:t>和面积误差的</w:t>
      </w:r>
      <w:r>
        <w:rPr>
          <w:rFonts w:ascii="Arial" w:hAnsi="Arial" w:eastAsia="Arial" w:cs="Arial"/>
          <w:color w:val="B8BFC6"/>
        </w:rPr>
        <w:t>GT</w:t>
      </w:r>
      <w:r>
        <w:rPr>
          <w:color w:val="B8BFC6"/>
        </w:rPr>
        <w:t>分母包括裁剪范围外的完整</w:t>
      </w:r>
      <w:r>
        <w:rPr>
          <w:rFonts w:ascii="Arial" w:hAnsi="Arial" w:eastAsia="Arial" w:cs="Arial"/>
          <w:color w:val="B8BFC6"/>
        </w:rPr>
        <w:t>GT</w:t>
      </w:r>
      <w:r>
        <w:rPr>
          <w:color w:val="B8BFC6"/>
        </w:rPr>
        <w:t>面积。输出支路方案继续使用原掩膜进</w:t>
      </w:r>
      <w:r>
        <w:rPr>
          <w:color w:val="B8BFC6"/>
          <w:spacing w:val="-1"/>
        </w:rPr>
        <w:t>行分级</w:t>
      </w:r>
      <w:r>
        <w:rPr>
          <w:color w:val="B8BFC6"/>
        </w:rPr>
        <w:t>和排序，只把细化掩膜用于最终分割输出；另设完整重评分分支，将细化掩膜重新送入旧分级</w:t>
      </w:r>
      <w:r>
        <w:rPr>
          <w:color w:val="B8BFC6"/>
          <w:spacing w:val="-1"/>
        </w:rPr>
        <w:t>器，作为</w:t>
      </w:r>
      <w:r>
        <w:rPr>
          <w:color w:val="B8BFC6"/>
          <w:spacing w:val="-7"/>
        </w:rPr>
        <w:t>兼容性对照。</w:t>
      </w:r>
    </w:p>
    <w:p>
      <w:pPr>
        <w:sectPr>
          <w:headerReference w:type="default" r:id="rId39"/>
          <w:pgSz w:w="11919" w:h="16858"/>
          <w:pgMar w:top="400" w:right="0" w:bottom="921" w:left="0" w:header="0" w:footer="6" w:gutter="0"/>
        </w:sectPr>
        <w:rPr/>
      </w:pP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492"/>
        <w:spacing w:before="167" w:line="183" w:lineRule="auto"/>
        <w:outlineLvl w:val="1"/>
        <w:rPr>
          <w:sz w:val="39"/>
          <w:szCs w:val="39"/>
        </w:rPr>
      </w:pPr>
      <w:r>
        <w:rPr>
          <w:rFonts w:ascii="Corbel" w:hAnsi="Corbel" w:eastAsia="Corbel" w:cs="Corbel"/>
          <w:sz w:val="39"/>
          <w:szCs w:val="39"/>
          <w:b/>
          <w:bCs/>
          <w:color w:val="DEDEDE"/>
          <w:spacing w:val="-10"/>
        </w:rPr>
        <w:t>4</w:t>
      </w:r>
      <w:r>
        <w:rPr>
          <w:rFonts w:ascii="Corbel" w:hAnsi="Corbel" w:eastAsia="Corbel" w:cs="Corbel"/>
          <w:sz w:val="39"/>
          <w:szCs w:val="39"/>
          <w:b/>
          <w:bCs/>
          <w:color w:val="DEDEDE"/>
          <w:spacing w:val="-20"/>
        </w:rPr>
        <w:t xml:space="preserve"> </w:t>
      </w:r>
      <w:r>
        <w:rPr>
          <w:sz w:val="39"/>
          <w:szCs w:val="39"/>
          <w:b/>
          <w:bCs/>
          <w:color w:val="DEDEDE"/>
          <w:spacing w:val="-10"/>
        </w:rPr>
        <w:t>实验设计</w:t>
      </w:r>
    </w:p>
    <w:p>
      <w:pPr>
        <w:pStyle w:val="BodyText"/>
        <w:ind w:left="488"/>
        <w:spacing w:before="303" w:line="183" w:lineRule="auto"/>
        <w:outlineLvl w:val="2"/>
        <w:rPr>
          <w:sz w:val="28"/>
          <w:szCs w:val="28"/>
        </w:rPr>
      </w:pP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2"/>
        </w:rPr>
        <w:t>4.1</w:t>
      </w: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25"/>
        </w:rPr>
        <w:t xml:space="preserve"> </w:t>
      </w:r>
      <w:r>
        <w:rPr>
          <w:sz w:val="28"/>
          <w:szCs w:val="28"/>
          <w:b/>
          <w:bCs/>
          <w:color w:val="DEDEDE"/>
          <w:spacing w:val="-12"/>
        </w:rPr>
        <w:t>评价终点与操作范围</w:t>
      </w:r>
    </w:p>
    <w:p>
      <w:pPr>
        <w:pStyle w:val="BodyText"/>
        <w:ind w:left="483" w:right="521"/>
        <w:spacing w:before="343" w:line="227" w:lineRule="auto"/>
        <w:rPr>
          <w:rFonts w:ascii="Arial" w:hAnsi="Arial" w:eastAsia="Arial" w:cs="Arial"/>
        </w:rPr>
      </w:pPr>
      <w:r>
        <w:rPr>
          <w:color w:val="B8BFC6"/>
        </w:rPr>
        <w:t>全流程</w:t>
      </w:r>
      <w:r>
        <w:rPr>
          <w:rFonts w:ascii="Arial" w:hAnsi="Arial" w:eastAsia="Arial" w:cs="Arial"/>
          <w:color w:val="B8BFC6"/>
        </w:rPr>
        <w:t>AP</w:t>
      </w:r>
      <w:r>
        <w:rPr>
          <w:color w:val="B8BFC6"/>
        </w:rPr>
        <w:t>分别使用开发集</w:t>
      </w:r>
      <w:r>
        <w:rPr>
          <w:rFonts w:ascii="Arial" w:hAnsi="Arial" w:eastAsia="Arial" w:cs="Arial"/>
          <w:color w:val="B8BFC6"/>
        </w:rPr>
        <w:t>116</w:t>
      </w:r>
      <w:r>
        <w:rPr>
          <w:color w:val="B8BFC6"/>
        </w:rPr>
        <w:t>张图像或测试集</w:t>
      </w:r>
      <w:r>
        <w:rPr>
          <w:rFonts w:ascii="Arial" w:hAnsi="Arial" w:eastAsia="Arial" w:cs="Arial"/>
          <w:color w:val="B8BFC6"/>
        </w:rPr>
        <w:t>129</w:t>
      </w:r>
      <w:r>
        <w:rPr>
          <w:color w:val="B8BFC6"/>
        </w:rPr>
        <w:t>张图像的全</w:t>
      </w:r>
      <w:r>
        <w:rPr>
          <w:color w:val="B8BFC6"/>
          <w:spacing w:val="-1"/>
        </w:rPr>
        <w:t>部</w:t>
      </w:r>
      <w:r>
        <w:rPr>
          <w:rFonts w:ascii="Arial" w:hAnsi="Arial" w:eastAsia="Arial" w:cs="Arial"/>
          <w:color w:val="B8BFC6"/>
          <w:spacing w:val="-1"/>
        </w:rPr>
        <w:t>GT</w:t>
      </w:r>
      <w:r>
        <w:rPr>
          <w:color w:val="B8BFC6"/>
          <w:spacing w:val="-1"/>
        </w:rPr>
        <w:t>，以及原检测置信度低至</w:t>
      </w:r>
      <w:r>
        <w:rPr>
          <w:rFonts w:ascii="Arial" w:hAnsi="Arial" w:eastAsia="Arial" w:cs="Arial"/>
          <w:color w:val="B8BFC6"/>
          <w:spacing w:val="-1"/>
        </w:rPr>
        <w:t>0.001</w:t>
      </w:r>
      <w:r>
        <w:rPr>
          <w:color w:val="B8BFC6"/>
          <w:spacing w:val="-1"/>
        </w:rPr>
        <w:t>的预测</w:t>
      </w:r>
      <w:r>
        <w:rPr>
          <w:color w:val="B8BFC6"/>
          <w:spacing w:val="-1"/>
        </w:rPr>
        <w:t>池，</w:t>
      </w:r>
      <w:r>
        <w:rPr>
          <w:rFonts w:ascii="Arial" w:hAnsi="Arial" w:eastAsia="Arial" w:cs="Arial"/>
          <w:color w:val="B8BFC6"/>
          <w:spacing w:val="-1"/>
        </w:rPr>
        <w:t>max_det</w:t>
      </w:r>
      <w:r>
        <w:rPr>
          <w:color w:val="B8BFC6"/>
          <w:spacing w:val="-1"/>
        </w:rPr>
        <w:t>为</w:t>
      </w:r>
      <w:r>
        <w:rPr>
          <w:rFonts w:ascii="Arial" w:hAnsi="Arial" w:eastAsia="Arial" w:cs="Arial"/>
          <w:color w:val="B8BFC6"/>
          <w:spacing w:val="-1"/>
        </w:rPr>
        <w:t>300</w:t>
      </w:r>
      <w:r>
        <w:rPr>
          <w:color w:val="B8BFC6"/>
          <w:spacing w:val="-1"/>
        </w:rPr>
        <w:t>，输入尺度</w:t>
      </w:r>
      <w:r>
        <w:rPr>
          <w:rFonts w:ascii="Arial" w:hAnsi="Arial" w:eastAsia="Arial" w:cs="Arial"/>
          <w:color w:val="B8BFC6"/>
          <w:spacing w:val="-1"/>
        </w:rPr>
        <w:t>640</w:t>
      </w:r>
      <w:r>
        <w:rPr>
          <w:rFonts w:ascii="Arial" w:hAnsi="Arial" w:eastAsia="Arial" w:cs="Arial"/>
          <w:color w:val="B8BFC6"/>
          <w:spacing w:val="-24"/>
        </w:rPr>
        <w:t xml:space="preserve"> </w:t>
      </w:r>
      <w:r>
        <w:rPr>
          <w:color w:val="B8BFC6"/>
          <w:spacing w:val="-1"/>
        </w:rPr>
        <w:t>，</w:t>
      </w:r>
      <w:r>
        <w:rPr>
          <w:rFonts w:ascii="Arial" w:hAnsi="Arial" w:eastAsia="Arial" w:cs="Arial"/>
          <w:color w:val="B8BFC6"/>
          <w:spacing w:val="-1"/>
        </w:rPr>
        <w:t>FP32</w:t>
      </w:r>
      <w:r>
        <w:rPr>
          <w:color w:val="B8BFC6"/>
          <w:spacing w:val="-1"/>
        </w:rPr>
        <w:t>，保留原图分辨率掩膜。类别感知匹配覆盖</w:t>
      </w:r>
      <w:r>
        <w:rPr>
          <w:rFonts w:ascii="Arial" w:hAnsi="Arial" w:eastAsia="Arial" w:cs="Arial"/>
          <w:color w:val="B8BFC6"/>
          <w:spacing w:val="-1"/>
        </w:rPr>
        <w:t>IoU</w:t>
      </w:r>
    </w:p>
    <w:p>
      <w:pPr>
        <w:pStyle w:val="BodyText"/>
        <w:ind w:left="496" w:right="1263" w:hanging="6"/>
        <w:spacing w:before="2" w:line="229" w:lineRule="auto"/>
        <w:rPr/>
      </w:pPr>
      <w:r>
        <w:rPr>
          <w:rFonts w:ascii="Arial" w:hAnsi="Arial" w:eastAsia="Arial" w:cs="Arial"/>
          <w:color w:val="B8BFC6"/>
        </w:rPr>
        <w:t>0.50:0.05:0.95</w:t>
      </w:r>
      <w:r>
        <w:rPr>
          <w:color w:val="B8BFC6"/>
        </w:rPr>
        <w:t>，</w:t>
      </w:r>
      <w:r>
        <w:rPr>
          <w:rFonts w:ascii="Arial" w:hAnsi="Arial" w:eastAsia="Arial" w:cs="Arial"/>
          <w:color w:val="B8BFC6"/>
        </w:rPr>
        <w:t>AP</w:t>
      </w:r>
      <w:r>
        <w:rPr>
          <w:color w:val="B8BFC6"/>
        </w:rPr>
        <w:t>通过封存的</w:t>
      </w:r>
      <w:r>
        <w:rPr>
          <w:rFonts w:ascii="Arial" w:hAnsi="Arial" w:eastAsia="Arial" w:cs="Arial"/>
          <w:color w:val="B8BFC6"/>
        </w:rPr>
        <w:t>Ultralytics</w:t>
      </w:r>
      <w:r>
        <w:rPr>
          <w:color w:val="B8BFC6"/>
        </w:rPr>
        <w:t>匹配与</w:t>
      </w:r>
      <w:r>
        <w:rPr>
          <w:rFonts w:ascii="Arial" w:hAnsi="Arial" w:eastAsia="Arial" w:cs="Arial"/>
          <w:color w:val="B8BFC6"/>
        </w:rPr>
        <w:t>AP</w:t>
      </w:r>
      <w:r>
        <w:rPr>
          <w:color w:val="B8BFC6"/>
        </w:rPr>
        <w:t>实现计算；阈值范围</w:t>
      </w:r>
      <w:r>
        <w:rPr>
          <w:color w:val="B8BFC6"/>
          <w:spacing w:val="-1"/>
        </w:rPr>
        <w:t>采用</w:t>
      </w:r>
      <w:r>
        <w:rPr>
          <w:rFonts w:ascii="Arial" w:hAnsi="Arial" w:eastAsia="Arial" w:cs="Arial"/>
          <w:color w:val="B8BFC6"/>
          <w:spacing w:val="-1"/>
        </w:rPr>
        <w:t>COCO</w:t>
      </w:r>
      <w:r>
        <w:rPr>
          <w:color w:val="B8BFC6"/>
          <w:spacing w:val="-1"/>
        </w:rPr>
        <w:t>官方评价惯例</w:t>
      </w:r>
      <w:r>
        <w:rPr>
          <w:rFonts w:ascii="Arial" w:hAnsi="Arial" w:eastAsia="Arial" w:cs="Arial"/>
          <w:color w:val="B8BFC6"/>
          <w:spacing w:val="-1"/>
        </w:rPr>
        <w:t>[</w:t>
      </w:r>
      <w:hyperlink w:history="true" w:anchor="bookmark25">
        <w:r>
          <w:rPr>
            <w:rFonts w:ascii="Arial" w:hAnsi="Arial" w:eastAsia="Arial" w:cs="Arial"/>
            <w:color w:val="B8BFC6"/>
            <w:spacing w:val="-1"/>
          </w:rPr>
          <w:t>13</w:t>
        </w:r>
      </w:hyperlink>
      <w:r>
        <w:rPr>
          <w:rFonts w:ascii="Arial" w:hAnsi="Arial" w:eastAsia="Arial" w:cs="Arial"/>
          <w:color w:val="B8BFC6"/>
          <w:spacing w:val="-1"/>
        </w:rPr>
        <w:t>,</w:t>
      </w:r>
      <w:hyperlink w:history="true" w:anchor="bookmark26">
        <w:r>
          <w:rPr>
            <w:rFonts w:ascii="Arial" w:hAnsi="Arial" w:eastAsia="Arial" w:cs="Arial"/>
            <w:color w:val="B8BFC6"/>
            <w:spacing w:val="-1"/>
          </w:rPr>
          <w:t>14</w:t>
        </w:r>
      </w:hyperlink>
      <w:r>
        <w:rPr>
          <w:rFonts w:ascii="Arial" w:hAnsi="Arial" w:eastAsia="Arial" w:cs="Arial"/>
          <w:color w:val="B8BFC6"/>
          <w:spacing w:val="-1"/>
        </w:rPr>
        <w:t>]</w:t>
      </w:r>
      <w:r>
        <w:rPr>
          <w:color w:val="B8BFC6"/>
          <w:spacing w:val="-1"/>
        </w:rPr>
        <w:t>。本文不声称与任意其他</w:t>
      </w:r>
      <w:r>
        <w:rPr>
          <w:rFonts w:ascii="Arial" w:hAnsi="Arial" w:eastAsia="Arial" w:cs="Arial"/>
          <w:color w:val="B8BFC6"/>
          <w:spacing w:val="-1"/>
        </w:rPr>
        <w:t>COCO</w:t>
      </w:r>
      <w:r>
        <w:rPr>
          <w:color w:val="B8BFC6"/>
          <w:spacing w:val="-1"/>
        </w:rPr>
        <w:t>评</w:t>
      </w:r>
      <w:r>
        <w:rPr>
          <w:color w:val="B8BFC6"/>
          <w:spacing w:val="-2"/>
        </w:rPr>
        <w:t>价实现逐字节一致。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81" w:right="584"/>
        <w:spacing w:before="103" w:line="228" w:lineRule="auto"/>
        <w:jc w:val="both"/>
        <w:rPr/>
      </w:pPr>
      <w:r>
        <w:rPr>
          <w:color w:val="B8BFC6"/>
        </w:rPr>
        <w:t>分级操作范围为</w:t>
      </w:r>
      <w:r>
        <w:rPr>
          <w:rFonts w:ascii="Arial" w:hAnsi="Arial" w:eastAsia="Arial" w:cs="Arial"/>
          <w:color w:val="B8BFC6"/>
        </w:rPr>
        <w:t>NMS</w:t>
      </w:r>
      <w:r>
        <w:rPr>
          <w:color w:val="B8BFC6"/>
        </w:rPr>
        <w:t>后原置信度</w:t>
      </w:r>
      <w:r>
        <w:rPr>
          <w:rFonts w:ascii="Arial" w:hAnsi="Arial" w:eastAsia="Arial" w:cs="Arial"/>
          <w:color w:val="B8BFC6"/>
        </w:rPr>
        <w:t>≥0.25</w:t>
      </w:r>
      <w:r>
        <w:rPr>
          <w:color w:val="B8BFC6"/>
        </w:rPr>
        <w:t>的预测。先以掩膜</w:t>
      </w:r>
      <w:r>
        <w:rPr>
          <w:rFonts w:ascii="Arial" w:hAnsi="Arial" w:eastAsia="Arial" w:cs="Arial"/>
          <w:color w:val="B8BFC6"/>
        </w:rPr>
        <w:t>IoU≥0.50</w:t>
      </w:r>
      <w:r>
        <w:rPr>
          <w:color w:val="B8BFC6"/>
        </w:rPr>
        <w:t>进行类别无关最优匹配，定义</w:t>
      </w:r>
      <w:r>
        <w:rPr>
          <w:color w:val="B8BFC6"/>
          <w:spacing w:val="-1"/>
        </w:rPr>
        <w:t>已定位</w:t>
      </w:r>
      <w:r>
        <w:rPr>
          <w:color w:val="B8BFC6"/>
        </w:rPr>
        <w:t>实例，再判断等级是否正确。分别报告正确分级数</w:t>
      </w:r>
      <w:r>
        <w:rPr>
          <w:rFonts w:ascii="Arial" w:hAnsi="Arial" w:eastAsia="Arial" w:cs="Arial"/>
          <w:color w:val="B8BFC6"/>
        </w:rPr>
        <w:t>/</w:t>
      </w:r>
      <w:r>
        <w:rPr>
          <w:color w:val="B8BFC6"/>
        </w:rPr>
        <w:t>定位数与正确分级数</w:t>
      </w:r>
      <w:r>
        <w:rPr>
          <w:rFonts w:ascii="Arial" w:hAnsi="Arial" w:eastAsia="Arial" w:cs="Arial"/>
          <w:color w:val="B8BFC6"/>
        </w:rPr>
        <w:t>/</w:t>
      </w:r>
      <w:r>
        <w:rPr>
          <w:color w:val="B8BFC6"/>
        </w:rPr>
        <w:t>全部</w:t>
      </w:r>
      <w:r>
        <w:rPr>
          <w:rFonts w:ascii="Arial" w:hAnsi="Arial" w:eastAsia="Arial" w:cs="Arial"/>
          <w:color w:val="B8BFC6"/>
        </w:rPr>
        <w:t>GT</w:t>
      </w:r>
      <w:r>
        <w:rPr>
          <w:color w:val="B8BFC6"/>
        </w:rPr>
        <w:t>。操作点</w:t>
      </w:r>
      <w:r>
        <w:rPr>
          <w:rFonts w:ascii="Arial" w:hAnsi="Arial" w:eastAsia="Arial" w:cs="Arial"/>
          <w:color w:val="B8BFC6"/>
        </w:rPr>
        <w:t>macro-F</w:t>
      </w:r>
      <w:r>
        <w:rPr>
          <w:rFonts w:ascii="Arial" w:hAnsi="Arial" w:eastAsia="Arial" w:cs="Arial"/>
          <w:color w:val="B8BFC6"/>
          <w:spacing w:val="-1"/>
        </w:rPr>
        <w:t>1</w:t>
      </w:r>
      <w:r>
        <w:rPr>
          <w:color w:val="B8BFC6"/>
          <w:spacing w:val="-1"/>
        </w:rPr>
        <w:t>同时</w:t>
      </w:r>
      <w:r>
        <w:rPr>
          <w:color w:val="B8BFC6"/>
        </w:rPr>
        <w:t>考虑该范围内类别感知的误检和漏检。定位匹配后正确分级数</w:t>
      </w:r>
      <w:r>
        <w:rPr>
          <w:rFonts w:ascii="Arial" w:hAnsi="Arial" w:eastAsia="Arial" w:cs="Arial"/>
          <w:color w:val="B8BFC6"/>
        </w:rPr>
        <w:t>449</w:t>
      </w:r>
      <w:r>
        <w:rPr>
          <w:color w:val="B8BFC6"/>
        </w:rPr>
        <w:t>，与</w:t>
      </w:r>
      <w:r>
        <w:rPr>
          <w:rFonts w:ascii="Arial" w:hAnsi="Arial" w:eastAsia="Arial" w:cs="Arial"/>
          <w:color w:val="B8BFC6"/>
        </w:rPr>
        <w:t>AP</w:t>
      </w:r>
      <w:r>
        <w:rPr>
          <w:color w:val="B8BFC6"/>
        </w:rPr>
        <w:t>计算中的类别感知真阳</w:t>
      </w:r>
      <w:r>
        <w:rPr>
          <w:color w:val="B8BFC6"/>
          <w:spacing w:val="-1"/>
        </w:rPr>
        <w:t>性数不</w:t>
      </w:r>
      <w:r>
        <w:rPr>
          <w:color w:val="B8BFC6"/>
          <w:spacing w:val="-6"/>
        </w:rPr>
        <w:t>是同一统计量。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492" w:right="561" w:hanging="10"/>
        <w:spacing w:before="103" w:line="227" w:lineRule="auto"/>
        <w:rPr>
          <w:rFonts w:ascii="Arial" w:hAnsi="Arial" w:eastAsia="Arial" w:cs="Arial"/>
        </w:rPr>
      </w:pPr>
      <w:r>
        <w:rPr>
          <w:color w:val="B8BFC6"/>
        </w:rPr>
        <w:t>风险终点包括：匹配到的不合格</w:t>
      </w:r>
      <w:r>
        <w:rPr>
          <w:rFonts w:ascii="Arial" w:hAnsi="Arial" w:eastAsia="Arial" w:cs="Arial"/>
          <w:color w:val="B8BFC6"/>
        </w:rPr>
        <w:t>GT</w:t>
      </w:r>
      <w:r>
        <w:rPr>
          <w:color w:val="B8BFC6"/>
        </w:rPr>
        <w:t>被判为合格等级、匹配到的合格</w:t>
      </w:r>
      <w:r>
        <w:rPr>
          <w:rFonts w:ascii="Arial" w:hAnsi="Arial" w:eastAsia="Arial" w:cs="Arial"/>
          <w:color w:val="B8BFC6"/>
        </w:rPr>
        <w:t>GT</w:t>
      </w:r>
      <w:r>
        <w:rPr>
          <w:color w:val="B8BFC6"/>
        </w:rPr>
        <w:t>被拒为类别</w:t>
      </w:r>
      <w:r>
        <w:rPr>
          <w:rFonts w:ascii="Arial" w:hAnsi="Arial" w:eastAsia="Arial" w:cs="Arial"/>
          <w:color w:val="B8BFC6"/>
        </w:rPr>
        <w:t>0</w:t>
      </w:r>
      <w:r>
        <w:rPr>
          <w:color w:val="B8BFC6"/>
        </w:rPr>
        <w:t>，</w:t>
      </w:r>
      <w:r>
        <w:rPr>
          <w:color w:val="B8BFC6"/>
          <w:spacing w:val="-1"/>
        </w:rPr>
        <w:t>以及原先正确拒绝</w:t>
      </w:r>
      <w:r>
        <w:rPr>
          <w:color w:val="B8BFC6"/>
        </w:rPr>
        <w:t>的不合格个体新增误放。另设输出暴露诊断：只要不合格</w:t>
      </w:r>
      <w:r>
        <w:rPr>
          <w:rFonts w:ascii="Arial" w:hAnsi="Arial" w:eastAsia="Arial" w:cs="Arial"/>
          <w:color w:val="B8BFC6"/>
        </w:rPr>
        <w:t>GT</w:t>
      </w:r>
      <w:r>
        <w:rPr>
          <w:color w:val="B8BFC6"/>
        </w:rPr>
        <w:t>与任</w:t>
      </w:r>
      <w:r>
        <w:rPr>
          <w:color w:val="B8BFC6"/>
          <w:spacing w:val="-1"/>
        </w:rPr>
        <w:t>一保留高置信合格预测的</w:t>
      </w:r>
      <w:r>
        <w:rPr>
          <w:rFonts w:ascii="Arial" w:hAnsi="Arial" w:eastAsia="Arial" w:cs="Arial"/>
          <w:color w:val="B8BFC6"/>
          <w:spacing w:val="-1"/>
        </w:rPr>
        <w:t>mask</w:t>
      </w:r>
    </w:p>
    <w:p>
      <w:pPr>
        <w:pStyle w:val="BodyText"/>
        <w:ind w:left="481" w:right="626" w:firstLine="20"/>
        <w:spacing w:before="1" w:line="237" w:lineRule="auto"/>
        <w:rPr/>
      </w:pPr>
      <w:r>
        <w:rPr>
          <w:rFonts w:ascii="Arial" w:hAnsi="Arial" w:eastAsia="Arial" w:cs="Arial"/>
          <w:color w:val="B8BFC6"/>
        </w:rPr>
        <w:t>IoU≥0.50</w:t>
      </w:r>
      <w:r>
        <w:rPr>
          <w:color w:val="B8BFC6"/>
        </w:rPr>
        <w:t>，即记录一次存在合格输出，即使另一</w:t>
      </w:r>
      <w:r>
        <w:rPr>
          <w:color w:val="B8BFC6"/>
          <w:spacing w:val="-1"/>
        </w:rPr>
        <w:t>个候选已与其匹配。该项不等于一对一匹配错误数，也</w:t>
      </w:r>
      <w:r>
        <w:rPr>
          <w:color w:val="B8BFC6"/>
          <w:spacing w:val="-3"/>
        </w:rPr>
        <w:t>不等于已核实的物理单果最终决定。</w:t>
      </w:r>
    </w:p>
    <w:p>
      <w:pPr>
        <w:pStyle w:val="BodyText"/>
        <w:ind w:left="488"/>
        <w:spacing w:before="335" w:line="184" w:lineRule="auto"/>
        <w:outlineLvl w:val="2"/>
        <w:rPr>
          <w:sz w:val="28"/>
          <w:szCs w:val="28"/>
        </w:rPr>
      </w:pP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9"/>
          <w:w w:val="98"/>
        </w:rPr>
        <w:t>4.2</w:t>
      </w: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2"/>
        </w:rPr>
        <w:t xml:space="preserve"> </w:t>
      </w:r>
      <w:r>
        <w:rPr>
          <w:sz w:val="28"/>
          <w:szCs w:val="28"/>
          <w:b/>
          <w:bCs/>
          <w:color w:val="DEDEDE"/>
          <w:spacing w:val="-9"/>
          <w:w w:val="98"/>
        </w:rPr>
        <w:t>重复拟合、来源分组与不确定性</w:t>
      </w:r>
    </w:p>
    <w:p>
      <w:pPr>
        <w:pStyle w:val="BodyText"/>
        <w:ind w:left="481" w:right="533" w:firstLine="1"/>
        <w:spacing w:before="340" w:line="230" w:lineRule="auto"/>
        <w:rPr/>
      </w:pPr>
      <w:r>
        <w:rPr>
          <w:color w:val="B8BFC6"/>
        </w:rPr>
        <w:t>最近阶段完成</w:t>
      </w:r>
      <w:r>
        <w:rPr>
          <w:rFonts w:ascii="Arial" w:hAnsi="Arial" w:eastAsia="Arial" w:cs="Arial"/>
          <w:color w:val="B8BFC6"/>
        </w:rPr>
        <w:t>150</w:t>
      </w:r>
      <w:r>
        <w:rPr>
          <w:color w:val="B8BFC6"/>
        </w:rPr>
        <w:t>次优化拟合，涉及属性头、评分头、排序器和掩膜细化器，没有新训练</w:t>
      </w:r>
      <w:r>
        <w:rPr>
          <w:rFonts w:ascii="Arial" w:hAnsi="Arial" w:eastAsia="Arial" w:cs="Arial"/>
          <w:color w:val="B8BFC6"/>
        </w:rPr>
        <w:t>Y</w:t>
      </w:r>
      <w:r>
        <w:rPr>
          <w:rFonts w:ascii="Arial" w:hAnsi="Arial" w:eastAsia="Arial" w:cs="Arial"/>
          <w:color w:val="B8BFC6"/>
          <w:spacing w:val="-1"/>
        </w:rPr>
        <w:t>OLO</w:t>
      </w:r>
      <w:r>
        <w:rPr>
          <w:color w:val="B8BFC6"/>
          <w:spacing w:val="-1"/>
        </w:rPr>
        <w:t>。更早阶</w:t>
      </w:r>
      <w:r>
        <w:rPr>
          <w:color w:val="B8BFC6"/>
        </w:rPr>
        <w:t>段保留各自实验清单，拟合次数不作为独立数据集数量。新建排序</w:t>
      </w:r>
      <w:r>
        <w:rPr>
          <w:rFonts w:ascii="Arial" w:hAnsi="Arial" w:eastAsia="Arial" w:cs="Arial"/>
          <w:color w:val="B8BFC6"/>
        </w:rPr>
        <w:t>/</w:t>
      </w:r>
      <w:r>
        <w:rPr>
          <w:color w:val="B8BFC6"/>
        </w:rPr>
        <w:t>细化头跨种子改变初始化与</w:t>
      </w:r>
      <w:r>
        <w:rPr>
          <w:color w:val="B8BFC6"/>
          <w:spacing w:val="-1"/>
        </w:rPr>
        <w:t>小批顺</w:t>
      </w:r>
      <w:r>
        <w:rPr>
          <w:color w:val="B8BFC6"/>
        </w:rPr>
        <w:t xml:space="preserve"> </w:t>
      </w:r>
      <w:r>
        <w:rPr>
          <w:color w:val="B8BFC6"/>
          <w:spacing w:val="-2"/>
        </w:rPr>
        <w:t>序；预训练属性变体从同一原权重起步，跨种子主要改变样本顺序。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482" w:right="607"/>
        <w:spacing w:before="103"/>
        <w:jc w:val="both"/>
        <w:rPr/>
      </w:pPr>
      <w:r>
        <w:rPr>
          <w:color w:val="B8BFC6"/>
        </w:rPr>
        <w:t>使用</w:t>
      </w:r>
      <w:r>
        <w:rPr>
          <w:rFonts w:ascii="Arial" w:hAnsi="Arial" w:eastAsia="Arial" w:cs="Arial"/>
          <w:color w:val="B8BFC6"/>
        </w:rPr>
        <w:t>001–150</w:t>
      </w:r>
      <w:r>
        <w:rPr>
          <w:color w:val="B8BFC6"/>
        </w:rPr>
        <w:t>、</w:t>
      </w:r>
      <w:r>
        <w:rPr>
          <w:color w:val="B8BFC6"/>
          <w:spacing w:val="-44"/>
        </w:rPr>
        <w:t xml:space="preserve"> </w:t>
      </w:r>
      <w:r>
        <w:rPr>
          <w:rFonts w:ascii="Arial" w:hAnsi="Arial" w:eastAsia="Arial" w:cs="Arial"/>
          <w:color w:val="B8BFC6"/>
        </w:rPr>
        <w:t>151–500</w:t>
      </w:r>
      <w:r>
        <w:rPr>
          <w:color w:val="B8BFC6"/>
        </w:rPr>
        <w:t>、</w:t>
      </w:r>
      <w:r>
        <w:rPr>
          <w:rFonts w:ascii="Arial" w:hAnsi="Arial" w:eastAsia="Arial" w:cs="Arial"/>
          <w:color w:val="B8BFC6"/>
        </w:rPr>
        <w:t>501–900</w:t>
      </w:r>
      <w:r>
        <w:rPr>
          <w:color w:val="B8BFC6"/>
        </w:rPr>
        <w:t>和</w:t>
      </w:r>
      <w:r>
        <w:rPr>
          <w:rFonts w:ascii="Arial" w:hAnsi="Arial" w:eastAsia="Arial" w:cs="Arial"/>
          <w:color w:val="B8BFC6"/>
          <w:spacing w:val="-1"/>
        </w:rPr>
        <w:t>901–1300</w:t>
      </w:r>
      <w:r>
        <w:rPr>
          <w:color w:val="B8BFC6"/>
          <w:spacing w:val="-1"/>
        </w:rPr>
        <w:t>四个编号范围作为来源代理组，尚未确认其对应独立采</w:t>
      </w:r>
      <w:r>
        <w:rPr>
          <w:color w:val="B8BFC6"/>
        </w:rPr>
        <w:t>收批次或不同实物果总体。排序器来源留出审计将外层组排除于新增排序器拟合、归一化和选</w:t>
      </w:r>
      <w:r>
        <w:rPr>
          <w:color w:val="B8BFC6"/>
          <w:spacing w:val="-1"/>
        </w:rPr>
        <w:t>点，但早</w:t>
      </w:r>
      <w:r>
        <w:rPr>
          <w:color w:val="B8BFC6"/>
          <w:spacing w:val="-1"/>
        </w:rPr>
        <w:t>期冻结组件已经见过原训练集。外层预测拼接后重新计算总体</w:t>
      </w:r>
      <w:r>
        <w:rPr>
          <w:rFonts w:ascii="Arial" w:hAnsi="Arial" w:eastAsia="Arial" w:cs="Arial"/>
          <w:color w:val="B8BFC6"/>
          <w:spacing w:val="-1"/>
        </w:rPr>
        <w:t>AP</w:t>
      </w:r>
      <w:r>
        <w:rPr>
          <w:color w:val="B8BFC6"/>
          <w:spacing w:val="-1"/>
        </w:rPr>
        <w:t>，不对四个来源</w:t>
      </w:r>
      <w:r>
        <w:rPr>
          <w:rFonts w:ascii="Arial" w:hAnsi="Arial" w:eastAsia="Arial" w:cs="Arial"/>
          <w:color w:val="B8BFC6"/>
          <w:spacing w:val="-1"/>
        </w:rPr>
        <w:t>AP</w:t>
      </w:r>
      <w:r>
        <w:rPr>
          <w:color w:val="B8BFC6"/>
          <w:spacing w:val="-1"/>
        </w:rPr>
        <w:t>直接取平均。</w:t>
      </w:r>
    </w:p>
    <w:p>
      <w:pPr>
        <w:pStyle w:val="BodyText"/>
        <w:ind w:left="491" w:right="477" w:firstLine="5"/>
        <w:spacing w:before="297" w:line="233" w:lineRule="auto"/>
        <w:rPr/>
      </w:pPr>
      <w:r>
        <w:rPr>
          <w:color w:val="B8BFC6"/>
        </w:rPr>
        <w:t>固定排序对比采用</w:t>
      </w:r>
      <w:r>
        <w:rPr>
          <w:rFonts w:ascii="Arial" w:hAnsi="Arial" w:eastAsia="Arial" w:cs="Arial"/>
          <w:color w:val="B8BFC6"/>
        </w:rPr>
        <w:t>2,000</w:t>
      </w:r>
      <w:r>
        <w:rPr>
          <w:color w:val="B8BFC6"/>
        </w:rPr>
        <w:t>次按四来源分层的整图配对</w:t>
      </w:r>
      <w:r>
        <w:rPr>
          <w:rFonts w:ascii="Arial" w:hAnsi="Arial" w:eastAsia="Arial" w:cs="Arial"/>
          <w:color w:val="B8BFC6"/>
        </w:rPr>
        <w:t>bootstrap</w:t>
      </w:r>
      <w:r>
        <w:rPr>
          <w:color w:val="B8BFC6"/>
          <w:spacing w:val="-1"/>
        </w:rPr>
        <w:t>，同图果实始终一起抽样，抽样图索引排序</w:t>
      </w:r>
      <w:r>
        <w:rPr>
          <w:color w:val="B8BFC6"/>
          <w:spacing w:val="-1"/>
        </w:rPr>
        <w:t>以保留置信度并列时的顺序。区间为逐项</w:t>
      </w:r>
      <w:r>
        <w:rPr>
          <w:rFonts w:ascii="Arial" w:hAnsi="Arial" w:eastAsia="Arial" w:cs="Arial"/>
          <w:color w:val="B8BFC6"/>
          <w:spacing w:val="-1"/>
        </w:rPr>
        <w:t>95%</w:t>
      </w:r>
      <w:r>
        <w:rPr>
          <w:color w:val="B8BFC6"/>
          <w:spacing w:val="-1"/>
        </w:rPr>
        <w:t>百分位区间，未校正反复开发、适</w:t>
      </w:r>
      <w:r>
        <w:rPr>
          <w:color w:val="B8BFC6"/>
          <w:spacing w:val="-2"/>
        </w:rPr>
        <w:t>应性比较或多重检验；</w:t>
      </w:r>
    </w:p>
    <w:p>
      <w:pPr>
        <w:pStyle w:val="BodyText"/>
        <w:ind w:left="486"/>
        <w:spacing w:before="23" w:line="184" w:lineRule="auto"/>
        <w:rPr/>
      </w:pPr>
      <w:r>
        <w:rPr>
          <w:color w:val="B8BFC6"/>
          <w:spacing w:val="-1"/>
        </w:rPr>
        <w:t>三个优化种子也不是三套独立数据。因此，这些区间用于探索性描述，不作为确</w:t>
      </w:r>
      <w:r>
        <w:rPr>
          <w:color w:val="B8BFC6"/>
          <w:spacing w:val="-2"/>
        </w:rPr>
        <w:t>认泛化的统计证明。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488"/>
        <w:spacing w:before="120" w:line="183" w:lineRule="auto"/>
        <w:outlineLvl w:val="2"/>
        <w:rPr>
          <w:sz w:val="28"/>
          <w:szCs w:val="28"/>
        </w:rPr>
      </w:pP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2"/>
        </w:rPr>
        <w:t>4.3</w:t>
      </w: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25"/>
        </w:rPr>
        <w:t xml:space="preserve"> </w:t>
      </w:r>
      <w:r>
        <w:rPr>
          <w:sz w:val="28"/>
          <w:szCs w:val="28"/>
          <w:b/>
          <w:bCs/>
          <w:color w:val="DEDEDE"/>
          <w:spacing w:val="-12"/>
        </w:rPr>
        <w:t>计算环境与时间测量</w:t>
      </w:r>
    </w:p>
    <w:p>
      <w:pPr>
        <w:pStyle w:val="BodyText"/>
        <w:ind w:left="484" w:right="684"/>
        <w:spacing w:before="340" w:line="230" w:lineRule="auto"/>
        <w:jc w:val="both"/>
        <w:rPr/>
      </w:pPr>
      <w:r>
        <w:rPr>
          <w:color w:val="B8BFC6"/>
          <w:spacing w:val="-1"/>
        </w:rPr>
        <w:t>实验环境为</w:t>
      </w:r>
      <w:r>
        <w:rPr>
          <w:rFonts w:ascii="Arial" w:hAnsi="Arial" w:eastAsia="Arial" w:cs="Arial"/>
          <w:color w:val="B8BFC6"/>
          <w:spacing w:val="-1"/>
        </w:rPr>
        <w:t>Windows</w:t>
      </w:r>
      <w:r>
        <w:rPr>
          <w:color w:val="B8BFC6"/>
          <w:spacing w:val="-1"/>
        </w:rPr>
        <w:t>、</w:t>
      </w:r>
      <w:r>
        <w:rPr>
          <w:rFonts w:ascii="Arial" w:hAnsi="Arial" w:eastAsia="Arial" w:cs="Arial"/>
          <w:color w:val="B8BFC6"/>
          <w:spacing w:val="-1"/>
        </w:rPr>
        <w:t>Python 3.12.14</w:t>
      </w:r>
      <w:r>
        <w:rPr>
          <w:color w:val="B8BFC6"/>
          <w:spacing w:val="-1"/>
        </w:rPr>
        <w:t>、</w:t>
      </w:r>
      <w:r>
        <w:rPr>
          <w:rFonts w:ascii="Arial" w:hAnsi="Arial" w:eastAsia="Arial" w:cs="Arial"/>
          <w:color w:val="B8BFC6"/>
          <w:spacing w:val="-1"/>
        </w:rPr>
        <w:t>PyTorch 2.13.0+cu130</w:t>
      </w:r>
      <w:r>
        <w:rPr>
          <w:color w:val="B8BFC6"/>
          <w:spacing w:val="-1"/>
        </w:rPr>
        <w:t>、</w:t>
      </w:r>
      <w:r>
        <w:rPr>
          <w:rFonts w:ascii="Arial" w:hAnsi="Arial" w:eastAsia="Arial" w:cs="Arial"/>
          <w:color w:val="B8BFC6"/>
          <w:spacing w:val="-1"/>
        </w:rPr>
        <w:t>Ultralytics 8.4.117</w:t>
      </w:r>
      <w:r>
        <w:rPr>
          <w:rFonts w:ascii="Arial" w:hAnsi="Arial" w:eastAsia="Arial" w:cs="Arial"/>
          <w:color w:val="B8BFC6"/>
          <w:spacing w:val="-30"/>
        </w:rPr>
        <w:t xml:space="preserve"> </w:t>
      </w:r>
      <w:r>
        <w:rPr>
          <w:color w:val="B8BFC6"/>
          <w:spacing w:val="-1"/>
        </w:rPr>
        <w:t>，</w:t>
      </w:r>
      <w:r>
        <w:rPr>
          <w:rFonts w:ascii="Arial" w:hAnsi="Arial" w:eastAsia="Arial" w:cs="Arial"/>
          <w:color w:val="B8BFC6"/>
          <w:spacing w:val="-1"/>
        </w:rPr>
        <w:t>GP</w:t>
      </w:r>
      <w:r>
        <w:rPr>
          <w:rFonts w:ascii="Arial" w:hAnsi="Arial" w:eastAsia="Arial" w:cs="Arial"/>
          <w:color w:val="B8BFC6"/>
          <w:spacing w:val="-2"/>
        </w:rPr>
        <w:t>U</w:t>
      </w:r>
      <w:r>
        <w:rPr>
          <w:color w:val="B8BFC6"/>
          <w:spacing w:val="-2"/>
        </w:rPr>
        <w:t>为</w:t>
      </w:r>
      <w:r>
        <w:rPr>
          <w:rFonts w:ascii="Arial" w:hAnsi="Arial" w:eastAsia="Arial" w:cs="Arial"/>
          <w:color w:val="B8BFC6"/>
          <w:spacing w:val="-2"/>
        </w:rPr>
        <w:t>NVIDIA</w:t>
      </w:r>
      <w:r>
        <w:rPr>
          <w:rFonts w:ascii="Arial" w:hAnsi="Arial" w:eastAsia="Arial" w:cs="Arial"/>
          <w:color w:val="B8BFC6"/>
        </w:rPr>
        <w:t xml:space="preserve"> </w:t>
      </w:r>
      <w:r>
        <w:rPr>
          <w:rFonts w:ascii="Arial" w:hAnsi="Arial" w:eastAsia="Arial" w:cs="Arial"/>
          <w:color w:val="B8BFC6"/>
          <w:spacing w:val="-1"/>
        </w:rPr>
        <w:t>GeForce</w:t>
      </w:r>
      <w:r>
        <w:rPr>
          <w:rFonts w:ascii="Arial" w:hAnsi="Arial" w:eastAsia="Arial" w:cs="Arial"/>
          <w:color w:val="B8BFC6"/>
          <w:spacing w:val="29"/>
          <w:w w:val="101"/>
        </w:rPr>
        <w:t xml:space="preserve"> </w:t>
      </w:r>
      <w:r>
        <w:rPr>
          <w:rFonts w:ascii="Arial" w:hAnsi="Arial" w:eastAsia="Arial" w:cs="Arial"/>
          <w:color w:val="B8BFC6"/>
          <w:spacing w:val="-1"/>
        </w:rPr>
        <w:t>RTX 5070</w:t>
      </w:r>
      <w:r>
        <w:rPr>
          <w:rFonts w:ascii="Arial" w:hAnsi="Arial" w:eastAsia="Arial" w:cs="Arial"/>
          <w:color w:val="B8BFC6"/>
          <w:spacing w:val="17"/>
        </w:rPr>
        <w:t xml:space="preserve"> </w:t>
      </w:r>
      <w:r>
        <w:rPr>
          <w:rFonts w:ascii="Arial" w:hAnsi="Arial" w:eastAsia="Arial" w:cs="Arial"/>
          <w:color w:val="B8BFC6"/>
          <w:spacing w:val="-1"/>
        </w:rPr>
        <w:t>Laptop GPU</w:t>
      </w:r>
      <w:r>
        <w:rPr>
          <w:color w:val="B8BFC6"/>
          <w:spacing w:val="-1"/>
        </w:rPr>
        <w:t>。矩阵乘法</w:t>
      </w:r>
      <w:r>
        <w:rPr>
          <w:rFonts w:ascii="Arial" w:hAnsi="Arial" w:eastAsia="Arial" w:cs="Arial"/>
          <w:color w:val="B8BFC6"/>
          <w:spacing w:val="-1"/>
        </w:rPr>
        <w:t>TF32</w:t>
      </w:r>
      <w:r>
        <w:rPr>
          <w:color w:val="B8BFC6"/>
          <w:spacing w:val="-1"/>
        </w:rPr>
        <w:t>关闭，</w:t>
      </w:r>
      <w:r>
        <w:rPr>
          <w:rFonts w:ascii="Arial" w:hAnsi="Arial" w:eastAsia="Arial" w:cs="Arial"/>
          <w:color w:val="B8BFC6"/>
          <w:spacing w:val="-1"/>
        </w:rPr>
        <w:t>CuDNN TF32</w:t>
      </w:r>
      <w:r>
        <w:rPr>
          <w:color w:val="B8BFC6"/>
          <w:spacing w:val="-1"/>
        </w:rPr>
        <w:t>开启。最近阶段开始前，安装环</w:t>
      </w:r>
      <w:r>
        <w:rPr>
          <w:color w:val="B8BFC6"/>
          <w:spacing w:val="-1"/>
        </w:rPr>
        <w:t>境中的原图掩膜处理已包含内存分块补丁，精确源码和哈希已归档，不能称为完全未修改</w:t>
      </w:r>
      <w:r>
        <w:rPr>
          <w:color w:val="B8BFC6"/>
          <w:spacing w:val="-2"/>
        </w:rPr>
        <w:t>的官方安装。</w:t>
      </w:r>
    </w:p>
    <w:p>
      <w:pPr>
        <w:spacing w:line="230" w:lineRule="auto"/>
        <w:sectPr>
          <w:headerReference w:type="default" r:id="rId44"/>
          <w:pgSz w:w="11919" w:h="16858"/>
          <w:pgMar w:top="400" w:right="0" w:bottom="921" w:left="0" w:header="0" w:footer="6" w:gutter="0"/>
        </w:sectPr>
        <w:rPr/>
      </w:pP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483" w:right="517"/>
        <w:spacing w:before="103" w:line="230" w:lineRule="auto"/>
        <w:jc w:val="both"/>
        <w:rPr/>
      </w:pPr>
      <w:r>
        <w:rPr>
          <w:color w:val="B8BFC6"/>
        </w:rPr>
        <w:t>最近计时选取</w:t>
      </w:r>
      <w:r>
        <w:rPr>
          <w:rFonts w:ascii="Arial" w:hAnsi="Arial" w:eastAsia="Arial" w:cs="Arial"/>
          <w:color w:val="B8BFC6"/>
        </w:rPr>
        <w:t>24</w:t>
      </w:r>
      <w:r>
        <w:rPr>
          <w:color w:val="B8BFC6"/>
        </w:rPr>
        <w:t>张开发图像，每来源</w:t>
      </w:r>
      <w:r>
        <w:rPr>
          <w:rFonts w:ascii="Arial" w:hAnsi="Arial" w:eastAsia="Arial" w:cs="Arial"/>
          <w:color w:val="B8BFC6"/>
        </w:rPr>
        <w:t>6</w:t>
      </w:r>
      <w:r>
        <w:rPr>
          <w:color w:val="B8BFC6"/>
        </w:rPr>
        <w:t>张，每图</w:t>
      </w:r>
      <w:r>
        <w:rPr>
          <w:rFonts w:ascii="Arial" w:hAnsi="Arial" w:eastAsia="Arial" w:cs="Arial"/>
          <w:color w:val="B8BFC6"/>
        </w:rPr>
        <w:t>3</w:t>
      </w:r>
      <w:r>
        <w:rPr>
          <w:color w:val="B8BFC6"/>
        </w:rPr>
        <w:t>次，图内随机安排执行图顺序，计时前后</w:t>
      </w:r>
      <w:r>
        <w:rPr>
          <w:rFonts w:ascii="Arial" w:hAnsi="Arial" w:eastAsia="Arial" w:cs="Arial"/>
          <w:color w:val="B8BFC6"/>
        </w:rPr>
        <w:t>GP</w:t>
      </w:r>
      <w:r>
        <w:rPr>
          <w:rFonts w:ascii="Arial" w:hAnsi="Arial" w:eastAsia="Arial" w:cs="Arial"/>
          <w:color w:val="B8BFC6"/>
          <w:spacing w:val="-1"/>
        </w:rPr>
        <w:t>U</w:t>
      </w:r>
      <w:r>
        <w:rPr>
          <w:color w:val="B8BFC6"/>
          <w:spacing w:val="-1"/>
        </w:rPr>
        <w:t>同步。排</w:t>
      </w:r>
      <w:r>
        <w:rPr>
          <w:color w:val="B8BFC6"/>
        </w:rPr>
        <w:t>除图像解码与模型加载，包含置信度池</w:t>
      </w:r>
      <w:r>
        <w:rPr>
          <w:rFonts w:ascii="Arial" w:hAnsi="Arial" w:eastAsia="Arial" w:cs="Arial"/>
          <w:color w:val="B8BFC6"/>
        </w:rPr>
        <w:t>0.001</w:t>
      </w:r>
      <w:r>
        <w:rPr>
          <w:color w:val="B8BFC6"/>
        </w:rPr>
        <w:t>下实际检测、分级、排序和相关后处理。使用</w:t>
      </w:r>
      <w:r>
        <w:rPr>
          <w:color w:val="B8BFC6"/>
          <w:spacing w:val="-1"/>
        </w:rPr>
        <w:t>不同候选池或</w:t>
      </w:r>
      <w:r>
        <w:rPr>
          <w:color w:val="B8BFC6"/>
          <w:spacing w:val="-2"/>
        </w:rPr>
        <w:t>实现的历史时间仅在自己的同轮对照中解释，不与最新耗时表拼接。</w:t>
      </w:r>
    </w:p>
    <w:p>
      <w:pPr>
        <w:pStyle w:val="BodyText"/>
        <w:ind w:left="488"/>
        <w:spacing w:before="357" w:line="184" w:lineRule="auto"/>
        <w:outlineLvl w:val="2"/>
        <w:rPr>
          <w:sz w:val="28"/>
          <w:szCs w:val="28"/>
        </w:rPr>
      </w:pP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0"/>
          <w:w w:val="99"/>
        </w:rPr>
        <w:t>4.4</w:t>
      </w: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23"/>
        </w:rPr>
        <w:t xml:space="preserve"> </w:t>
      </w:r>
      <w:r>
        <w:rPr>
          <w:sz w:val="28"/>
          <w:szCs w:val="28"/>
          <w:b/>
          <w:bCs/>
          <w:color w:val="DEDEDE"/>
          <w:spacing w:val="-10"/>
          <w:w w:val="99"/>
        </w:rPr>
        <w:t>冻结方案的最终测试协议</w:t>
      </w:r>
    </w:p>
    <w:p>
      <w:pPr>
        <w:pStyle w:val="BodyText"/>
        <w:ind w:left="481" w:right="530" w:firstLine="1"/>
        <w:spacing w:before="341" w:line="228" w:lineRule="auto"/>
        <w:jc w:val="both"/>
        <w:rPr/>
      </w:pPr>
      <w:r>
        <w:rPr>
          <w:color w:val="B8BFC6"/>
          <w:spacing w:val="-1"/>
        </w:rPr>
        <w:t>在终测推理前核验图像、标注来源、实例行号、模型</w:t>
      </w:r>
      <w:r>
        <w:rPr>
          <w:rFonts w:ascii="Arial" w:hAnsi="Arial" w:eastAsia="Arial" w:cs="Arial"/>
          <w:color w:val="B8BFC6"/>
          <w:spacing w:val="-1"/>
        </w:rPr>
        <w:t>/</w:t>
      </w:r>
      <w:r>
        <w:rPr>
          <w:color w:val="B8BFC6"/>
          <w:spacing w:val="-1"/>
        </w:rPr>
        <w:t>配置哈希与运行环境，并用完整</w:t>
      </w:r>
      <w:r>
        <w:rPr>
          <w:rFonts w:ascii="Arial" w:hAnsi="Arial" w:eastAsia="Arial" w:cs="Arial"/>
          <w:color w:val="B8BFC6"/>
          <w:spacing w:val="-1"/>
        </w:rPr>
        <w:t>val</w:t>
      </w:r>
      <w:r>
        <w:rPr>
          <w:color w:val="B8BFC6"/>
          <w:spacing w:val="-1"/>
        </w:rPr>
        <w:t>重放五组方案；</w:t>
      </w:r>
      <w:r>
        <w:rPr>
          <w:color w:val="B8BFC6"/>
          <w:spacing w:val="18"/>
        </w:rPr>
        <w:t xml:space="preserve"> </w:t>
      </w:r>
      <w:r>
        <w:rPr>
          <w:rFonts w:ascii="Arial" w:hAnsi="Arial" w:eastAsia="Arial" w:cs="Arial"/>
          <w:color w:val="B8BFC6"/>
        </w:rPr>
        <w:t>110</w:t>
      </w:r>
      <w:r>
        <w:rPr>
          <w:color w:val="B8BFC6"/>
        </w:rPr>
        <w:t>项指标与封存结果完全一致。固定方案为原</w:t>
      </w:r>
      <w:r>
        <w:rPr>
          <w:rFonts w:ascii="Arial" w:hAnsi="Arial" w:eastAsia="Arial" w:cs="Arial"/>
          <w:color w:val="B8BFC6"/>
        </w:rPr>
        <w:t>YO</w:t>
      </w:r>
      <w:r>
        <w:rPr>
          <w:rFonts w:ascii="Arial" w:hAnsi="Arial" w:eastAsia="Arial" w:cs="Arial"/>
          <w:color w:val="B8BFC6"/>
          <w:spacing w:val="-1"/>
        </w:rPr>
        <w:t>LO</w:t>
      </w:r>
      <w:r>
        <w:rPr>
          <w:color w:val="B8BFC6"/>
          <w:spacing w:val="-1"/>
        </w:rPr>
        <w:t>、原</w:t>
      </w:r>
      <w:r>
        <w:rPr>
          <w:rFonts w:ascii="Arial" w:hAnsi="Arial" w:eastAsia="Arial" w:cs="Arial"/>
          <w:color w:val="B8BFC6"/>
          <w:spacing w:val="-1"/>
        </w:rPr>
        <w:t>YOLO</w:t>
      </w:r>
      <w:r>
        <w:rPr>
          <w:color w:val="B8BFC6"/>
          <w:spacing w:val="-1"/>
        </w:rPr>
        <w:t>＋同类</w:t>
      </w:r>
      <w:r>
        <w:rPr>
          <w:rFonts w:ascii="Arial" w:hAnsi="Arial" w:eastAsia="Arial" w:cs="Arial"/>
          <w:color w:val="B8BFC6"/>
          <w:spacing w:val="-1"/>
        </w:rPr>
        <w:t>NMS</w:t>
      </w:r>
      <w:r>
        <w:rPr>
          <w:color w:val="B8BFC6"/>
          <w:spacing w:val="-1"/>
        </w:rPr>
        <w:t>、</w:t>
      </w:r>
      <w:r>
        <w:rPr>
          <w:rFonts w:ascii="Arial" w:hAnsi="Arial" w:eastAsia="Arial" w:cs="Arial"/>
          <w:color w:val="B8BFC6"/>
          <w:spacing w:val="-1"/>
        </w:rPr>
        <w:t>RR22</w:t>
      </w:r>
      <w:r>
        <w:rPr>
          <w:color w:val="B8BFC6"/>
          <w:spacing w:val="-1"/>
        </w:rPr>
        <w:t>、原缺陷排序主方</w:t>
      </w:r>
      <w:r>
        <w:rPr>
          <w:color w:val="B8BFC6"/>
        </w:rPr>
        <w:t>案及主方案＋输出细化，固定报告种子</w:t>
      </w:r>
      <w:r>
        <w:rPr>
          <w:rFonts w:ascii="Arial" w:hAnsi="Arial" w:eastAsia="Arial" w:cs="Arial"/>
          <w:color w:val="B8BFC6"/>
        </w:rPr>
        <w:t>20261025</w:t>
      </w:r>
      <w:r>
        <w:rPr>
          <w:color w:val="B8BFC6"/>
        </w:rPr>
        <w:t>。使用同一个冻结检测前向产生各方案所需预测</w:t>
      </w:r>
      <w:r>
        <w:rPr>
          <w:color w:val="B8BFC6"/>
          <w:spacing w:val="-1"/>
        </w:rPr>
        <w:t>，推理</w:t>
      </w:r>
      <w:r>
        <w:rPr>
          <w:color w:val="B8BFC6"/>
          <w:spacing w:val="-1"/>
        </w:rPr>
        <w:t>不接收</w:t>
      </w:r>
      <w:r>
        <w:rPr>
          <w:rFonts w:ascii="Arial" w:hAnsi="Arial" w:eastAsia="Arial" w:cs="Arial"/>
          <w:color w:val="B8BFC6"/>
          <w:spacing w:val="-1"/>
        </w:rPr>
        <w:t>GT</w:t>
      </w:r>
      <w:r>
        <w:rPr>
          <w:color w:val="B8BFC6"/>
          <w:spacing w:val="-1"/>
        </w:rPr>
        <w:t>；保存预测后按统一口径评价。未依据</w:t>
      </w:r>
      <w:r>
        <w:rPr>
          <w:rFonts w:ascii="Arial" w:hAnsi="Arial" w:eastAsia="Arial" w:cs="Arial"/>
          <w:color w:val="B8BFC6"/>
          <w:spacing w:val="-1"/>
        </w:rPr>
        <w:t>test</w:t>
      </w:r>
      <w:r>
        <w:rPr>
          <w:color w:val="B8BFC6"/>
          <w:spacing w:val="-1"/>
        </w:rPr>
        <w:t>结果改变模型、阈值、</w:t>
      </w:r>
      <w:r>
        <w:rPr>
          <w:rFonts w:ascii="Arial" w:hAnsi="Arial" w:eastAsia="Arial" w:cs="Arial"/>
          <w:color w:val="B8BFC6"/>
          <w:spacing w:val="-1"/>
        </w:rPr>
        <w:t>NMS</w:t>
      </w:r>
      <w:r>
        <w:rPr>
          <w:color w:val="B8BFC6"/>
          <w:spacing w:val="-1"/>
        </w:rPr>
        <w:t>或方案角色。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482" w:right="543" w:firstLine="2"/>
        <w:spacing w:before="103" w:line="215" w:lineRule="auto"/>
        <w:rPr/>
      </w:pPr>
      <w:r>
        <w:rPr>
          <w:color w:val="B8BFC6"/>
        </w:rPr>
        <w:t>主终点延续测试前冻结协议，为主方案相对</w:t>
      </w:r>
      <w:r>
        <w:rPr>
          <w:rFonts w:ascii="Arial" w:hAnsi="Arial" w:eastAsia="Arial" w:cs="Arial"/>
          <w:color w:val="B8BFC6"/>
        </w:rPr>
        <w:t>RR22</w:t>
      </w:r>
      <w:r>
        <w:rPr>
          <w:color w:val="B8BFC6"/>
        </w:rPr>
        <w:t>的</w:t>
      </w:r>
      <w:r>
        <w:rPr>
          <w:rFonts w:ascii="Arial" w:hAnsi="Arial" w:eastAsia="Arial" w:cs="Arial"/>
          <w:color w:val="B8BFC6"/>
        </w:rPr>
        <w:t>Mask</w:t>
      </w:r>
      <w:r>
        <w:rPr>
          <w:rFonts w:ascii="Arial" w:hAnsi="Arial" w:eastAsia="Arial" w:cs="Arial"/>
          <w:color w:val="B8BFC6"/>
          <w:spacing w:val="-13"/>
        </w:rPr>
        <w:t xml:space="preserve"> </w:t>
      </w:r>
      <w:r>
        <w:rPr>
          <w:rFonts w:ascii="Arial" w:hAnsi="Arial" w:eastAsia="Arial" w:cs="Arial"/>
          <w:color w:val="B8BFC6"/>
        </w:rPr>
        <w:t>AP50</w:t>
      </w:r>
      <w:r>
        <w:rPr>
          <w:color w:val="B8BFC6"/>
        </w:rPr>
        <w:t>差值；其余指标与原</w:t>
      </w:r>
      <w:r>
        <w:rPr>
          <w:rFonts w:ascii="Arial" w:hAnsi="Arial" w:eastAsia="Arial" w:cs="Arial"/>
          <w:color w:val="B8BFC6"/>
        </w:rPr>
        <w:t>YOL</w:t>
      </w:r>
      <w:r>
        <w:rPr>
          <w:rFonts w:ascii="Arial" w:hAnsi="Arial" w:eastAsia="Arial" w:cs="Arial"/>
          <w:color w:val="B8BFC6"/>
          <w:spacing w:val="-1"/>
        </w:rPr>
        <w:t>O</w:t>
      </w:r>
      <w:r>
        <w:rPr>
          <w:color w:val="B8BFC6"/>
          <w:spacing w:val="-1"/>
        </w:rPr>
        <w:t>对照作为次要</w:t>
      </w:r>
      <w:r>
        <w:rPr>
          <w:color w:val="B8BFC6"/>
        </w:rPr>
        <w:t>结果完整报告。</w:t>
      </w:r>
      <w:r>
        <w:rPr>
          <w:rFonts w:ascii="Arial" w:hAnsi="Arial" w:eastAsia="Arial" w:cs="Arial"/>
          <w:color w:val="B8BFC6"/>
        </w:rPr>
        <w:t>test</w:t>
      </w:r>
      <w:r>
        <w:rPr>
          <w:color w:val="B8BFC6"/>
        </w:rPr>
        <w:t>区间采用</w:t>
      </w:r>
      <w:r>
        <w:rPr>
          <w:rFonts w:ascii="Arial" w:hAnsi="Arial" w:eastAsia="Arial" w:cs="Arial"/>
          <w:color w:val="B8BFC6"/>
        </w:rPr>
        <w:t>2,000</w:t>
      </w:r>
      <w:r>
        <w:rPr>
          <w:color w:val="B8BFC6"/>
        </w:rPr>
        <w:t>次按四个既有来源范围分层的整图配对</w:t>
      </w:r>
      <w:r>
        <w:rPr>
          <w:rFonts w:ascii="Arial" w:hAnsi="Arial" w:eastAsia="Arial" w:cs="Arial"/>
          <w:color w:val="B8BFC6"/>
        </w:rPr>
        <w:t>bootst</w:t>
      </w:r>
      <w:r>
        <w:rPr>
          <w:rFonts w:ascii="Arial" w:hAnsi="Arial" w:eastAsia="Arial" w:cs="Arial"/>
          <w:color w:val="B8BFC6"/>
          <w:spacing w:val="-1"/>
        </w:rPr>
        <w:t>rap</w:t>
      </w:r>
      <w:r>
        <w:rPr>
          <w:color w:val="B8BFC6"/>
          <w:spacing w:val="-1"/>
        </w:rPr>
        <w:t>，随机种子</w:t>
      </w:r>
    </w:p>
    <w:p>
      <w:pPr>
        <w:pStyle w:val="BodyText"/>
        <w:ind w:left="481" w:right="534" w:firstLine="5"/>
        <w:spacing w:before="1" w:line="227" w:lineRule="auto"/>
        <w:rPr/>
      </w:pPr>
      <w:r>
        <w:rPr>
          <w:rFonts w:ascii="Arial" w:hAnsi="Arial" w:eastAsia="Arial" w:cs="Arial"/>
          <w:color w:val="B8BFC6"/>
        </w:rPr>
        <w:t>20261027</w:t>
      </w:r>
      <w:r>
        <w:rPr>
          <w:color w:val="B8BFC6"/>
        </w:rPr>
        <w:t>。方案和主终点在测试前冻结；具体重采样参数在查看测试点估</w:t>
      </w:r>
      <w:r>
        <w:rPr>
          <w:color w:val="B8BFC6"/>
          <w:spacing w:val="-1"/>
        </w:rPr>
        <w:t>计后、计算区间前记录，因此</w:t>
      </w:r>
      <w:r>
        <w:rPr>
          <w:color w:val="B8BFC6"/>
          <w:spacing w:val="-1"/>
        </w:rPr>
        <w:t>不描述为前瞻注册的完整统计分析。报告逐项</w:t>
      </w:r>
      <w:r>
        <w:rPr>
          <w:rFonts w:ascii="Arial" w:hAnsi="Arial" w:eastAsia="Arial" w:cs="Arial"/>
          <w:color w:val="B8BFC6"/>
          <w:spacing w:val="-1"/>
        </w:rPr>
        <w:t>95%</w:t>
      </w:r>
      <w:r>
        <w:rPr>
          <w:color w:val="B8BFC6"/>
          <w:spacing w:val="-1"/>
        </w:rPr>
        <w:t>百分位区间，不作多重检验校正或显著性星号推断。</w:t>
      </w:r>
    </w:p>
    <w:p>
      <w:pPr>
        <w:pStyle w:val="BodyText"/>
        <w:ind w:left="484"/>
        <w:spacing w:before="1" w:line="234" w:lineRule="auto"/>
        <w:rPr/>
      </w:pPr>
      <w:r>
        <w:rPr>
          <w:color w:val="B8BFC6"/>
        </w:rPr>
        <w:t>重采样始终保留同图全部实例，并保持跨方案相同的图像重复次数；</w:t>
      </w:r>
      <w:r>
        <w:rPr>
          <w:rFonts w:ascii="Arial" w:hAnsi="Arial" w:eastAsia="Arial" w:cs="Arial"/>
          <w:color w:val="B8BFC6"/>
        </w:rPr>
        <w:t>2,000</w:t>
      </w:r>
      <w:r>
        <w:rPr>
          <w:color w:val="B8BFC6"/>
        </w:rPr>
        <w:t>次抽样均包</w:t>
      </w:r>
      <w:r>
        <w:rPr>
          <w:color w:val="B8BFC6"/>
          <w:spacing w:val="-1"/>
        </w:rPr>
        <w:t>含四类</w:t>
      </w:r>
      <w:r>
        <w:rPr>
          <w:rFonts w:ascii="Arial" w:hAnsi="Arial" w:eastAsia="Arial" w:cs="Arial"/>
          <w:color w:val="B8BFC6"/>
          <w:spacing w:val="-1"/>
        </w:rPr>
        <w:t>GT</w:t>
      </w:r>
      <w:r>
        <w:rPr>
          <w:color w:val="B8BFC6"/>
          <w:spacing w:val="-1"/>
        </w:rPr>
        <w:t>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483" w:right="477"/>
        <w:spacing w:before="104" w:line="223" w:lineRule="auto"/>
        <w:jc w:val="both"/>
        <w:rPr/>
      </w:pPr>
      <w:r>
        <w:rPr>
          <w:color w:val="B8BFC6"/>
        </w:rPr>
        <w:t>连续评分、缺陷及果梗的独立</w:t>
      </w:r>
      <w:r>
        <w:rPr>
          <w:rFonts w:ascii="Arial" w:hAnsi="Arial" w:eastAsia="Arial" w:cs="Arial"/>
          <w:color w:val="B8BFC6"/>
        </w:rPr>
        <w:t>test</w:t>
      </w:r>
      <w:r>
        <w:rPr>
          <w:color w:val="B8BFC6"/>
        </w:rPr>
        <w:t>目标尚未核实，故不报告相</w:t>
      </w:r>
      <w:r>
        <w:rPr>
          <w:color w:val="B8BFC6"/>
          <w:spacing w:val="-1"/>
        </w:rPr>
        <w:t>应</w:t>
      </w:r>
      <w:r>
        <w:rPr>
          <w:rFonts w:ascii="Arial" w:hAnsi="Arial" w:eastAsia="Arial" w:cs="Arial"/>
          <w:color w:val="B8BFC6"/>
          <w:spacing w:val="-1"/>
        </w:rPr>
        <w:t>test</w:t>
      </w:r>
      <w:r>
        <w:rPr>
          <w:rFonts w:ascii="Arial" w:hAnsi="Arial" w:eastAsia="Arial" w:cs="Arial"/>
          <w:color w:val="B8BFC6"/>
          <w:spacing w:val="17"/>
        </w:rPr>
        <w:t xml:space="preserve"> </w:t>
      </w:r>
      <w:r>
        <w:rPr>
          <w:rFonts w:ascii="Arial" w:hAnsi="Arial" w:eastAsia="Arial" w:cs="Arial"/>
          <w:color w:val="B8BFC6"/>
          <w:spacing w:val="-1"/>
        </w:rPr>
        <w:t>MAE</w:t>
      </w:r>
      <w:r>
        <w:rPr>
          <w:color w:val="B8BFC6"/>
          <w:spacing w:val="-1"/>
        </w:rPr>
        <w:t>或属性准确率。共享前向终测的</w:t>
      </w:r>
      <w:r>
        <w:rPr>
          <w:color w:val="B8BFC6"/>
        </w:rPr>
        <w:t>总运行时间包含</w:t>
      </w:r>
      <w:r>
        <w:rPr>
          <w:rFonts w:ascii="Arial" w:hAnsi="Arial" w:eastAsia="Arial" w:cs="Arial"/>
          <w:color w:val="B8BFC6"/>
        </w:rPr>
        <w:t>GT</w:t>
      </w:r>
      <w:r>
        <w:rPr>
          <w:color w:val="B8BFC6"/>
        </w:rPr>
        <w:t>读取、</w:t>
      </w:r>
      <w:r>
        <w:rPr>
          <w:color w:val="B8BFC6"/>
          <w:spacing w:val="-49"/>
        </w:rPr>
        <w:t xml:space="preserve"> </w:t>
      </w:r>
      <w:r>
        <w:rPr>
          <w:rFonts w:ascii="Arial" w:hAnsi="Arial" w:eastAsia="Arial" w:cs="Arial"/>
          <w:color w:val="B8BFC6"/>
        </w:rPr>
        <w:t>IoU</w:t>
      </w:r>
      <w:r>
        <w:rPr>
          <w:color w:val="B8BFC6"/>
        </w:rPr>
        <w:t>计算与文件保存</w:t>
      </w:r>
      <w:r>
        <w:rPr>
          <w:color w:val="B8BFC6"/>
          <w:spacing w:val="-1"/>
        </w:rPr>
        <w:t>，不作为单方案推理延迟；速度对照仍使用第</w:t>
      </w:r>
      <w:r>
        <w:rPr>
          <w:rFonts w:ascii="Arial" w:hAnsi="Arial" w:eastAsia="Arial" w:cs="Arial"/>
          <w:color w:val="B8BFC6"/>
          <w:spacing w:val="-1"/>
        </w:rPr>
        <w:t>5.5</w:t>
      </w:r>
      <w:r>
        <w:rPr>
          <w:color w:val="B8BFC6"/>
          <w:spacing w:val="-1"/>
        </w:rPr>
        <w:t>节开发图</w:t>
      </w:r>
      <w:r>
        <w:rPr>
          <w:color w:val="B8BFC6"/>
          <w:spacing w:val="-6"/>
        </w:rPr>
        <w:t>像上的独立计时。</w:t>
      </w:r>
    </w:p>
    <w:p>
      <w:pPr>
        <w:pStyle w:val="BodyText"/>
        <w:ind w:left="497"/>
        <w:spacing w:before="346" w:line="184" w:lineRule="auto"/>
        <w:outlineLvl w:val="1"/>
        <w:rPr>
          <w:sz w:val="39"/>
          <w:szCs w:val="39"/>
        </w:rPr>
      </w:pPr>
      <w:r>
        <w:rPr>
          <w:rFonts w:ascii="Corbel" w:hAnsi="Corbel" w:eastAsia="Corbel" w:cs="Corbel"/>
          <w:sz w:val="39"/>
          <w:szCs w:val="39"/>
          <w:b/>
          <w:bCs/>
          <w:color w:val="DEDEDE"/>
          <w:spacing w:val="-11"/>
        </w:rPr>
        <w:t>5</w:t>
      </w:r>
      <w:r>
        <w:rPr>
          <w:rFonts w:ascii="Corbel" w:hAnsi="Corbel" w:eastAsia="Corbel" w:cs="Corbel"/>
          <w:sz w:val="39"/>
          <w:szCs w:val="39"/>
          <w:b/>
          <w:bCs/>
          <w:color w:val="DEDEDE"/>
          <w:spacing w:val="-19"/>
        </w:rPr>
        <w:t xml:space="preserve"> </w:t>
      </w:r>
      <w:r>
        <w:rPr>
          <w:sz w:val="39"/>
          <w:szCs w:val="39"/>
          <w:b/>
          <w:bCs/>
          <w:color w:val="DEDEDE"/>
          <w:spacing w:val="-11"/>
        </w:rPr>
        <w:t>实验结果</w:t>
      </w:r>
    </w:p>
    <w:p>
      <w:pPr>
        <w:pStyle w:val="BodyText"/>
        <w:ind w:left="492"/>
        <w:spacing w:before="303" w:line="183" w:lineRule="auto"/>
        <w:outlineLvl w:val="2"/>
        <w:rPr>
          <w:sz w:val="28"/>
          <w:szCs w:val="28"/>
        </w:rPr>
      </w:pP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3"/>
        </w:rPr>
        <w:t>5.1</w:t>
      </w: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7"/>
        </w:rPr>
        <w:t xml:space="preserve"> </w:t>
      </w:r>
      <w:r>
        <w:rPr>
          <w:sz w:val="28"/>
          <w:szCs w:val="28"/>
          <w:b/>
          <w:bCs/>
          <w:color w:val="DEDEDE"/>
          <w:spacing w:val="-13"/>
        </w:rPr>
        <w:t>开发集完整流程对照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82" w:right="504" w:firstLine="1"/>
        <w:spacing w:before="103" w:line="234" w:lineRule="auto"/>
        <w:jc w:val="both"/>
        <w:rPr/>
      </w:pPr>
      <w:r>
        <w:rPr>
          <w:color w:val="B8BFC6"/>
        </w:rPr>
        <w:t>表</w:t>
      </w:r>
      <w:r>
        <w:rPr>
          <w:rFonts w:ascii="Arial" w:hAnsi="Arial" w:eastAsia="Arial" w:cs="Arial"/>
          <w:color w:val="B8BFC6"/>
        </w:rPr>
        <w:t>2</w:t>
      </w:r>
      <w:r>
        <w:rPr>
          <w:color w:val="B8BFC6"/>
        </w:rPr>
        <w:t>汇总固定种子的最新结果及前阶段相同协议的分级强对照。分层参考相对直接检测器提高</w:t>
      </w:r>
      <w:r>
        <w:rPr>
          <w:color w:val="B8BFC6"/>
          <w:spacing w:val="-1"/>
        </w:rPr>
        <w:t>了正确分级</w:t>
      </w:r>
      <w:r>
        <w:rPr>
          <w:color w:val="B8BFC6"/>
        </w:rPr>
        <w:t>数；最近排序进一步改变</w:t>
      </w:r>
      <w:r>
        <w:rPr>
          <w:rFonts w:ascii="Arial" w:hAnsi="Arial" w:eastAsia="Arial" w:cs="Arial"/>
          <w:color w:val="B8BFC6"/>
        </w:rPr>
        <w:t>AP</w:t>
      </w:r>
      <w:r>
        <w:rPr>
          <w:color w:val="B8BFC6"/>
        </w:rPr>
        <w:t>，但正确分级数不变。原</w:t>
      </w:r>
      <w:r>
        <w:rPr>
          <w:rFonts w:ascii="Arial" w:hAnsi="Arial" w:eastAsia="Arial" w:cs="Arial"/>
          <w:color w:val="B8BFC6"/>
        </w:rPr>
        <w:t>YOLO</w:t>
      </w:r>
      <w:r>
        <w:rPr>
          <w:color w:val="B8BFC6"/>
        </w:rPr>
        <w:t>追加同等</w:t>
      </w:r>
      <w:r>
        <w:rPr>
          <w:rFonts w:ascii="Arial" w:hAnsi="Arial" w:eastAsia="Arial" w:cs="Arial"/>
          <w:color w:val="B8BFC6"/>
        </w:rPr>
        <w:t>NMS</w:t>
      </w:r>
      <w:r>
        <w:rPr>
          <w:color w:val="B8BFC6"/>
        </w:rPr>
        <w:t>的对照，则揭示共享</w:t>
      </w:r>
      <w:r>
        <w:rPr>
          <w:color w:val="B8BFC6"/>
          <w:spacing w:val="-1"/>
        </w:rPr>
        <w:t>重复删除</w:t>
      </w:r>
      <w:r>
        <w:rPr>
          <w:color w:val="B8BFC6"/>
          <w:spacing w:val="-7"/>
        </w:rPr>
        <w:t>操作的收益。</w:t>
      </w:r>
    </w:p>
    <w:p>
      <w:pPr>
        <w:pStyle w:val="BodyText"/>
        <w:ind w:left="492" w:right="930" w:hanging="9"/>
        <w:spacing w:before="282" w:line="237" w:lineRule="auto"/>
        <w:rPr/>
      </w:pPr>
      <w:r>
        <w:rPr>
          <w:color w:val="B8BFC6"/>
        </w:rPr>
        <w:t>表</w:t>
      </w:r>
      <w:r>
        <w:rPr>
          <w:rFonts w:ascii="Arial" w:hAnsi="Arial" w:eastAsia="Arial" w:cs="Arial"/>
          <w:color w:val="B8BFC6"/>
        </w:rPr>
        <w:t>2 </w:t>
      </w:r>
      <w:r>
        <w:rPr>
          <w:color w:val="B8BFC6"/>
        </w:rPr>
        <w:t>开发集分割与分级结果。</w:t>
      </w:r>
      <w:r>
        <w:rPr>
          <w:rFonts w:ascii="Arial" w:hAnsi="Arial" w:eastAsia="Arial" w:cs="Arial"/>
          <w:color w:val="B8BFC6"/>
        </w:rPr>
        <w:t>AP</w:t>
      </w:r>
      <w:r>
        <w:rPr>
          <w:color w:val="B8BFC6"/>
        </w:rPr>
        <w:t>单位为百分比。各行在固定原始置信度操作范围内均定位</w:t>
      </w:r>
      <w:r>
        <w:rPr>
          <w:rFonts w:ascii="Arial" w:hAnsi="Arial" w:eastAsia="Arial" w:cs="Arial"/>
          <w:color w:val="B8BFC6"/>
        </w:rPr>
        <w:t>500</w:t>
      </w:r>
      <w:r>
        <w:rPr>
          <w:rFonts w:ascii="Arial" w:hAnsi="Arial" w:eastAsia="Arial" w:cs="Arial"/>
          <w:color w:val="B8BFC6"/>
          <w:spacing w:val="-1"/>
        </w:rPr>
        <w:t>/518</w:t>
      </w:r>
      <w:r>
        <w:rPr>
          <w:color w:val="B8BFC6"/>
          <w:spacing w:val="-1"/>
        </w:rPr>
        <w:t>个</w:t>
      </w:r>
      <w:r>
        <w:rPr>
          <w:rFonts w:ascii="Arial" w:hAnsi="Arial" w:eastAsia="Arial" w:cs="Arial"/>
          <w:color w:val="B8BFC6"/>
          <w:spacing w:val="-2"/>
        </w:rPr>
        <w:t>GT</w:t>
      </w:r>
      <w:r>
        <w:rPr>
          <w:color w:val="B8BFC6"/>
          <w:spacing w:val="-2"/>
        </w:rPr>
        <w:t>。历史分级对照采用共同全</w:t>
      </w:r>
      <w:r>
        <w:rPr>
          <w:rFonts w:ascii="Arial" w:hAnsi="Arial" w:eastAsia="Arial" w:cs="Arial"/>
          <w:color w:val="B8BFC6"/>
          <w:spacing w:val="-2"/>
        </w:rPr>
        <w:t>GT/NMS</w:t>
      </w:r>
      <w:r>
        <w:rPr>
          <w:color w:val="B8BFC6"/>
          <w:spacing w:val="-2"/>
        </w:rPr>
        <w:t>协议，不混入其历史耗时。</w:t>
      </w:r>
    </w:p>
    <w:p>
      <w:pPr>
        <w:spacing w:before="63"/>
        <w:rPr/>
      </w:pPr>
      <w:r/>
    </w:p>
    <w:tbl>
      <w:tblPr>
        <w:tblStyle w:val="TableNormal"/>
        <w:tblW w:w="10950" w:type="dxa"/>
        <w:tblInd w:w="487" w:type="dxa"/>
        <w:tblLayout w:type="fixed"/>
        <w:tblBorders>
          <w:top w:val="single" w:color="474D54" w:sz="6" w:space="0"/>
          <w:left w:val="single" w:color="474D54" w:sz="6" w:space="0"/>
          <w:bottom w:val="single" w:color="474D54" w:sz="6" w:space="0"/>
          <w:right w:val="single" w:color="474D54" w:sz="6" w:space="0"/>
          <w:insideH w:val="single" w:color="474D54" w:sz="6" w:space="0"/>
          <w:insideV w:val="single" w:color="474D54" w:sz="6" w:space="0"/>
        </w:tblBorders>
      </w:tblPr>
      <w:tblGrid>
        <w:gridCol w:w="2884"/>
        <w:gridCol w:w="1633"/>
        <w:gridCol w:w="1857"/>
        <w:gridCol w:w="1273"/>
        <w:gridCol w:w="1603"/>
        <w:gridCol w:w="1700"/>
      </w:tblGrid>
      <w:tr>
        <w:trPr>
          <w:trHeight w:val="932" w:hRule="atLeast"/>
        </w:trPr>
        <w:tc>
          <w:tcPr>
            <w:tcW w:w="2884" w:type="dxa"/>
            <w:vAlign w:val="top"/>
          </w:tcPr>
          <w:p>
            <w:pPr>
              <w:ind w:left="153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1"/>
              </w:rPr>
              <w:t>方法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ind w:left="228" w:right="148"/>
              <w:spacing w:before="171" w:line="262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b/>
                <w:bCs/>
                <w:color w:val="DEDEDE"/>
                <w:spacing w:val="-3"/>
              </w:rPr>
              <w:t>Mask AP50</w:t>
            </w:r>
            <w:r>
              <w:rPr>
                <w:b/>
                <w:bCs/>
                <w:color w:val="DEDEDE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1"/>
              </w:rPr>
              <w:t>（</w:t>
            </w:r>
            <w:r>
              <w:rPr>
                <w:b/>
                <w:bCs/>
                <w:color w:val="DEDEDE"/>
                <w:spacing w:val="-11"/>
              </w:rPr>
              <w:t>%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1"/>
              </w:rPr>
              <w:t>）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324" w:right="142"/>
              <w:spacing w:before="171" w:line="262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b/>
                <w:bCs/>
                <w:color w:val="DEDEDE"/>
                <w:spacing w:val="-3"/>
              </w:rPr>
              <w:t>Mask AP50–</w:t>
            </w:r>
            <w:r>
              <w:rPr>
                <w:b/>
                <w:bCs/>
                <w:color w:val="DEDEDE"/>
                <w:spacing w:val="2"/>
              </w:rPr>
              <w:t xml:space="preserve"> </w:t>
            </w:r>
            <w:r>
              <w:rPr>
                <w:b/>
                <w:bCs/>
                <w:color w:val="DEDEDE"/>
                <w:spacing w:val="-2"/>
              </w:rPr>
              <w:t>95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2"/>
              </w:rPr>
              <w:t>（</w:t>
            </w:r>
            <w:r>
              <w:rPr>
                <w:b/>
                <w:bCs/>
                <w:color w:val="DEDEDE"/>
                <w:spacing w:val="-2"/>
              </w:rPr>
              <w:t>%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2"/>
              </w:rPr>
              <w:t>）</w:t>
            </w:r>
          </w:p>
        </w:tc>
        <w:tc>
          <w:tcPr>
            <w:tcW w:w="1273" w:type="dxa"/>
            <w:vAlign w:val="top"/>
          </w:tcPr>
          <w:p>
            <w:pPr>
              <w:pStyle w:val="TableText"/>
              <w:ind w:left="867" w:right="152" w:hanging="544"/>
              <w:spacing w:before="139" w:line="22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2"/>
              </w:rPr>
              <w:t>正确</w:t>
            </w:r>
            <w:r>
              <w:rPr>
                <w:b/>
                <w:bCs/>
                <w:color w:val="DEDEDE"/>
                <w:spacing w:val="-2"/>
              </w:rPr>
              <w:t>/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2"/>
              </w:rPr>
              <w:t>定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4"/>
              </w:rPr>
              <w:t>位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249" w:right="143"/>
              <w:spacing w:before="139" w:line="228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"/>
              </w:rPr>
              <w:t>条件准确率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1"/>
              </w:rPr>
              <w:t>（</w:t>
            </w:r>
            <w:r>
              <w:rPr>
                <w:b/>
                <w:bCs/>
                <w:color w:val="DEDEDE"/>
                <w:spacing w:val="-11"/>
              </w:rPr>
              <w:t>%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1"/>
              </w:rPr>
              <w:t>）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179" w:right="150"/>
              <w:spacing w:before="142" w:line="227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"/>
              </w:rPr>
              <w:t>正确</w:t>
            </w:r>
            <w:r>
              <w:rPr>
                <w:b/>
                <w:bCs/>
                <w:color w:val="DEDEDE"/>
                <w:spacing w:val="-1"/>
              </w:rPr>
              <w:t>/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"/>
              </w:rPr>
              <w:t>全部</w:t>
            </w:r>
            <w:r>
              <w:rPr>
                <w:b/>
                <w:bCs/>
                <w:color w:val="DEDEDE"/>
                <w:spacing w:val="-1"/>
              </w:rPr>
              <w:t>GT</w:t>
            </w:r>
            <w:r>
              <w:rPr>
                <w:b/>
                <w:bCs/>
                <w:color w:val="DEDEDE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1"/>
              </w:rPr>
              <w:t>（</w:t>
            </w:r>
            <w:r>
              <w:rPr>
                <w:b/>
                <w:bCs/>
                <w:color w:val="DEDEDE"/>
                <w:spacing w:val="-11"/>
              </w:rPr>
              <w:t>%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1"/>
              </w:rPr>
              <w:t>）</w:t>
            </w:r>
          </w:p>
        </w:tc>
      </w:tr>
      <w:tr>
        <w:trPr>
          <w:trHeight w:val="536" w:hRule="atLeast"/>
        </w:trPr>
        <w:tc>
          <w:tcPr>
            <w:tcW w:w="2884" w:type="dxa"/>
            <w:vAlign w:val="top"/>
          </w:tcPr>
          <w:p>
            <w:pPr>
              <w:pStyle w:val="TableText"/>
              <w:ind w:left="151"/>
              <w:spacing w:before="156" w:line="173" w:lineRule="auto"/>
              <w:rPr/>
            </w:pP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原</w:t>
            </w:r>
            <w:r>
              <w:rPr>
                <w:color w:val="B8BFC6"/>
                <w:spacing w:val="-1"/>
              </w:rPr>
              <w:t>YOLO26n-seg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ind w:left="878"/>
              <w:spacing w:before="93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83.48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1110"/>
              <w:spacing w:before="93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70.21</w:t>
            </w:r>
          </w:p>
        </w:tc>
        <w:tc>
          <w:tcPr>
            <w:tcW w:w="1273" w:type="dxa"/>
            <w:vAlign w:val="top"/>
          </w:tcPr>
          <w:p>
            <w:pPr>
              <w:pStyle w:val="TableText"/>
              <w:ind w:left="240"/>
              <w:spacing w:before="93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416/500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987"/>
              <w:spacing w:before="93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83.2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944"/>
              <w:spacing w:before="93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80.31</w:t>
            </w:r>
          </w:p>
        </w:tc>
      </w:tr>
      <w:tr>
        <w:trPr>
          <w:trHeight w:val="932" w:hRule="atLeast"/>
        </w:trPr>
        <w:tc>
          <w:tcPr>
            <w:tcW w:w="2884" w:type="dxa"/>
            <w:vAlign w:val="top"/>
          </w:tcPr>
          <w:p>
            <w:pPr>
              <w:pStyle w:val="TableText"/>
              <w:ind w:left="167" w:right="231" w:hanging="16"/>
              <w:spacing w:before="143" w:line="262" w:lineRule="auto"/>
              <w:rPr/>
            </w:pP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原</w:t>
            </w:r>
            <w:r>
              <w:rPr>
                <w:color w:val="B8BFC6"/>
                <w:spacing w:val="-1"/>
              </w:rPr>
              <w:t>YOLO26n-seg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＋真实</w:t>
            </w:r>
            <w:r>
              <w:rPr>
                <w:color w:val="B8BFC6"/>
                <w:spacing w:val="-7"/>
              </w:rPr>
              <w:t>NMS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ind w:left="878"/>
              <w:spacing w:before="97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84.15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1110"/>
              <w:spacing w:before="97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70.68</w:t>
            </w:r>
          </w:p>
        </w:tc>
        <w:tc>
          <w:tcPr>
            <w:tcW w:w="1273" w:type="dxa"/>
            <w:vAlign w:val="top"/>
          </w:tcPr>
          <w:p>
            <w:pPr>
              <w:pStyle w:val="TableText"/>
              <w:ind w:left="240"/>
              <w:spacing w:before="97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416/500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987"/>
              <w:spacing w:before="97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83.2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944"/>
              <w:spacing w:before="97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80.31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45"/>
          <w:pgSz w:w="11919" w:h="16858"/>
          <w:pgMar w:top="400" w:right="0" w:bottom="921" w:left="0" w:header="0" w:footer="6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9"/>
        <w:rPr/>
      </w:pPr>
      <w:r/>
    </w:p>
    <w:p>
      <w:pPr>
        <w:spacing w:before="8"/>
        <w:rPr/>
      </w:pPr>
      <w:r/>
    </w:p>
    <w:tbl>
      <w:tblPr>
        <w:tblStyle w:val="TableNormal"/>
        <w:tblW w:w="10950" w:type="dxa"/>
        <w:tblInd w:w="487" w:type="dxa"/>
        <w:tblLayout w:type="fixed"/>
        <w:tblBorders>
          <w:top w:val="single" w:color="474D54" w:sz="6" w:space="0"/>
          <w:left w:val="single" w:color="474D54" w:sz="6" w:space="0"/>
          <w:bottom w:val="single" w:color="474D54" w:sz="6" w:space="0"/>
          <w:right w:val="single" w:color="474D54" w:sz="6" w:space="0"/>
          <w:insideH w:val="single" w:color="474D54" w:sz="6" w:space="0"/>
          <w:insideV w:val="single" w:color="474D54" w:sz="6" w:space="0"/>
        </w:tblBorders>
      </w:tblPr>
      <w:tblGrid>
        <w:gridCol w:w="2884"/>
        <w:gridCol w:w="1633"/>
        <w:gridCol w:w="1857"/>
        <w:gridCol w:w="1273"/>
        <w:gridCol w:w="1603"/>
        <w:gridCol w:w="1700"/>
      </w:tblGrid>
      <w:tr>
        <w:trPr>
          <w:trHeight w:val="936" w:hRule="atLeast"/>
        </w:trPr>
        <w:tc>
          <w:tcPr>
            <w:tcW w:w="2884" w:type="dxa"/>
            <w:vAlign w:val="top"/>
          </w:tcPr>
          <w:p>
            <w:pPr>
              <w:ind w:left="153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1"/>
              </w:rPr>
              <w:t>方法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ind w:left="228" w:right="148"/>
              <w:spacing w:before="169" w:line="264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b/>
                <w:bCs/>
                <w:color w:val="DEDEDE"/>
                <w:spacing w:val="-3"/>
              </w:rPr>
              <w:t>Mask AP50</w:t>
            </w:r>
            <w:r>
              <w:rPr>
                <w:b/>
                <w:bCs/>
                <w:color w:val="DEDEDE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1"/>
              </w:rPr>
              <w:t>（</w:t>
            </w:r>
            <w:r>
              <w:rPr>
                <w:b/>
                <w:bCs/>
                <w:color w:val="DEDEDE"/>
                <w:spacing w:val="-11"/>
              </w:rPr>
              <w:t>%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1"/>
              </w:rPr>
              <w:t>）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324" w:right="142"/>
              <w:spacing w:before="169" w:line="264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b/>
                <w:bCs/>
                <w:color w:val="DEDEDE"/>
                <w:spacing w:val="-3"/>
              </w:rPr>
              <w:t>Mask AP50–</w:t>
            </w:r>
            <w:r>
              <w:rPr>
                <w:b/>
                <w:bCs/>
                <w:color w:val="DEDEDE"/>
                <w:spacing w:val="2"/>
              </w:rPr>
              <w:t xml:space="preserve"> </w:t>
            </w:r>
            <w:r>
              <w:rPr>
                <w:b/>
                <w:bCs/>
                <w:color w:val="DEDEDE"/>
                <w:spacing w:val="-2"/>
              </w:rPr>
              <w:t>95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2"/>
              </w:rPr>
              <w:t>（</w:t>
            </w:r>
            <w:r>
              <w:rPr>
                <w:b/>
                <w:bCs/>
                <w:color w:val="DEDEDE"/>
                <w:spacing w:val="-2"/>
              </w:rPr>
              <w:t>%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2"/>
              </w:rPr>
              <w:t>）</w:t>
            </w:r>
          </w:p>
        </w:tc>
        <w:tc>
          <w:tcPr>
            <w:tcW w:w="1273" w:type="dxa"/>
            <w:vAlign w:val="top"/>
          </w:tcPr>
          <w:p>
            <w:pPr>
              <w:pStyle w:val="TableText"/>
              <w:ind w:left="867" w:right="152" w:hanging="544"/>
              <w:spacing w:before="140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2"/>
              </w:rPr>
              <w:t>正确</w:t>
            </w:r>
            <w:r>
              <w:rPr>
                <w:b/>
                <w:bCs/>
                <w:color w:val="DEDEDE"/>
                <w:spacing w:val="-2"/>
              </w:rPr>
              <w:t>/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2"/>
              </w:rPr>
              <w:t>定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4"/>
              </w:rPr>
              <w:t>位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249" w:right="143"/>
              <w:spacing w:before="139" w:line="228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"/>
              </w:rPr>
              <w:t>条件准确率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1"/>
              </w:rPr>
              <w:t>（</w:t>
            </w:r>
            <w:r>
              <w:rPr>
                <w:b/>
                <w:bCs/>
                <w:color w:val="DEDEDE"/>
                <w:spacing w:val="-11"/>
              </w:rPr>
              <w:t>%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1"/>
              </w:rPr>
              <w:t>）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179" w:right="150"/>
              <w:spacing w:before="142" w:line="227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"/>
              </w:rPr>
              <w:t>正确</w:t>
            </w:r>
            <w:r>
              <w:rPr>
                <w:b/>
                <w:bCs/>
                <w:color w:val="DEDEDE"/>
                <w:spacing w:val="-1"/>
              </w:rPr>
              <w:t>/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"/>
              </w:rPr>
              <w:t>全部</w:t>
            </w:r>
            <w:r>
              <w:rPr>
                <w:b/>
                <w:bCs/>
                <w:color w:val="DEDEDE"/>
                <w:spacing w:val="-1"/>
              </w:rPr>
              <w:t>GT</w:t>
            </w:r>
            <w:r>
              <w:rPr>
                <w:b/>
                <w:bCs/>
                <w:color w:val="DEDEDE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1"/>
              </w:rPr>
              <w:t>（</w:t>
            </w:r>
            <w:r>
              <w:rPr>
                <w:b/>
                <w:bCs/>
                <w:color w:val="DEDEDE"/>
                <w:spacing w:val="-11"/>
              </w:rPr>
              <w:t>%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1"/>
              </w:rPr>
              <w:t>）</w:t>
            </w:r>
          </w:p>
        </w:tc>
      </w:tr>
      <w:tr>
        <w:trPr>
          <w:trHeight w:val="928" w:hRule="atLeast"/>
        </w:trPr>
        <w:tc>
          <w:tcPr>
            <w:tcW w:w="2884" w:type="dxa"/>
            <w:vAlign w:val="top"/>
          </w:tcPr>
          <w:p>
            <w:pPr>
              <w:pStyle w:val="TableText"/>
              <w:ind w:left="167" w:right="256" w:hanging="16"/>
              <w:spacing w:before="134" w:line="268" w:lineRule="auto"/>
              <w:rPr/>
            </w:pP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原</w:t>
            </w:r>
            <w:r>
              <w:rPr>
                <w:color w:val="B8BFC6"/>
                <w:spacing w:val="-1"/>
              </w:rPr>
              <w:t>R1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＋自有排序＋同等</w:t>
            </w:r>
            <w:r>
              <w:rPr>
                <w:color w:val="B8BFC6"/>
                <w:spacing w:val="-7"/>
              </w:rPr>
              <w:t>NMS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ind w:left="878"/>
              <w:spacing w:before="89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85.33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1110"/>
              <w:spacing w:before="89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71.62</w:t>
            </w:r>
          </w:p>
        </w:tc>
        <w:tc>
          <w:tcPr>
            <w:tcW w:w="1273" w:type="dxa"/>
            <w:vAlign w:val="top"/>
          </w:tcPr>
          <w:p>
            <w:pPr>
              <w:pStyle w:val="TableText"/>
              <w:ind w:left="240"/>
              <w:spacing w:before="89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439/500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987"/>
              <w:spacing w:before="89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87.8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944"/>
              <w:spacing w:before="89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84.75</w:t>
            </w:r>
          </w:p>
        </w:tc>
      </w:tr>
      <w:tr>
        <w:trPr>
          <w:trHeight w:val="928" w:hRule="atLeast"/>
        </w:trPr>
        <w:tc>
          <w:tcPr>
            <w:tcW w:w="2884" w:type="dxa"/>
            <w:vAlign w:val="top"/>
          </w:tcPr>
          <w:p>
            <w:pPr>
              <w:pStyle w:val="TableText"/>
              <w:ind w:left="169" w:right="379" w:hanging="14"/>
              <w:spacing w:before="135" w:line="228" w:lineRule="auto"/>
              <w:rPr/>
            </w:pP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学习残差＋自有排序+</w:t>
            </w:r>
            <w:r>
              <w:rPr>
                <w:rFonts w:ascii="Microsoft YaHei" w:hAnsi="Microsoft YaHei" w:eastAsia="Microsoft YaHei" w:cs="Microsoft YaHei"/>
                <w:color w:val="B8BFC6"/>
                <w:spacing w:val="-5"/>
              </w:rPr>
              <w:t>同等</w:t>
            </w:r>
            <w:r>
              <w:rPr>
                <w:color w:val="B8BFC6"/>
                <w:spacing w:val="-5"/>
              </w:rPr>
              <w:t>NMS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ind w:left="878"/>
              <w:spacing w:before="91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85.76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1110"/>
              <w:spacing w:before="91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71.89</w:t>
            </w:r>
          </w:p>
        </w:tc>
        <w:tc>
          <w:tcPr>
            <w:tcW w:w="1273" w:type="dxa"/>
            <w:vAlign w:val="top"/>
          </w:tcPr>
          <w:p>
            <w:pPr>
              <w:pStyle w:val="TableText"/>
              <w:ind w:left="240"/>
              <w:spacing w:before="91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442/500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987"/>
              <w:spacing w:before="91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88.4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944"/>
              <w:spacing w:before="91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85.33</w:t>
            </w:r>
          </w:p>
        </w:tc>
      </w:tr>
      <w:tr>
        <w:trPr>
          <w:trHeight w:val="928" w:hRule="atLeast"/>
        </w:trPr>
        <w:tc>
          <w:tcPr>
            <w:tcW w:w="2884" w:type="dxa"/>
            <w:vAlign w:val="top"/>
          </w:tcPr>
          <w:p>
            <w:pPr>
              <w:pStyle w:val="TableText"/>
              <w:ind w:left="169" w:right="379" w:hanging="15"/>
              <w:spacing w:before="139" w:line="227" w:lineRule="auto"/>
              <w:rPr/>
            </w:pP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直接规则＋自有排序+</w:t>
            </w:r>
            <w:r>
              <w:rPr>
                <w:rFonts w:ascii="Microsoft YaHei" w:hAnsi="Microsoft YaHei" w:eastAsia="Microsoft YaHei" w:cs="Microsoft YaHei"/>
                <w:color w:val="B8BFC6"/>
                <w:spacing w:val="-5"/>
              </w:rPr>
              <w:t>同等</w:t>
            </w:r>
            <w:r>
              <w:rPr>
                <w:color w:val="B8BFC6"/>
                <w:spacing w:val="-5"/>
              </w:rPr>
              <w:t>NMS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ind w:left="878"/>
              <w:spacing w:before="93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85.38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1110"/>
              <w:spacing w:before="93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71.75</w:t>
            </w:r>
          </w:p>
        </w:tc>
        <w:tc>
          <w:tcPr>
            <w:tcW w:w="1273" w:type="dxa"/>
            <w:vAlign w:val="top"/>
          </w:tcPr>
          <w:p>
            <w:pPr>
              <w:pStyle w:val="TableText"/>
              <w:ind w:left="240"/>
              <w:spacing w:before="93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443/500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987"/>
              <w:spacing w:before="93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88.6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944"/>
              <w:spacing w:before="93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85.52</w:t>
            </w:r>
          </w:p>
        </w:tc>
      </w:tr>
      <w:tr>
        <w:trPr>
          <w:trHeight w:val="928" w:hRule="atLeast"/>
        </w:trPr>
        <w:tc>
          <w:tcPr>
            <w:tcW w:w="2884" w:type="dxa"/>
            <w:vAlign w:val="top"/>
          </w:tcPr>
          <w:p>
            <w:pPr>
              <w:pStyle w:val="TableText"/>
              <w:ind w:left="153" w:right="252"/>
              <w:spacing w:before="97" w:line="237" w:lineRule="auto"/>
              <w:rPr/>
            </w:pP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直接规则＋边界</w:t>
            </w:r>
            <w:r>
              <w:rPr>
                <w:color w:val="B8BFC6"/>
                <w:spacing w:val="-1"/>
              </w:rPr>
              <w:t>/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果梗证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据＋同等</w:t>
            </w:r>
            <w:r>
              <w:rPr>
                <w:color w:val="B8BFC6"/>
                <w:spacing w:val="-1"/>
              </w:rPr>
              <w:t>NMS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ind w:left="878"/>
              <w:spacing w:before="95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86.52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1110"/>
              <w:spacing w:before="95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72.56</w:t>
            </w:r>
          </w:p>
        </w:tc>
        <w:tc>
          <w:tcPr>
            <w:tcW w:w="1273" w:type="dxa"/>
            <w:vAlign w:val="top"/>
          </w:tcPr>
          <w:p>
            <w:pPr>
              <w:pStyle w:val="TableText"/>
              <w:ind w:left="240"/>
              <w:spacing w:before="95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450/500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987"/>
              <w:spacing w:before="95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90.0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944"/>
              <w:spacing w:before="95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86.87</w:t>
            </w:r>
          </w:p>
        </w:tc>
      </w:tr>
      <w:tr>
        <w:trPr>
          <w:trHeight w:val="539" w:hRule="atLeast"/>
        </w:trPr>
        <w:tc>
          <w:tcPr>
            <w:tcW w:w="2884" w:type="dxa"/>
            <w:vAlign w:val="top"/>
          </w:tcPr>
          <w:p>
            <w:pPr>
              <w:pStyle w:val="TableText"/>
              <w:ind w:left="168"/>
              <w:spacing w:before="143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B8BFC6"/>
                <w:spacing w:val="-3"/>
              </w:rPr>
              <w:t>RR22</w:t>
            </w:r>
            <w:r>
              <w:rPr>
                <w:rFonts w:ascii="Microsoft YaHei" w:hAnsi="Microsoft YaHei" w:eastAsia="Microsoft YaHei" w:cs="Microsoft YaHei"/>
                <w:color w:val="B8BFC6"/>
                <w:spacing w:val="-3"/>
              </w:rPr>
              <w:t>分层参考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ind w:left="878"/>
              <w:spacing w:before="97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86.70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1110"/>
              <w:spacing w:before="171" w:line="197" w:lineRule="auto"/>
              <w:rPr/>
            </w:pPr>
            <w:r>
              <w:rPr>
                <w:color w:val="B8BFC6"/>
                <w:spacing w:val="-2"/>
              </w:rPr>
              <w:t>72.72</w:t>
            </w:r>
          </w:p>
        </w:tc>
        <w:tc>
          <w:tcPr>
            <w:tcW w:w="1273" w:type="dxa"/>
            <w:vAlign w:val="top"/>
          </w:tcPr>
          <w:p>
            <w:pPr>
              <w:pStyle w:val="TableText"/>
              <w:ind w:left="240"/>
              <w:spacing w:before="97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449/500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987"/>
              <w:spacing w:before="97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89.8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944"/>
              <w:spacing w:before="97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86.68</w:t>
            </w:r>
          </w:p>
        </w:tc>
      </w:tr>
      <w:tr>
        <w:trPr>
          <w:trHeight w:val="539" w:hRule="atLeast"/>
        </w:trPr>
        <w:tc>
          <w:tcPr>
            <w:tcW w:w="2884" w:type="dxa"/>
            <w:vAlign w:val="top"/>
          </w:tcPr>
          <w:p>
            <w:pPr>
              <w:pStyle w:val="TableText"/>
              <w:ind w:left="168"/>
              <w:spacing w:before="98" w:line="23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B8BFC6"/>
                <w:spacing w:val="-2"/>
              </w:rPr>
              <w:t>RR22</w:t>
            </w:r>
            <w:r>
              <w:rPr>
                <w:rFonts w:ascii="Microsoft YaHei" w:hAnsi="Microsoft YaHei" w:eastAsia="Microsoft YaHei" w:cs="Microsoft YaHei"/>
                <w:color w:val="B8BFC6"/>
                <w:spacing w:val="-2"/>
              </w:rPr>
              <w:t>＋历史</w:t>
            </w:r>
            <w:r>
              <w:rPr>
                <w:color w:val="B8BFC6"/>
                <w:spacing w:val="-2"/>
              </w:rPr>
              <w:t>18</w:t>
            </w:r>
            <w:r>
              <w:rPr>
                <w:rFonts w:ascii="Microsoft YaHei" w:hAnsi="Microsoft YaHei" w:eastAsia="Microsoft YaHei" w:cs="Microsoft YaHei"/>
                <w:color w:val="B8BFC6"/>
                <w:spacing w:val="-2"/>
              </w:rPr>
              <w:t>维排序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ind w:left="878"/>
              <w:spacing w:before="98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86.69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1110"/>
              <w:spacing w:before="98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72.73</w:t>
            </w:r>
          </w:p>
        </w:tc>
        <w:tc>
          <w:tcPr>
            <w:tcW w:w="1273" w:type="dxa"/>
            <w:vAlign w:val="top"/>
          </w:tcPr>
          <w:p>
            <w:pPr>
              <w:pStyle w:val="TableText"/>
              <w:ind w:left="240"/>
              <w:spacing w:before="98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449/500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987"/>
              <w:spacing w:before="98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89.8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944"/>
              <w:spacing w:before="98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86.68</w:t>
            </w:r>
          </w:p>
        </w:tc>
      </w:tr>
      <w:tr>
        <w:trPr>
          <w:trHeight w:val="928" w:hRule="atLeast"/>
        </w:trPr>
        <w:tc>
          <w:tcPr>
            <w:tcW w:w="2884" w:type="dxa"/>
            <w:vAlign w:val="top"/>
          </w:tcPr>
          <w:p>
            <w:pPr>
              <w:ind w:left="152" w:right="318"/>
              <w:spacing w:before="142" w:line="22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新缺陷质量排序，内部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选定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ind w:left="878"/>
              <w:spacing w:before="99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87.05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1110"/>
              <w:spacing w:before="99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73.24</w:t>
            </w:r>
          </w:p>
        </w:tc>
        <w:tc>
          <w:tcPr>
            <w:tcW w:w="1273" w:type="dxa"/>
            <w:vAlign w:val="top"/>
          </w:tcPr>
          <w:p>
            <w:pPr>
              <w:pStyle w:val="TableText"/>
              <w:ind w:left="240"/>
              <w:spacing w:before="99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449/500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987"/>
              <w:spacing w:before="99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89.8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944"/>
              <w:spacing w:before="99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86.68</w:t>
            </w:r>
          </w:p>
        </w:tc>
      </w:tr>
      <w:tr>
        <w:trPr>
          <w:trHeight w:val="929" w:hRule="atLeast"/>
        </w:trPr>
        <w:tc>
          <w:tcPr>
            <w:tcW w:w="2884" w:type="dxa"/>
            <w:vAlign w:val="top"/>
          </w:tcPr>
          <w:p>
            <w:pPr>
              <w:pStyle w:val="TableText"/>
              <w:ind w:left="156" w:right="318" w:hanging="5"/>
              <w:spacing w:before="145" w:line="270" w:lineRule="auto"/>
              <w:rPr/>
            </w:pP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原缺陷质量排序，固定</w:t>
            </w:r>
            <w:r>
              <w:rPr>
                <w:color w:val="B8BFC6"/>
                <w:spacing w:val="-2"/>
              </w:rPr>
              <w:t>seed25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ind w:left="878"/>
              <w:spacing w:before="101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87.10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1110"/>
              <w:spacing w:before="101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73.29</w:t>
            </w:r>
          </w:p>
        </w:tc>
        <w:tc>
          <w:tcPr>
            <w:tcW w:w="1273" w:type="dxa"/>
            <w:vAlign w:val="top"/>
          </w:tcPr>
          <w:p>
            <w:pPr>
              <w:pStyle w:val="TableText"/>
              <w:ind w:left="240"/>
              <w:spacing w:before="101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449/500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987"/>
              <w:spacing w:before="101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89.8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944"/>
              <w:spacing w:before="101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86.68</w:t>
            </w:r>
          </w:p>
        </w:tc>
      </w:tr>
      <w:tr>
        <w:trPr>
          <w:trHeight w:val="547" w:hRule="atLeast"/>
        </w:trPr>
        <w:tc>
          <w:tcPr>
            <w:tcW w:w="2884" w:type="dxa"/>
            <w:vAlign w:val="top"/>
          </w:tcPr>
          <w:p>
            <w:pPr>
              <w:ind w:left="151"/>
              <w:spacing w:before="146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原缺陷排序＋输出细化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ind w:left="878"/>
              <w:spacing w:before="102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87.10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1110"/>
              <w:spacing w:before="102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74.23</w:t>
            </w:r>
          </w:p>
        </w:tc>
        <w:tc>
          <w:tcPr>
            <w:tcW w:w="1273" w:type="dxa"/>
            <w:vAlign w:val="top"/>
          </w:tcPr>
          <w:p>
            <w:pPr>
              <w:pStyle w:val="TableText"/>
              <w:ind w:left="240"/>
              <w:spacing w:before="102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449/500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987"/>
              <w:spacing w:before="102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89.8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944"/>
              <w:spacing w:before="102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86.68</w:t>
            </w:r>
          </w:p>
        </w:tc>
      </w:tr>
    </w:tbl>
    <w:p>
      <w:pPr>
        <w:pStyle w:val="BodyText"/>
        <w:ind w:left="483"/>
        <w:spacing w:before="306" w:line="227" w:lineRule="auto"/>
        <w:rPr/>
      </w:pPr>
      <w:r>
        <w:rPr>
          <w:color w:val="B8BFC6"/>
        </w:rPr>
        <w:t>最终配置相对原</w:t>
      </w:r>
      <w:r>
        <w:rPr>
          <w:rFonts w:ascii="Arial" w:hAnsi="Arial" w:eastAsia="Arial" w:cs="Arial"/>
          <w:color w:val="B8BFC6"/>
        </w:rPr>
        <w:t>YOLO</w:t>
      </w:r>
      <w:r>
        <w:rPr>
          <w:color w:val="B8BFC6"/>
        </w:rPr>
        <w:t>的累计</w:t>
      </w:r>
      <w:r>
        <w:rPr>
          <w:rFonts w:ascii="Arial" w:hAnsi="Arial" w:eastAsia="Arial" w:cs="Arial"/>
          <w:color w:val="B8BFC6"/>
        </w:rPr>
        <w:t>AP50</w:t>
      </w:r>
      <w:r>
        <w:rPr>
          <w:color w:val="B8BFC6"/>
        </w:rPr>
        <w:t>增加</w:t>
      </w:r>
      <w:r>
        <w:rPr>
          <w:rFonts w:ascii="Arial" w:hAnsi="Arial" w:eastAsia="Arial" w:cs="Arial"/>
          <w:color w:val="B8BFC6"/>
        </w:rPr>
        <w:t>3.62</w:t>
      </w:r>
      <w:r>
        <w:rPr>
          <w:color w:val="B8BFC6"/>
        </w:rPr>
        <w:t>个百分点，相对同等追加</w:t>
      </w:r>
      <w:r>
        <w:rPr>
          <w:rFonts w:ascii="Arial" w:hAnsi="Arial" w:eastAsia="Arial" w:cs="Arial"/>
          <w:color w:val="B8BFC6"/>
        </w:rPr>
        <w:t>NMS</w:t>
      </w:r>
      <w:r>
        <w:rPr>
          <w:color w:val="B8BFC6"/>
        </w:rPr>
        <w:t>的原</w:t>
      </w:r>
      <w:r>
        <w:rPr>
          <w:rFonts w:ascii="Arial" w:hAnsi="Arial" w:eastAsia="Arial" w:cs="Arial"/>
          <w:color w:val="B8BFC6"/>
        </w:rPr>
        <w:t>YOLO</w:t>
      </w:r>
      <w:r>
        <w:rPr>
          <w:color w:val="B8BFC6"/>
        </w:rPr>
        <w:t>增加</w:t>
      </w:r>
      <w:r>
        <w:rPr>
          <w:rFonts w:ascii="Arial" w:hAnsi="Arial" w:eastAsia="Arial" w:cs="Arial"/>
          <w:color w:val="B8BFC6"/>
        </w:rPr>
        <w:t>2.</w:t>
      </w:r>
      <w:r>
        <w:rPr>
          <w:rFonts w:ascii="Arial" w:hAnsi="Arial" w:eastAsia="Arial" w:cs="Arial"/>
          <w:color w:val="B8BFC6"/>
          <w:spacing w:val="-1"/>
        </w:rPr>
        <w:t>95</w:t>
      </w:r>
      <w:r>
        <w:rPr>
          <w:color w:val="B8BFC6"/>
          <w:spacing w:val="-1"/>
        </w:rPr>
        <w:t>个百分</w:t>
      </w:r>
    </w:p>
    <w:p>
      <w:pPr>
        <w:pStyle w:val="BodyText"/>
        <w:ind w:left="483" w:right="517"/>
        <w:spacing w:before="2" w:line="233" w:lineRule="auto"/>
        <w:rPr/>
      </w:pPr>
      <w:r>
        <w:rPr>
          <w:color w:val="B8BFC6"/>
        </w:rPr>
        <w:t>点。其中，原缺陷排序相对</w:t>
      </w:r>
      <w:r>
        <w:rPr>
          <w:rFonts w:ascii="Arial" w:hAnsi="Arial" w:eastAsia="Arial" w:cs="Arial"/>
          <w:color w:val="B8BFC6"/>
        </w:rPr>
        <w:t>RR22</w:t>
      </w:r>
      <w:r>
        <w:rPr>
          <w:color w:val="B8BFC6"/>
        </w:rPr>
        <w:t>新增</w:t>
      </w:r>
      <w:r>
        <w:rPr>
          <w:rFonts w:ascii="Arial" w:hAnsi="Arial" w:eastAsia="Arial" w:cs="Arial"/>
          <w:color w:val="B8BFC6"/>
        </w:rPr>
        <w:t>0.40</w:t>
      </w:r>
      <w:r>
        <w:rPr>
          <w:color w:val="B8BFC6"/>
        </w:rPr>
        <w:t>个百分点，不能将累计收益全部归因于该排序头。</w:t>
      </w:r>
      <w:r>
        <w:rPr>
          <w:color w:val="B8BFC6"/>
          <w:spacing w:val="-1"/>
        </w:rPr>
        <w:t>直接规则加</w:t>
      </w:r>
      <w:r>
        <w:rPr>
          <w:color w:val="B8BFC6"/>
          <w:spacing w:val="-1"/>
        </w:rPr>
        <w:t>边界</w:t>
      </w:r>
      <w:r>
        <w:rPr>
          <w:rFonts w:ascii="Arial" w:hAnsi="Arial" w:eastAsia="Arial" w:cs="Arial"/>
          <w:color w:val="B8BFC6"/>
          <w:spacing w:val="-1"/>
        </w:rPr>
        <w:t>/</w:t>
      </w:r>
      <w:r>
        <w:rPr>
          <w:color w:val="B8BFC6"/>
          <w:spacing w:val="-1"/>
        </w:rPr>
        <w:t>果梗方案在此集合上比</w:t>
      </w:r>
      <w:r>
        <w:rPr>
          <w:rFonts w:ascii="Arial" w:hAnsi="Arial" w:eastAsia="Arial" w:cs="Arial"/>
          <w:color w:val="B8BFC6"/>
          <w:spacing w:val="-1"/>
        </w:rPr>
        <w:t>RR22</w:t>
      </w:r>
      <w:r>
        <w:rPr>
          <w:color w:val="B8BFC6"/>
          <w:spacing w:val="-1"/>
        </w:rPr>
        <w:t>多判对</w:t>
      </w:r>
      <w:r>
        <w:rPr>
          <w:rFonts w:ascii="Arial" w:hAnsi="Arial" w:eastAsia="Arial" w:cs="Arial"/>
          <w:color w:val="B8BFC6"/>
          <w:spacing w:val="-1"/>
        </w:rPr>
        <w:t>1</w:t>
      </w:r>
      <w:r>
        <w:rPr>
          <w:color w:val="B8BFC6"/>
          <w:spacing w:val="-1"/>
        </w:rPr>
        <w:t>个实例，说明当前选择并非在所有指标上均优于所有对</w:t>
      </w:r>
      <w:r>
        <w:rPr>
          <w:color w:val="B8BFC6"/>
          <w:spacing w:val="-2"/>
        </w:rPr>
        <w:t>照。</w:t>
      </w:r>
    </w:p>
    <w:p>
      <w:pPr>
        <w:pStyle w:val="BodyText"/>
        <w:ind w:left="483" w:right="664"/>
        <w:spacing w:before="336" w:line="234" w:lineRule="auto"/>
        <w:rPr/>
      </w:pPr>
      <w:r>
        <w:rPr>
          <w:color w:val="B8BFC6"/>
        </w:rPr>
        <w:t>表</w:t>
      </w:r>
      <w:r>
        <w:rPr>
          <w:rFonts w:ascii="Arial" w:hAnsi="Arial" w:eastAsia="Arial" w:cs="Arial"/>
          <w:color w:val="B8BFC6"/>
        </w:rPr>
        <w:t>3 </w:t>
      </w:r>
      <w:r>
        <w:rPr>
          <w:color w:val="B8BFC6"/>
        </w:rPr>
        <w:t>前阶段固定评分比较，尚未加入后来的共同</w:t>
      </w:r>
      <w:r>
        <w:rPr>
          <w:rFonts w:ascii="Arial" w:hAnsi="Arial" w:eastAsia="Arial" w:cs="Arial"/>
          <w:color w:val="B8BFC6"/>
        </w:rPr>
        <w:t>NMS</w:t>
      </w:r>
      <w:r>
        <w:rPr>
          <w:color w:val="B8BFC6"/>
        </w:rPr>
        <w:t>及边界证据。</w:t>
      </w:r>
      <w:r>
        <w:rPr>
          <w:rFonts w:ascii="Arial" w:hAnsi="Arial" w:eastAsia="Arial" w:cs="Arial"/>
          <w:color w:val="B8BFC6"/>
        </w:rPr>
        <w:t>MAE</w:t>
      </w:r>
      <w:r>
        <w:rPr>
          <w:color w:val="B8BFC6"/>
        </w:rPr>
        <w:t>对应</w:t>
      </w:r>
      <w:r>
        <w:rPr>
          <w:rFonts w:ascii="Arial" w:hAnsi="Arial" w:eastAsia="Arial" w:cs="Arial"/>
          <w:color w:val="B8BFC6"/>
        </w:rPr>
        <w:t>448</w:t>
      </w:r>
      <w:r>
        <w:rPr>
          <w:color w:val="B8BFC6"/>
        </w:rPr>
        <w:t>个有规则评</w:t>
      </w:r>
      <w:r>
        <w:rPr>
          <w:color w:val="B8BFC6"/>
          <w:spacing w:val="-1"/>
        </w:rPr>
        <w:t>分目标的实</w:t>
      </w:r>
      <w:r>
        <w:rPr>
          <w:color w:val="B8BFC6"/>
          <w:spacing w:val="-2"/>
        </w:rPr>
        <w:t>例，耗时只属于该历史阶段同</w:t>
      </w:r>
      <w:r>
        <w:rPr>
          <w:rFonts w:ascii="Arial" w:hAnsi="Arial" w:eastAsia="Arial" w:cs="Arial"/>
          <w:color w:val="B8BFC6"/>
          <w:spacing w:val="-2"/>
        </w:rPr>
        <w:t>24</w:t>
      </w:r>
      <w:r>
        <w:rPr>
          <w:color w:val="B8BFC6"/>
          <w:spacing w:val="-2"/>
        </w:rPr>
        <w:t>图</w:t>
      </w:r>
      <w:r>
        <w:rPr>
          <w:rFonts w:ascii="Arial" w:hAnsi="Arial" w:eastAsia="Arial" w:cs="Arial"/>
          <w:color w:val="B8BFC6"/>
          <w:spacing w:val="-2"/>
        </w:rPr>
        <w:t>×5</w:t>
      </w:r>
      <w:r>
        <w:rPr>
          <w:color w:val="B8BFC6"/>
          <w:spacing w:val="-2"/>
        </w:rPr>
        <w:t>次的联合测量。</w:t>
      </w:r>
    </w:p>
    <w:p>
      <w:pPr>
        <w:spacing w:before="75"/>
        <w:rPr/>
      </w:pPr>
      <w:r/>
    </w:p>
    <w:tbl>
      <w:tblPr>
        <w:tblStyle w:val="TableNormal"/>
        <w:tblW w:w="10950" w:type="dxa"/>
        <w:tblInd w:w="487" w:type="dxa"/>
        <w:tblLayout w:type="fixed"/>
        <w:tblBorders>
          <w:top w:val="single" w:color="474D54" w:sz="6" w:space="0"/>
          <w:left w:val="single" w:color="474D54" w:sz="6" w:space="0"/>
          <w:bottom w:val="single" w:color="474D54" w:sz="6" w:space="0"/>
          <w:right w:val="single" w:color="474D54" w:sz="6" w:space="0"/>
          <w:insideH w:val="single" w:color="474D54" w:sz="6" w:space="0"/>
          <w:insideV w:val="single" w:color="474D54" w:sz="6" w:space="0"/>
        </w:tblBorders>
      </w:tblPr>
      <w:tblGrid>
        <w:gridCol w:w="3543"/>
        <w:gridCol w:w="1498"/>
        <w:gridCol w:w="3026"/>
        <w:gridCol w:w="2883"/>
      </w:tblGrid>
      <w:tr>
        <w:trPr>
          <w:trHeight w:val="544" w:hRule="atLeast"/>
        </w:trPr>
        <w:tc>
          <w:tcPr>
            <w:tcW w:w="3543" w:type="dxa"/>
            <w:vAlign w:val="top"/>
          </w:tcPr>
          <w:p>
            <w:pPr>
              <w:ind w:left="153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1"/>
              </w:rPr>
              <w:t>前阶段配置</w:t>
            </w:r>
          </w:p>
        </w:tc>
        <w:tc>
          <w:tcPr>
            <w:tcW w:w="1498" w:type="dxa"/>
            <w:vAlign w:val="top"/>
          </w:tcPr>
          <w:p>
            <w:pPr>
              <w:pStyle w:val="TableText"/>
              <w:ind w:left="394"/>
              <w:spacing w:before="141" w:line="183" w:lineRule="auto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"/>
              </w:rPr>
              <w:t>正确</w:t>
            </w:r>
            <w:r>
              <w:rPr>
                <w:b/>
                <w:bCs/>
                <w:color w:val="DEDEDE"/>
                <w:spacing w:val="-1"/>
              </w:rPr>
              <w:t>/500</w:t>
            </w:r>
          </w:p>
        </w:tc>
        <w:tc>
          <w:tcPr>
            <w:tcW w:w="3026" w:type="dxa"/>
            <w:vAlign w:val="top"/>
          </w:tcPr>
          <w:p>
            <w:pPr>
              <w:pStyle w:val="TableText"/>
              <w:ind w:left="652"/>
              <w:spacing w:before="141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3"/>
              </w:rPr>
              <w:t>规则评分</w:t>
            </w:r>
            <w:r>
              <w:rPr>
                <w:b/>
                <w:bCs/>
                <w:color w:val="DEDEDE"/>
                <w:spacing w:val="-3"/>
              </w:rPr>
              <w:t>MAE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3"/>
              </w:rPr>
              <w:t>（分）</w:t>
            </w:r>
          </w:p>
        </w:tc>
        <w:tc>
          <w:tcPr>
            <w:tcW w:w="2883" w:type="dxa"/>
            <w:vAlign w:val="top"/>
          </w:tcPr>
          <w:p>
            <w:pPr>
              <w:pStyle w:val="TableText"/>
              <w:ind w:left="630"/>
              <w:spacing w:before="141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3"/>
              </w:rPr>
              <w:t>平均耗时（</w:t>
            </w:r>
            <w:r>
              <w:rPr>
                <w:b/>
                <w:bCs/>
                <w:color w:val="DEDEDE"/>
                <w:spacing w:val="-3"/>
              </w:rPr>
              <w:t>ms/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3"/>
              </w:rPr>
              <w:t>图）</w:t>
            </w:r>
          </w:p>
        </w:tc>
      </w:tr>
      <w:tr>
        <w:trPr>
          <w:trHeight w:val="537" w:hRule="atLeast"/>
        </w:trPr>
        <w:tc>
          <w:tcPr>
            <w:tcW w:w="3543" w:type="dxa"/>
            <w:vAlign w:val="top"/>
          </w:tcPr>
          <w:p>
            <w:pPr>
              <w:pStyle w:val="TableText"/>
              <w:ind w:left="151"/>
              <w:spacing w:before="135" w:line="18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原</w:t>
            </w:r>
            <w:r>
              <w:rPr>
                <w:color w:val="B8BFC6"/>
                <w:spacing w:val="-1"/>
              </w:rPr>
              <w:t>R1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＋自有排序</w:t>
            </w:r>
          </w:p>
        </w:tc>
        <w:tc>
          <w:tcPr>
            <w:tcW w:w="1498" w:type="dxa"/>
            <w:vAlign w:val="top"/>
          </w:tcPr>
          <w:p>
            <w:pPr>
              <w:pStyle w:val="TableText"/>
              <w:ind w:left="938"/>
              <w:spacing w:before="91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439</w:t>
            </w:r>
          </w:p>
        </w:tc>
        <w:tc>
          <w:tcPr>
            <w:tcW w:w="3026" w:type="dxa"/>
            <w:vAlign w:val="top"/>
          </w:tcPr>
          <w:p>
            <w:pPr>
              <w:pStyle w:val="TableText"/>
              <w:ind w:left="2135"/>
              <w:spacing w:before="91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2.1397</w:t>
            </w:r>
          </w:p>
        </w:tc>
        <w:tc>
          <w:tcPr>
            <w:tcW w:w="2883" w:type="dxa"/>
            <w:vAlign w:val="top"/>
          </w:tcPr>
          <w:p>
            <w:pPr>
              <w:pStyle w:val="TableText"/>
              <w:ind w:left="2127"/>
              <w:spacing w:before="91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53.75</w:t>
            </w:r>
          </w:p>
        </w:tc>
      </w:tr>
      <w:tr>
        <w:trPr>
          <w:trHeight w:val="537" w:hRule="atLeast"/>
        </w:trPr>
        <w:tc>
          <w:tcPr>
            <w:tcW w:w="3543" w:type="dxa"/>
            <w:vAlign w:val="top"/>
          </w:tcPr>
          <w:p>
            <w:pPr>
              <w:ind w:left="152"/>
              <w:spacing w:before="138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选定学习残差＋自有排序</w:t>
            </w:r>
          </w:p>
        </w:tc>
        <w:tc>
          <w:tcPr>
            <w:tcW w:w="1498" w:type="dxa"/>
            <w:vAlign w:val="top"/>
          </w:tcPr>
          <w:p>
            <w:pPr>
              <w:pStyle w:val="TableText"/>
              <w:ind w:left="938"/>
              <w:spacing w:before="168" w:line="197" w:lineRule="auto"/>
              <w:rPr/>
            </w:pPr>
            <w:r>
              <w:rPr>
                <w:color w:val="B8BFC6"/>
                <w:spacing w:val="-1"/>
              </w:rPr>
              <w:t>442</w:t>
            </w:r>
          </w:p>
        </w:tc>
        <w:tc>
          <w:tcPr>
            <w:tcW w:w="3026" w:type="dxa"/>
            <w:vAlign w:val="top"/>
          </w:tcPr>
          <w:p>
            <w:pPr>
              <w:pStyle w:val="TableText"/>
              <w:ind w:left="2135"/>
              <w:spacing w:before="94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2.0274</w:t>
            </w:r>
          </w:p>
        </w:tc>
        <w:tc>
          <w:tcPr>
            <w:tcW w:w="2883" w:type="dxa"/>
            <w:vAlign w:val="top"/>
          </w:tcPr>
          <w:p>
            <w:pPr>
              <w:pStyle w:val="TableText"/>
              <w:ind w:left="2127"/>
              <w:spacing w:before="94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54.51</w:t>
            </w:r>
          </w:p>
        </w:tc>
      </w:tr>
      <w:tr>
        <w:trPr>
          <w:trHeight w:val="537" w:hRule="atLeast"/>
        </w:trPr>
        <w:tc>
          <w:tcPr>
            <w:tcW w:w="3543" w:type="dxa"/>
            <w:vAlign w:val="top"/>
          </w:tcPr>
          <w:p>
            <w:pPr>
              <w:ind w:left="154"/>
              <w:spacing w:before="141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直接规则＋自有排序</w:t>
            </w:r>
          </w:p>
        </w:tc>
        <w:tc>
          <w:tcPr>
            <w:tcW w:w="1498" w:type="dxa"/>
            <w:vAlign w:val="top"/>
          </w:tcPr>
          <w:p>
            <w:pPr>
              <w:pStyle w:val="TableText"/>
              <w:ind w:left="938"/>
              <w:spacing w:before="97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443</w:t>
            </w:r>
          </w:p>
        </w:tc>
        <w:tc>
          <w:tcPr>
            <w:tcW w:w="3026" w:type="dxa"/>
            <w:vAlign w:val="top"/>
          </w:tcPr>
          <w:p>
            <w:pPr>
              <w:pStyle w:val="TableText"/>
              <w:ind w:left="2154"/>
              <w:spacing w:before="97" w:line="327" w:lineRule="exact"/>
              <w:rPr/>
            </w:pPr>
            <w:r>
              <w:rPr>
                <w:color w:val="B8BFC6"/>
                <w:spacing w:val="-4"/>
                <w:position w:val="1"/>
              </w:rPr>
              <w:t>1.9261</w:t>
            </w:r>
          </w:p>
        </w:tc>
        <w:tc>
          <w:tcPr>
            <w:tcW w:w="2883" w:type="dxa"/>
            <w:vAlign w:val="top"/>
          </w:tcPr>
          <w:p>
            <w:pPr>
              <w:pStyle w:val="TableText"/>
              <w:ind w:left="2126"/>
              <w:spacing w:before="97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65.56</w:t>
            </w:r>
          </w:p>
        </w:tc>
      </w:tr>
      <w:tr>
        <w:trPr>
          <w:trHeight w:val="545" w:hRule="atLeast"/>
        </w:trPr>
        <w:tc>
          <w:tcPr>
            <w:tcW w:w="3543" w:type="dxa"/>
            <w:vAlign w:val="top"/>
          </w:tcPr>
          <w:p>
            <w:pPr>
              <w:ind w:left="153"/>
              <w:spacing w:before="144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规则锚定残差＋自有排序</w:t>
            </w:r>
          </w:p>
        </w:tc>
        <w:tc>
          <w:tcPr>
            <w:tcW w:w="1498" w:type="dxa"/>
            <w:vAlign w:val="top"/>
          </w:tcPr>
          <w:p>
            <w:pPr>
              <w:pStyle w:val="TableText"/>
              <w:ind w:left="938"/>
              <w:spacing w:before="100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443</w:t>
            </w:r>
          </w:p>
        </w:tc>
        <w:tc>
          <w:tcPr>
            <w:tcW w:w="3026" w:type="dxa"/>
            <w:vAlign w:val="top"/>
          </w:tcPr>
          <w:p>
            <w:pPr>
              <w:pStyle w:val="TableText"/>
              <w:ind w:left="2154"/>
              <w:spacing w:before="100" w:line="327" w:lineRule="exact"/>
              <w:rPr/>
            </w:pPr>
            <w:r>
              <w:rPr>
                <w:color w:val="B8BFC6"/>
                <w:spacing w:val="-4"/>
                <w:position w:val="1"/>
              </w:rPr>
              <w:t>1.9092</w:t>
            </w:r>
          </w:p>
        </w:tc>
        <w:tc>
          <w:tcPr>
            <w:tcW w:w="2883" w:type="dxa"/>
            <w:vAlign w:val="top"/>
          </w:tcPr>
          <w:p>
            <w:pPr>
              <w:pStyle w:val="TableText"/>
              <w:ind w:left="2126"/>
              <w:spacing w:before="10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66.19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46"/>
          <w:pgSz w:w="11919" w:h="16858"/>
          <w:pgMar w:top="400" w:right="0" w:bottom="921" w:left="0" w:header="0" w:footer="6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458" w:lineRule="auto"/>
        <w:rPr>
          <w:rFonts w:ascii="Arial"/>
          <w:sz w:val="21"/>
        </w:rPr>
      </w:pPr>
      <w:r/>
    </w:p>
    <w:p>
      <w:pPr>
        <w:pStyle w:val="BodyText"/>
        <w:ind w:left="481" w:right="598" w:firstLine="1"/>
        <w:spacing w:before="103" w:line="223" w:lineRule="auto"/>
        <w:jc w:val="both"/>
        <w:rPr/>
      </w:pPr>
      <w:r>
        <w:rPr>
          <w:color w:val="B8BFC6"/>
        </w:rPr>
        <w:t>该历史比较体现了学习残差的速度与规则评分误差权衡：直接规则及规则锚定的</w:t>
      </w:r>
      <w:r>
        <w:rPr>
          <w:rFonts w:ascii="Arial" w:hAnsi="Arial" w:eastAsia="Arial" w:cs="Arial"/>
          <w:color w:val="B8BFC6"/>
        </w:rPr>
        <w:t>MAE</w:t>
      </w:r>
      <w:r>
        <w:rPr>
          <w:color w:val="B8BFC6"/>
        </w:rPr>
        <w:t>点值更</w:t>
      </w:r>
      <w:r>
        <w:rPr>
          <w:color w:val="B8BFC6"/>
          <w:spacing w:val="-1"/>
        </w:rPr>
        <w:t>小，而学习</w:t>
      </w:r>
      <w:r>
        <w:rPr>
          <w:color w:val="B8BFC6"/>
          <w:spacing w:val="1"/>
        </w:rPr>
        <w:t>残差耗时较低。该结果不能说明最终</w:t>
      </w:r>
      <w:r>
        <w:rPr>
          <w:rFonts w:ascii="Arial" w:hAnsi="Arial" w:eastAsia="Arial" w:cs="Arial"/>
          <w:color w:val="B8BFC6"/>
        </w:rPr>
        <w:t>RR</w:t>
      </w:r>
      <w:r>
        <w:rPr>
          <w:rFonts w:ascii="Arial" w:hAnsi="Arial" w:eastAsia="Arial" w:cs="Arial"/>
          <w:color w:val="B8BFC6"/>
          <w:spacing w:val="1"/>
        </w:rPr>
        <w:t>22</w:t>
      </w:r>
      <w:r>
        <w:rPr>
          <w:color w:val="B8BFC6"/>
          <w:spacing w:val="1"/>
        </w:rPr>
        <w:t>流程仍以</w:t>
      </w:r>
      <w:r>
        <w:rPr>
          <w:rFonts w:ascii="Arial" w:hAnsi="Arial" w:eastAsia="Arial" w:cs="Arial"/>
          <w:color w:val="B8BFC6"/>
          <w:spacing w:val="1"/>
        </w:rPr>
        <w:t>54.51</w:t>
      </w:r>
      <w:r>
        <w:rPr>
          <w:rFonts w:ascii="Arial" w:hAnsi="Arial" w:eastAsia="Arial" w:cs="Arial"/>
          <w:color w:val="B8BFC6"/>
        </w:rPr>
        <w:t>ms</w:t>
      </w:r>
      <w:r>
        <w:rPr>
          <w:rFonts w:ascii="Arial" w:hAnsi="Arial" w:eastAsia="Arial" w:cs="Arial"/>
          <w:color w:val="B8BFC6"/>
          <w:spacing w:val="1"/>
        </w:rPr>
        <w:t>/</w:t>
      </w:r>
      <w:r>
        <w:rPr>
          <w:color w:val="B8BFC6"/>
          <w:spacing w:val="1"/>
        </w:rPr>
        <w:t>图运行，也不能改变规则锚定残差未通过</w:t>
      </w:r>
      <w:r>
        <w:rPr>
          <w:color w:val="B8BFC6"/>
          <w:spacing w:val="-5"/>
        </w:rPr>
        <w:t>原实用门槛的事实。</w:t>
      </w:r>
    </w:p>
    <w:p>
      <w:pPr>
        <w:pStyle w:val="BodyText"/>
        <w:ind w:left="492"/>
        <w:spacing w:before="350" w:line="183" w:lineRule="auto"/>
        <w:outlineLvl w:val="2"/>
        <w:rPr>
          <w:sz w:val="28"/>
          <w:szCs w:val="28"/>
        </w:rPr>
      </w:pP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3"/>
        </w:rPr>
        <w:t>5.2</w:t>
      </w: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9"/>
        </w:rPr>
        <w:t xml:space="preserve"> </w:t>
      </w:r>
      <w:r>
        <w:rPr>
          <w:sz w:val="28"/>
          <w:szCs w:val="28"/>
          <w:b/>
          <w:bCs/>
          <w:color w:val="DEDEDE"/>
          <w:spacing w:val="-13"/>
        </w:rPr>
        <w:t>排序信息来源与不确定性</w:t>
      </w:r>
    </w:p>
    <w:p>
      <w:pPr>
        <w:pStyle w:val="BodyText"/>
        <w:ind w:left="484" w:right="601" w:hanging="1"/>
        <w:spacing w:before="342" w:line="237" w:lineRule="auto"/>
        <w:rPr/>
      </w:pPr>
      <w:r>
        <w:rPr>
          <w:color w:val="B8BFC6"/>
        </w:rPr>
        <w:t>表</w:t>
      </w:r>
      <w:r>
        <w:rPr>
          <w:rFonts w:ascii="Arial" w:hAnsi="Arial" w:eastAsia="Arial" w:cs="Arial"/>
          <w:color w:val="B8BFC6"/>
        </w:rPr>
        <w:t>4</w:t>
      </w:r>
      <w:r>
        <w:rPr>
          <w:color w:val="B8BFC6"/>
        </w:rPr>
        <w:t>分离附加信息的作用，各行观察到的正确分级数均为</w:t>
      </w:r>
      <w:r>
        <w:rPr>
          <w:rFonts w:ascii="Arial" w:hAnsi="Arial" w:eastAsia="Arial" w:cs="Arial"/>
          <w:color w:val="B8BFC6"/>
        </w:rPr>
        <w:t>449/500</w:t>
      </w:r>
      <w:r>
        <w:rPr>
          <w:color w:val="B8BFC6"/>
        </w:rPr>
        <w:t>。三个种子中，原</w:t>
      </w:r>
      <w:r>
        <w:rPr>
          <w:color w:val="B8BFC6"/>
          <w:spacing w:val="-1"/>
        </w:rPr>
        <w:t>缺陷证据均优于仅可</w:t>
      </w:r>
      <w:r>
        <w:rPr>
          <w:color w:val="B8BFC6"/>
          <w:spacing w:val="-2"/>
        </w:rPr>
        <w:t>用标记对照；获得该</w:t>
      </w:r>
      <w:r>
        <w:rPr>
          <w:rFonts w:ascii="Arial" w:hAnsi="Arial" w:eastAsia="Arial" w:cs="Arial"/>
          <w:color w:val="B8BFC6"/>
          <w:spacing w:val="-2"/>
        </w:rPr>
        <w:t>AP</w:t>
      </w:r>
      <w:r>
        <w:rPr>
          <w:color w:val="B8BFC6"/>
          <w:spacing w:val="-2"/>
        </w:rPr>
        <w:t>改善不要求重新训练视觉缺陷尾块。</w:t>
      </w:r>
    </w:p>
    <w:p>
      <w:pPr>
        <w:pStyle w:val="BodyText"/>
        <w:ind w:left="482" w:right="534"/>
        <w:spacing w:before="326" w:line="234" w:lineRule="auto"/>
        <w:rPr/>
      </w:pPr>
      <w:r>
        <w:rPr>
          <w:color w:val="B8BFC6"/>
        </w:rPr>
        <w:t>表</w:t>
      </w:r>
      <w:r>
        <w:rPr>
          <w:rFonts w:ascii="Arial" w:hAnsi="Arial" w:eastAsia="Arial" w:cs="Arial"/>
          <w:color w:val="B8BFC6"/>
        </w:rPr>
        <w:t>4</w:t>
      </w:r>
      <w:r>
        <w:rPr>
          <w:rFonts w:ascii="Arial" w:hAnsi="Arial" w:eastAsia="Arial" w:cs="Arial"/>
          <w:color w:val="B8BFC6"/>
          <w:spacing w:val="18"/>
          <w:w w:val="101"/>
        </w:rPr>
        <w:t xml:space="preserve"> </w:t>
      </w:r>
      <w:r>
        <w:rPr>
          <w:rFonts w:ascii="Arial" w:hAnsi="Arial" w:eastAsia="Arial" w:cs="Arial"/>
          <w:color w:val="B8BFC6"/>
        </w:rPr>
        <w:t>RR22</w:t>
      </w:r>
      <w:r>
        <w:rPr>
          <w:color w:val="B8BFC6"/>
        </w:rPr>
        <w:t>原输出掩膜下的排序对照。</w:t>
      </w:r>
      <w:r>
        <w:rPr>
          <w:rFonts w:ascii="Arial" w:hAnsi="Arial" w:eastAsia="Arial" w:cs="Arial"/>
          <w:color w:val="B8BFC6"/>
        </w:rPr>
        <w:t>AP</w:t>
      </w:r>
      <w:r>
        <w:rPr>
          <w:color w:val="B8BFC6"/>
        </w:rPr>
        <w:t>单位为百分比</w:t>
      </w:r>
      <w:r>
        <w:rPr>
          <w:color w:val="B8BFC6"/>
          <w:spacing w:val="-1"/>
        </w:rPr>
        <w:t>。历史</w:t>
      </w:r>
      <w:r>
        <w:rPr>
          <w:rFonts w:ascii="Arial" w:hAnsi="Arial" w:eastAsia="Arial" w:cs="Arial"/>
          <w:color w:val="B8BFC6"/>
          <w:spacing w:val="-1"/>
        </w:rPr>
        <w:t>18</w:t>
      </w:r>
      <w:r>
        <w:rPr>
          <w:color w:val="B8BFC6"/>
          <w:spacing w:val="-1"/>
        </w:rPr>
        <w:t>维排序固定</w:t>
      </w:r>
      <w:r>
        <w:rPr>
          <w:rFonts w:ascii="Arial" w:hAnsi="Arial" w:eastAsia="Arial" w:cs="Arial"/>
          <w:color w:val="B8BFC6"/>
          <w:spacing w:val="-1"/>
        </w:rPr>
        <w:t>seed20261024</w:t>
      </w:r>
      <w:r>
        <w:rPr>
          <w:color w:val="B8BFC6"/>
          <w:spacing w:val="-1"/>
        </w:rPr>
        <w:t>，其余新增单</w:t>
      </w:r>
      <w:r>
        <w:rPr>
          <w:color w:val="B8BFC6"/>
          <w:spacing w:val="-2"/>
        </w:rPr>
        <w:t>值行固定</w:t>
      </w:r>
      <w:r>
        <w:rPr>
          <w:rFonts w:ascii="Arial" w:hAnsi="Arial" w:eastAsia="Arial" w:cs="Arial"/>
          <w:color w:val="B8BFC6"/>
          <w:spacing w:val="-2"/>
        </w:rPr>
        <w:t>seed20261025</w:t>
      </w:r>
      <w:r>
        <w:rPr>
          <w:color w:val="B8BFC6"/>
          <w:spacing w:val="-2"/>
        </w:rPr>
        <w:t>；跨种子范围另行列明。</w:t>
      </w:r>
    </w:p>
    <w:p>
      <w:pPr>
        <w:spacing w:before="75"/>
        <w:rPr/>
      </w:pPr>
      <w:r/>
    </w:p>
    <w:tbl>
      <w:tblPr>
        <w:tblStyle w:val="TableNormal"/>
        <w:tblW w:w="10949" w:type="dxa"/>
        <w:tblInd w:w="487" w:type="dxa"/>
        <w:tblLayout w:type="fixed"/>
        <w:tblBorders>
          <w:top w:val="single" w:color="474D54" w:sz="6" w:space="0"/>
          <w:left w:val="single" w:color="474D54" w:sz="6" w:space="0"/>
          <w:bottom w:val="single" w:color="474D54" w:sz="6" w:space="0"/>
          <w:right w:val="single" w:color="474D54" w:sz="6" w:space="0"/>
          <w:insideH w:val="single" w:color="474D54" w:sz="6" w:space="0"/>
          <w:insideV w:val="single" w:color="474D54" w:sz="6" w:space="0"/>
        </w:tblBorders>
      </w:tblPr>
      <w:tblGrid>
        <w:gridCol w:w="3183"/>
        <w:gridCol w:w="2816"/>
        <w:gridCol w:w="2831"/>
        <w:gridCol w:w="2119"/>
      </w:tblGrid>
      <w:tr>
        <w:trPr>
          <w:trHeight w:val="546" w:hRule="atLeast"/>
        </w:trPr>
        <w:tc>
          <w:tcPr>
            <w:tcW w:w="3183" w:type="dxa"/>
            <w:vAlign w:val="top"/>
          </w:tcPr>
          <w:p>
            <w:pPr>
              <w:ind w:left="153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1"/>
              </w:rPr>
              <w:t>排序变体</w:t>
            </w:r>
          </w:p>
        </w:tc>
        <w:tc>
          <w:tcPr>
            <w:tcW w:w="2816" w:type="dxa"/>
            <w:vAlign w:val="top"/>
          </w:tcPr>
          <w:p>
            <w:pPr>
              <w:pStyle w:val="TableText"/>
              <w:ind w:left="719"/>
              <w:spacing w:before="91" w:line="22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b/>
                <w:bCs/>
                <w:color w:val="DEDEDE"/>
                <w:spacing w:val="-3"/>
              </w:rPr>
              <w:t>Mask AP50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3"/>
              </w:rPr>
              <w:t>（</w:t>
            </w:r>
            <w:r>
              <w:rPr>
                <w:b/>
                <w:bCs/>
                <w:color w:val="DEDEDE"/>
                <w:spacing w:val="-3"/>
              </w:rPr>
              <w:t>%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3"/>
              </w:rPr>
              <w:t>）</w:t>
            </w:r>
          </w:p>
        </w:tc>
        <w:tc>
          <w:tcPr>
            <w:tcW w:w="2831" w:type="dxa"/>
            <w:vAlign w:val="top"/>
          </w:tcPr>
          <w:p>
            <w:pPr>
              <w:pStyle w:val="TableText"/>
              <w:ind w:left="330"/>
              <w:spacing w:before="91" w:line="22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b/>
                <w:bCs/>
                <w:color w:val="DEDEDE"/>
                <w:spacing w:val="-2"/>
              </w:rPr>
              <w:t>Mask AP50–95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2"/>
              </w:rPr>
              <w:t>（</w:t>
            </w:r>
            <w:r>
              <w:rPr>
                <w:b/>
                <w:bCs/>
                <w:color w:val="DEDEDE"/>
                <w:spacing w:val="-2"/>
              </w:rPr>
              <w:t>%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2"/>
              </w:rPr>
              <w:t>）</w:t>
            </w:r>
          </w:p>
        </w:tc>
        <w:tc>
          <w:tcPr>
            <w:tcW w:w="2119" w:type="dxa"/>
            <w:vAlign w:val="top"/>
          </w:tcPr>
          <w:p>
            <w:pPr>
              <w:ind w:left="155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2"/>
              </w:rPr>
              <w:t>选择身份</w:t>
            </w:r>
          </w:p>
        </w:tc>
      </w:tr>
      <w:tr>
        <w:trPr>
          <w:trHeight w:val="538" w:hRule="atLeast"/>
        </w:trPr>
        <w:tc>
          <w:tcPr>
            <w:tcW w:w="3183" w:type="dxa"/>
            <w:vAlign w:val="top"/>
          </w:tcPr>
          <w:p>
            <w:pPr>
              <w:ind w:left="151"/>
              <w:spacing w:before="133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原始置信度</w:t>
            </w:r>
          </w:p>
        </w:tc>
        <w:tc>
          <w:tcPr>
            <w:tcW w:w="2816" w:type="dxa"/>
            <w:vAlign w:val="top"/>
          </w:tcPr>
          <w:p>
            <w:pPr>
              <w:pStyle w:val="TableText"/>
              <w:ind w:left="1796"/>
              <w:spacing w:before="89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86.7046</w:t>
            </w:r>
          </w:p>
        </w:tc>
        <w:tc>
          <w:tcPr>
            <w:tcW w:w="2831" w:type="dxa"/>
            <w:vAlign w:val="top"/>
          </w:tcPr>
          <w:p>
            <w:pPr>
              <w:pStyle w:val="TableText"/>
              <w:ind w:left="1809"/>
              <w:spacing w:before="89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72.7225</w:t>
            </w:r>
          </w:p>
        </w:tc>
        <w:tc>
          <w:tcPr>
            <w:tcW w:w="2119" w:type="dxa"/>
            <w:vAlign w:val="top"/>
          </w:tcPr>
          <w:p>
            <w:pPr>
              <w:pStyle w:val="TableText"/>
              <w:ind w:left="167"/>
              <w:spacing w:before="135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B8BFC6"/>
                <w:spacing w:val="-3"/>
              </w:rPr>
              <w:t>固定</w:t>
            </w:r>
            <w:r>
              <w:rPr>
                <w:color w:val="B8BFC6"/>
                <w:spacing w:val="-3"/>
              </w:rPr>
              <w:t>RR22</w:t>
            </w:r>
            <w:r>
              <w:rPr>
                <w:rFonts w:ascii="Microsoft YaHei" w:hAnsi="Microsoft YaHei" w:eastAsia="Microsoft YaHei" w:cs="Microsoft YaHei"/>
                <w:color w:val="B8BFC6"/>
                <w:spacing w:val="-3"/>
              </w:rPr>
              <w:t>参考</w:t>
            </w:r>
          </w:p>
        </w:tc>
      </w:tr>
      <w:tr>
        <w:trPr>
          <w:trHeight w:val="539" w:hRule="atLeast"/>
        </w:trPr>
        <w:tc>
          <w:tcPr>
            <w:tcW w:w="3183" w:type="dxa"/>
            <w:vAlign w:val="top"/>
          </w:tcPr>
          <w:p>
            <w:pPr>
              <w:pStyle w:val="TableText"/>
              <w:ind w:left="153"/>
              <w:spacing w:before="91" w:line="23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历史</w:t>
            </w:r>
            <w:r>
              <w:rPr>
                <w:color w:val="B8BFC6"/>
                <w:spacing w:val="-1"/>
              </w:rPr>
              <w:t>18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维排序</w:t>
            </w:r>
          </w:p>
        </w:tc>
        <w:tc>
          <w:tcPr>
            <w:tcW w:w="2816" w:type="dxa"/>
            <w:vAlign w:val="top"/>
          </w:tcPr>
          <w:p>
            <w:pPr>
              <w:pStyle w:val="TableText"/>
              <w:ind w:left="1796"/>
              <w:spacing w:before="91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86.6942</w:t>
            </w:r>
          </w:p>
        </w:tc>
        <w:tc>
          <w:tcPr>
            <w:tcW w:w="2831" w:type="dxa"/>
            <w:vAlign w:val="top"/>
          </w:tcPr>
          <w:p>
            <w:pPr>
              <w:pStyle w:val="TableText"/>
              <w:ind w:left="1809"/>
              <w:spacing w:before="91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72.7307</w:t>
            </w:r>
          </w:p>
        </w:tc>
        <w:tc>
          <w:tcPr>
            <w:tcW w:w="2119" w:type="dxa"/>
            <w:vAlign w:val="top"/>
          </w:tcPr>
          <w:p>
            <w:pPr>
              <w:ind w:left="155"/>
              <w:spacing w:before="137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前阶段内部选择</w:t>
            </w:r>
          </w:p>
        </w:tc>
      </w:tr>
      <w:tr>
        <w:trPr>
          <w:trHeight w:val="927" w:hRule="atLeast"/>
        </w:trPr>
        <w:tc>
          <w:tcPr>
            <w:tcW w:w="3183" w:type="dxa"/>
            <w:vAlign w:val="top"/>
          </w:tcPr>
          <w:p>
            <w:pPr>
              <w:pStyle w:val="TableText"/>
              <w:ind w:left="185" w:right="217" w:hanging="9"/>
              <w:spacing w:before="92" w:line="23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B8BFC6"/>
                <w:spacing w:val="-2"/>
              </w:rPr>
              <w:t>18</w:t>
            </w:r>
            <w:r>
              <w:rPr>
                <w:rFonts w:ascii="Microsoft YaHei" w:hAnsi="Microsoft YaHei" w:eastAsia="Microsoft YaHei" w:cs="Microsoft YaHei"/>
                <w:color w:val="B8BFC6"/>
                <w:spacing w:val="-2"/>
              </w:rPr>
              <w:t>维核心＋四维零，多</w:t>
            </w:r>
            <w:r>
              <w:rPr>
                <w:color w:val="B8BFC6"/>
                <w:spacing w:val="-2"/>
              </w:rPr>
              <w:t>IoU</w:t>
            </w:r>
            <w:r>
              <w:rPr>
                <w:rFonts w:ascii="Microsoft YaHei" w:hAnsi="Microsoft YaHei" w:eastAsia="Microsoft YaHei" w:cs="Microsoft YaHei"/>
                <w:color w:val="B8BFC6"/>
                <w:spacing w:val="-9"/>
              </w:rPr>
              <w:t>目标</w:t>
            </w:r>
          </w:p>
        </w:tc>
        <w:tc>
          <w:tcPr>
            <w:tcW w:w="2816" w:type="dxa"/>
            <w:vAlign w:val="top"/>
          </w:tcPr>
          <w:p>
            <w:pPr>
              <w:pStyle w:val="TableText"/>
              <w:ind w:left="1796"/>
              <w:spacing w:before="92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86.6691</w:t>
            </w:r>
          </w:p>
        </w:tc>
        <w:tc>
          <w:tcPr>
            <w:tcW w:w="2831" w:type="dxa"/>
            <w:vAlign w:val="top"/>
          </w:tcPr>
          <w:p>
            <w:pPr>
              <w:pStyle w:val="TableText"/>
              <w:ind w:left="1809"/>
              <w:spacing w:before="92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72.7510</w:t>
            </w:r>
          </w:p>
        </w:tc>
        <w:tc>
          <w:tcPr>
            <w:tcW w:w="2119" w:type="dxa"/>
            <w:vAlign w:val="top"/>
          </w:tcPr>
          <w:p>
            <w:pPr>
              <w:ind w:left="157"/>
              <w:spacing w:before="138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配对信息对照</w:t>
            </w:r>
          </w:p>
        </w:tc>
      </w:tr>
      <w:tr>
        <w:trPr>
          <w:trHeight w:val="539" w:hRule="atLeast"/>
        </w:trPr>
        <w:tc>
          <w:tcPr>
            <w:tcW w:w="3183" w:type="dxa"/>
            <w:vAlign w:val="top"/>
          </w:tcPr>
          <w:p>
            <w:pPr>
              <w:pStyle w:val="TableText"/>
              <w:ind w:left="176"/>
              <w:spacing w:before="96" w:line="23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B8BFC6"/>
                <w:spacing w:val="-3"/>
              </w:rPr>
              <w:t>18</w:t>
            </w:r>
            <w:r>
              <w:rPr>
                <w:rFonts w:ascii="Microsoft YaHei" w:hAnsi="Microsoft YaHei" w:eastAsia="Microsoft YaHei" w:cs="Microsoft YaHei"/>
                <w:color w:val="B8BFC6"/>
                <w:spacing w:val="-3"/>
              </w:rPr>
              <w:t>维核心＋仅可用标记</w:t>
            </w:r>
          </w:p>
        </w:tc>
        <w:tc>
          <w:tcPr>
            <w:tcW w:w="2816" w:type="dxa"/>
            <w:vAlign w:val="top"/>
          </w:tcPr>
          <w:p>
            <w:pPr>
              <w:pStyle w:val="TableText"/>
              <w:ind w:left="1796"/>
              <w:spacing w:before="95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86.5808</w:t>
            </w:r>
          </w:p>
        </w:tc>
        <w:tc>
          <w:tcPr>
            <w:tcW w:w="2831" w:type="dxa"/>
            <w:vAlign w:val="top"/>
          </w:tcPr>
          <w:p>
            <w:pPr>
              <w:pStyle w:val="TableText"/>
              <w:ind w:left="1827"/>
              <w:spacing w:before="169" w:line="197" w:lineRule="auto"/>
              <w:rPr/>
            </w:pPr>
            <w:r>
              <w:rPr>
                <w:color w:val="B8BFC6"/>
                <w:spacing w:val="-2"/>
              </w:rPr>
              <w:t>72.7411</w:t>
            </w:r>
          </w:p>
        </w:tc>
        <w:tc>
          <w:tcPr>
            <w:tcW w:w="2119" w:type="dxa"/>
            <w:vAlign w:val="top"/>
          </w:tcPr>
          <w:p>
            <w:pPr>
              <w:ind w:left="153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追加机制对照</w:t>
            </w:r>
          </w:p>
        </w:tc>
      </w:tr>
      <w:tr>
        <w:trPr>
          <w:trHeight w:val="539" w:hRule="atLeast"/>
        </w:trPr>
        <w:tc>
          <w:tcPr>
            <w:tcW w:w="3183" w:type="dxa"/>
            <w:vAlign w:val="top"/>
          </w:tcPr>
          <w:p>
            <w:pPr>
              <w:pStyle w:val="TableText"/>
              <w:ind w:left="176"/>
              <w:spacing w:before="95" w:line="23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B8BFC6"/>
                <w:spacing w:val="-3"/>
              </w:rPr>
              <w:t>18</w:t>
            </w:r>
            <w:r>
              <w:rPr>
                <w:rFonts w:ascii="Microsoft YaHei" w:hAnsi="Microsoft YaHei" w:eastAsia="Microsoft YaHei" w:cs="Microsoft YaHei"/>
                <w:color w:val="B8BFC6"/>
                <w:spacing w:val="-3"/>
              </w:rPr>
              <w:t>维核心＋新缺陷证据</w:t>
            </w:r>
          </w:p>
        </w:tc>
        <w:tc>
          <w:tcPr>
            <w:tcW w:w="2816" w:type="dxa"/>
            <w:vAlign w:val="top"/>
          </w:tcPr>
          <w:p>
            <w:pPr>
              <w:pStyle w:val="TableText"/>
              <w:ind w:left="1796"/>
              <w:spacing w:before="96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87.0522</w:t>
            </w:r>
          </w:p>
        </w:tc>
        <w:tc>
          <w:tcPr>
            <w:tcW w:w="2831" w:type="dxa"/>
            <w:vAlign w:val="top"/>
          </w:tcPr>
          <w:p>
            <w:pPr>
              <w:pStyle w:val="TableText"/>
              <w:ind w:left="1809"/>
              <w:spacing w:before="96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73.2362</w:t>
            </w:r>
          </w:p>
        </w:tc>
        <w:tc>
          <w:tcPr>
            <w:tcW w:w="2119" w:type="dxa"/>
            <w:vAlign w:val="top"/>
          </w:tcPr>
          <w:p>
            <w:pPr>
              <w:ind w:left="173"/>
              <w:spacing w:before="140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3"/>
              </w:rPr>
              <w:t>内部选定新家族</w:t>
            </w:r>
          </w:p>
        </w:tc>
      </w:tr>
      <w:tr>
        <w:trPr>
          <w:trHeight w:val="927" w:hRule="atLeast"/>
        </w:trPr>
        <w:tc>
          <w:tcPr>
            <w:tcW w:w="3183" w:type="dxa"/>
            <w:vAlign w:val="top"/>
          </w:tcPr>
          <w:p>
            <w:pPr>
              <w:pStyle w:val="TableText"/>
              <w:ind w:left="176"/>
              <w:spacing w:before="96" w:line="23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B8BFC6"/>
                <w:spacing w:val="-3"/>
              </w:rPr>
              <w:t>18</w:t>
            </w:r>
            <w:r>
              <w:rPr>
                <w:rFonts w:ascii="Microsoft YaHei" w:hAnsi="Microsoft YaHei" w:eastAsia="Microsoft YaHei" w:cs="Microsoft YaHei"/>
                <w:color w:val="B8BFC6"/>
                <w:spacing w:val="-3"/>
              </w:rPr>
              <w:t>维核心＋原缺陷证据</w:t>
            </w:r>
          </w:p>
        </w:tc>
        <w:tc>
          <w:tcPr>
            <w:tcW w:w="2816" w:type="dxa"/>
            <w:vAlign w:val="top"/>
          </w:tcPr>
          <w:p>
            <w:pPr>
              <w:pStyle w:val="TableText"/>
              <w:ind w:left="1796"/>
              <w:spacing w:before="97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87.1013</w:t>
            </w:r>
          </w:p>
        </w:tc>
        <w:tc>
          <w:tcPr>
            <w:tcW w:w="2831" w:type="dxa"/>
            <w:vAlign w:val="top"/>
          </w:tcPr>
          <w:p>
            <w:pPr>
              <w:pStyle w:val="TableText"/>
              <w:ind w:left="1809"/>
              <w:spacing w:before="97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73.2874</w:t>
            </w:r>
          </w:p>
        </w:tc>
        <w:tc>
          <w:tcPr>
            <w:tcW w:w="2119" w:type="dxa"/>
            <w:vAlign w:val="top"/>
          </w:tcPr>
          <w:p>
            <w:pPr>
              <w:ind w:left="155" w:right="274" w:hanging="2"/>
              <w:spacing w:before="141" w:line="22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追加对照，随后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2"/>
              </w:rPr>
              <w:t>冻结</w:t>
            </w:r>
          </w:p>
        </w:tc>
      </w:tr>
      <w:tr>
        <w:trPr>
          <w:trHeight w:val="935" w:hRule="atLeast"/>
        </w:trPr>
        <w:tc>
          <w:tcPr>
            <w:tcW w:w="3183" w:type="dxa"/>
            <w:vAlign w:val="top"/>
          </w:tcPr>
          <w:p>
            <w:pPr>
              <w:pStyle w:val="TableText"/>
              <w:ind w:left="151"/>
              <w:spacing w:before="101" w:line="235" w:lineRule="auto"/>
              <w:rPr/>
            </w:pP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原缺陷，</w:t>
            </w:r>
            <w:r>
              <w:rPr>
                <w:color w:val="B8BFC6"/>
                <w:spacing w:val="-1"/>
              </w:rPr>
              <w:t>seed25/26/27</w:t>
            </w:r>
          </w:p>
        </w:tc>
        <w:tc>
          <w:tcPr>
            <w:tcW w:w="2816" w:type="dxa"/>
            <w:vAlign w:val="top"/>
          </w:tcPr>
          <w:p>
            <w:pPr>
              <w:pStyle w:val="TableText"/>
              <w:ind w:left="1796" w:right="146" w:hanging="1200"/>
              <w:spacing w:before="101" w:line="336" w:lineRule="auto"/>
              <w:rPr/>
            </w:pPr>
            <w:r>
              <w:rPr>
                <w:color w:val="B8BFC6"/>
                <w:spacing w:val="-1"/>
              </w:rPr>
              <w:t>87.1013 / 87.1468 /</w:t>
            </w:r>
            <w:r>
              <w:rPr>
                <w:color w:val="B8BFC6"/>
                <w:spacing w:val="6"/>
              </w:rPr>
              <w:t xml:space="preserve"> </w:t>
            </w:r>
            <w:r>
              <w:rPr>
                <w:color w:val="B8BFC6"/>
                <w:spacing w:val="-2"/>
              </w:rPr>
              <w:t>87.3170</w:t>
            </w:r>
          </w:p>
        </w:tc>
        <w:tc>
          <w:tcPr>
            <w:tcW w:w="2831" w:type="dxa"/>
            <w:vAlign w:val="top"/>
          </w:tcPr>
          <w:p>
            <w:pPr>
              <w:pStyle w:val="TableText"/>
              <w:ind w:left="1808" w:right="150" w:hanging="1200"/>
              <w:spacing w:before="101" w:line="336" w:lineRule="auto"/>
              <w:rPr/>
            </w:pPr>
            <w:r>
              <w:rPr>
                <w:color w:val="B8BFC6"/>
                <w:spacing w:val="-1"/>
              </w:rPr>
              <w:t>73.2874 / 73.2936 /</w:t>
            </w:r>
            <w:r>
              <w:rPr>
                <w:color w:val="B8BFC6"/>
                <w:spacing w:val="5"/>
              </w:rPr>
              <w:t xml:space="preserve"> </w:t>
            </w:r>
            <w:r>
              <w:rPr>
                <w:color w:val="B8BFC6"/>
                <w:spacing w:val="-2"/>
              </w:rPr>
              <w:t>73.4414</w:t>
            </w:r>
          </w:p>
        </w:tc>
        <w:tc>
          <w:tcPr>
            <w:tcW w:w="2119" w:type="dxa"/>
            <w:vAlign w:val="top"/>
          </w:tcPr>
          <w:p>
            <w:pPr>
              <w:ind w:left="152"/>
              <w:spacing w:before="146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保留全部重复</w:t>
            </w:r>
          </w:p>
        </w:tc>
      </w:tr>
    </w:tbl>
    <w:p>
      <w:pPr>
        <w:pStyle w:val="BodyText"/>
        <w:ind w:left="481" w:right="488" w:firstLine="16"/>
        <w:spacing w:before="304" w:line="231" w:lineRule="auto"/>
        <w:jc w:val="both"/>
        <w:rPr/>
      </w:pPr>
      <w:r>
        <w:rPr>
          <w:color w:val="B8BFC6"/>
        </w:rPr>
        <w:t>固定原缺陷排序相对</w:t>
      </w:r>
      <w:r>
        <w:rPr>
          <w:rFonts w:ascii="Arial" w:hAnsi="Arial" w:eastAsia="Arial" w:cs="Arial"/>
          <w:color w:val="B8BFC6"/>
        </w:rPr>
        <w:t>RR22</w:t>
      </w:r>
      <w:r>
        <w:rPr>
          <w:color w:val="B8BFC6"/>
        </w:rPr>
        <w:t>的</w:t>
      </w:r>
      <w:r>
        <w:rPr>
          <w:rFonts w:ascii="Arial" w:hAnsi="Arial" w:eastAsia="Arial" w:cs="Arial"/>
          <w:color w:val="B8BFC6"/>
        </w:rPr>
        <w:t>AP50</w:t>
      </w:r>
      <w:r>
        <w:rPr>
          <w:color w:val="B8BFC6"/>
        </w:rPr>
        <w:t>差为</w:t>
      </w:r>
      <w:r>
        <w:rPr>
          <w:rFonts w:ascii="Arial" w:hAnsi="Arial" w:eastAsia="Arial" w:cs="Arial"/>
          <w:color w:val="B8BFC6"/>
        </w:rPr>
        <w:t>+0.397</w:t>
      </w:r>
      <w:r>
        <w:rPr>
          <w:color w:val="B8BFC6"/>
        </w:rPr>
        <w:t>个百分点，探索性</w:t>
      </w:r>
      <w:r>
        <w:rPr>
          <w:rFonts w:ascii="Arial" w:hAnsi="Arial" w:eastAsia="Arial" w:cs="Arial"/>
          <w:color w:val="B8BFC6"/>
        </w:rPr>
        <w:t>95%</w:t>
      </w:r>
      <w:r>
        <w:rPr>
          <w:color w:val="B8BFC6"/>
        </w:rPr>
        <w:t>区间为</w:t>
      </w:r>
      <w:r>
        <w:rPr>
          <w:rFonts w:ascii="Arial" w:hAnsi="Arial" w:eastAsia="Arial" w:cs="Arial"/>
          <w:color w:val="B8BFC6"/>
        </w:rPr>
        <w:t>[−0</w:t>
      </w:r>
      <w:r>
        <w:rPr>
          <w:rFonts w:ascii="Arial" w:hAnsi="Arial" w:eastAsia="Arial" w:cs="Arial"/>
          <w:color w:val="B8BFC6"/>
          <w:spacing w:val="-1"/>
        </w:rPr>
        <w:t>.141,+0.959]</w:t>
      </w:r>
      <w:r>
        <w:rPr>
          <w:color w:val="B8BFC6"/>
          <w:spacing w:val="-1"/>
        </w:rPr>
        <w:t>；</w:t>
      </w:r>
      <w:r>
        <w:rPr>
          <w:rFonts w:ascii="Arial" w:hAnsi="Arial" w:eastAsia="Arial" w:cs="Arial"/>
          <w:color w:val="B8BFC6"/>
          <w:spacing w:val="-1"/>
        </w:rPr>
        <w:t>AP50–95</w:t>
      </w:r>
      <w:r>
        <w:rPr>
          <w:color w:val="B8BFC6"/>
        </w:rPr>
        <w:t>差为</w:t>
      </w:r>
      <w:r>
        <w:rPr>
          <w:rFonts w:ascii="Arial" w:hAnsi="Arial" w:eastAsia="Arial" w:cs="Arial"/>
          <w:color w:val="B8BFC6"/>
        </w:rPr>
        <w:t>+0.565</w:t>
      </w:r>
      <w:r>
        <w:rPr>
          <w:color w:val="B8BFC6"/>
        </w:rPr>
        <w:t>个百分点，区间为</w:t>
      </w:r>
      <w:r>
        <w:rPr>
          <w:rFonts w:ascii="Arial" w:hAnsi="Arial" w:eastAsia="Arial" w:cs="Arial"/>
          <w:color w:val="B8BFC6"/>
        </w:rPr>
        <w:t>[+0.013,+1.045]</w:t>
      </w:r>
      <w:r>
        <w:rPr>
          <w:color w:val="B8BFC6"/>
        </w:rPr>
        <w:t>。相对同目标零信息对照，</w:t>
      </w:r>
      <w:r>
        <w:rPr>
          <w:rFonts w:ascii="Arial" w:hAnsi="Arial" w:eastAsia="Arial" w:cs="Arial"/>
          <w:color w:val="B8BFC6"/>
        </w:rPr>
        <w:t>AP50</w:t>
      </w:r>
      <w:r>
        <w:rPr>
          <w:color w:val="B8BFC6"/>
        </w:rPr>
        <w:t>差为</w:t>
      </w:r>
      <w:r>
        <w:rPr>
          <w:rFonts w:ascii="Arial" w:hAnsi="Arial" w:eastAsia="Arial" w:cs="Arial"/>
          <w:color w:val="B8BFC6"/>
        </w:rPr>
        <w:t>+0.432</w:t>
      </w:r>
      <w:r>
        <w:rPr>
          <w:color w:val="B8BFC6"/>
        </w:rPr>
        <w:t>个百分</w:t>
      </w:r>
      <w:r>
        <w:rPr>
          <w:color w:val="B8BFC6"/>
          <w:spacing w:val="-1"/>
        </w:rPr>
        <w:t>点，区</w:t>
      </w:r>
      <w:r>
        <w:rPr>
          <w:color w:val="B8BFC6"/>
        </w:rPr>
        <w:t>间为</w:t>
      </w:r>
      <w:r>
        <w:rPr>
          <w:rFonts w:ascii="Arial" w:hAnsi="Arial" w:eastAsia="Arial" w:cs="Arial"/>
          <w:color w:val="B8BFC6"/>
        </w:rPr>
        <w:t>[+0.028,+0.782]</w:t>
      </w:r>
      <w:r>
        <w:rPr>
          <w:color w:val="B8BFC6"/>
        </w:rPr>
        <w:t>。这些逐项区间均未校正适应性追加家族和反复开发；相对</w:t>
      </w:r>
      <w:r>
        <w:rPr>
          <w:rFonts w:ascii="Arial" w:hAnsi="Arial" w:eastAsia="Arial" w:cs="Arial"/>
          <w:color w:val="B8BFC6"/>
        </w:rPr>
        <w:t>RR22</w:t>
      </w:r>
      <w:r>
        <w:rPr>
          <w:color w:val="B8BFC6"/>
        </w:rPr>
        <w:t>的主要</w:t>
      </w:r>
      <w:r>
        <w:rPr>
          <w:rFonts w:ascii="Arial" w:hAnsi="Arial" w:eastAsia="Arial" w:cs="Arial"/>
          <w:color w:val="B8BFC6"/>
        </w:rPr>
        <w:t>AP5</w:t>
      </w:r>
      <w:r>
        <w:rPr>
          <w:rFonts w:ascii="Arial" w:hAnsi="Arial" w:eastAsia="Arial" w:cs="Arial"/>
          <w:color w:val="B8BFC6"/>
          <w:spacing w:val="-1"/>
        </w:rPr>
        <w:t>0</w:t>
      </w:r>
      <w:r>
        <w:rPr>
          <w:color w:val="B8BFC6"/>
          <w:spacing w:val="-1"/>
        </w:rPr>
        <w:t>区间</w:t>
      </w:r>
      <w:r>
        <w:rPr>
          <w:color w:val="B8BFC6"/>
          <w:spacing w:val="-1"/>
        </w:rPr>
        <w:t>包含</w:t>
      </w:r>
      <w:r>
        <w:rPr>
          <w:rFonts w:ascii="Arial" w:hAnsi="Arial" w:eastAsia="Arial" w:cs="Arial"/>
          <w:color w:val="B8BFC6"/>
          <w:spacing w:val="-1"/>
        </w:rPr>
        <w:t>0</w:t>
      </w:r>
      <w:r>
        <w:rPr>
          <w:color w:val="B8BFC6"/>
          <w:spacing w:val="-1"/>
        </w:rPr>
        <w:t>。</w:t>
      </w:r>
    </w:p>
    <w:p>
      <w:pPr>
        <w:pStyle w:val="BodyText"/>
        <w:ind w:left="482" w:right="516"/>
        <w:spacing w:before="333" w:line="230" w:lineRule="auto"/>
        <w:jc w:val="both"/>
        <w:rPr/>
      </w:pPr>
      <w:r>
        <w:rPr>
          <w:color w:val="B8BFC6"/>
        </w:rPr>
        <w:t>逐一排除一个开发来源后，</w:t>
      </w:r>
      <w:r>
        <w:rPr>
          <w:rFonts w:ascii="Arial" w:hAnsi="Arial" w:eastAsia="Arial" w:cs="Arial"/>
          <w:color w:val="B8BFC6"/>
        </w:rPr>
        <w:t>AP50</w:t>
      </w:r>
      <w:r>
        <w:rPr>
          <w:color w:val="B8BFC6"/>
        </w:rPr>
        <w:t>点增益约为</w:t>
      </w:r>
      <w:r>
        <w:rPr>
          <w:rFonts w:ascii="Arial" w:hAnsi="Arial" w:eastAsia="Arial" w:cs="Arial"/>
          <w:color w:val="B8BFC6"/>
        </w:rPr>
        <w:t>+0.33</w:t>
      </w:r>
      <w:r>
        <w:rPr>
          <w:color w:val="B8BFC6"/>
        </w:rPr>
        <w:t>至</w:t>
      </w:r>
      <w:r>
        <w:rPr>
          <w:rFonts w:ascii="Arial" w:hAnsi="Arial" w:eastAsia="Arial" w:cs="Arial"/>
          <w:color w:val="B8BFC6"/>
        </w:rPr>
        <w:t>+0.62</w:t>
      </w:r>
      <w:r>
        <w:rPr>
          <w:color w:val="B8BFC6"/>
        </w:rPr>
        <w:t>个百分点。在原训练集上的新增排序</w:t>
      </w:r>
      <w:r>
        <w:rPr>
          <w:color w:val="B8BFC6"/>
          <w:spacing w:val="-1"/>
        </w:rPr>
        <w:t>器来源留</w:t>
      </w:r>
      <w:r>
        <w:rPr>
          <w:color w:val="B8BFC6"/>
        </w:rPr>
        <w:t>出审计中，原缺陷组拼接</w:t>
      </w:r>
      <w:r>
        <w:rPr>
          <w:rFonts w:ascii="Arial" w:hAnsi="Arial" w:eastAsia="Arial" w:cs="Arial"/>
          <w:color w:val="B8BFC6"/>
        </w:rPr>
        <w:t>AP50</w:t>
      </w:r>
      <w:r>
        <w:rPr>
          <w:color w:val="B8BFC6"/>
        </w:rPr>
        <w:t>为</w:t>
      </w:r>
      <w:r>
        <w:rPr>
          <w:rFonts w:ascii="Arial" w:hAnsi="Arial" w:eastAsia="Arial" w:cs="Arial"/>
          <w:color w:val="B8BFC6"/>
        </w:rPr>
        <w:t>97.35%</w:t>
      </w:r>
      <w:r>
        <w:rPr>
          <w:color w:val="B8BFC6"/>
        </w:rPr>
        <w:t>至</w:t>
      </w:r>
      <w:r>
        <w:rPr>
          <w:rFonts w:ascii="Arial" w:hAnsi="Arial" w:eastAsia="Arial" w:cs="Arial"/>
          <w:color w:val="B8BFC6"/>
        </w:rPr>
        <w:t>97.38%</w:t>
      </w:r>
      <w:r>
        <w:rPr>
          <w:color w:val="B8BFC6"/>
        </w:rPr>
        <w:t>，零附加组为</w:t>
      </w:r>
      <w:r>
        <w:rPr>
          <w:rFonts w:ascii="Arial" w:hAnsi="Arial" w:eastAsia="Arial" w:cs="Arial"/>
          <w:color w:val="B8BFC6"/>
        </w:rPr>
        <w:t>97.23%</w:t>
      </w:r>
      <w:r>
        <w:rPr>
          <w:color w:val="B8BFC6"/>
        </w:rPr>
        <w:t>至</w:t>
      </w:r>
      <w:r>
        <w:rPr>
          <w:rFonts w:ascii="Arial" w:hAnsi="Arial" w:eastAsia="Arial" w:cs="Arial"/>
          <w:color w:val="B8BFC6"/>
        </w:rPr>
        <w:t>97.27%</w:t>
      </w:r>
      <w:r>
        <w:rPr>
          <w:color w:val="B8BFC6"/>
        </w:rPr>
        <w:t>。</w:t>
      </w:r>
      <w:r>
        <w:rPr>
          <w:color w:val="B8BFC6"/>
          <w:spacing w:val="-1"/>
        </w:rPr>
        <w:t>这些高值只审计原</w:t>
      </w:r>
      <w:r>
        <w:rPr>
          <w:color w:val="B8BFC6"/>
          <w:spacing w:val="-2"/>
        </w:rPr>
        <w:t>训练总体中的新增排序器，不是整个系统在独立来源上的泛化成绩。</w:t>
      </w:r>
    </w:p>
    <w:p>
      <w:pPr>
        <w:spacing w:line="230" w:lineRule="auto"/>
        <w:sectPr>
          <w:headerReference w:type="default" r:id="rId47"/>
          <w:pgSz w:w="11919" w:h="16858"/>
          <w:pgMar w:top="400" w:right="0" w:bottom="921" w:left="0" w:header="0" w:footer="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480"/>
        <w:spacing w:line="4875" w:lineRule="exact"/>
        <w:rPr/>
      </w:pPr>
      <w:r>
        <w:rPr>
          <w:position w:val="-97"/>
        </w:rPr>
        <w:drawing>
          <wp:inline distT="0" distB="0" distL="0" distR="0">
            <wp:extent cx="6962775" cy="3095625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27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481" w:right="625" w:firstLine="14"/>
        <w:spacing w:before="103"/>
        <w:jc w:val="both"/>
        <w:rPr/>
      </w:pPr>
      <w:r>
        <w:rPr>
          <w:color w:val="B8BFC6"/>
          <w:spacing w:val="-1"/>
        </w:rPr>
        <w:t>图</w:t>
      </w:r>
      <w:r>
        <w:rPr>
          <w:rFonts w:ascii="Arial" w:hAnsi="Arial" w:eastAsia="Arial" w:cs="Arial"/>
          <w:color w:val="B8BFC6"/>
          <w:spacing w:val="-1"/>
        </w:rPr>
        <w:t>2 </w:t>
      </w:r>
      <w:r>
        <w:rPr>
          <w:color w:val="B8BFC6"/>
          <w:spacing w:val="-1"/>
        </w:rPr>
        <w:t>排序信息来源及新增排序器来源留出审计。实心点表示固定</w:t>
      </w:r>
      <w:r>
        <w:rPr>
          <w:rFonts w:ascii="Arial" w:hAnsi="Arial" w:eastAsia="Arial" w:cs="Arial"/>
          <w:color w:val="B8BFC6"/>
          <w:spacing w:val="-1"/>
        </w:rPr>
        <w:t>seed25</w:t>
      </w:r>
      <w:r>
        <w:rPr>
          <w:color w:val="B8BFC6"/>
          <w:spacing w:val="-1"/>
        </w:rPr>
        <w:t>，其余点保留其他种子。原缺陷</w:t>
      </w:r>
      <w:r>
        <w:rPr>
          <w:color w:val="B8BFC6"/>
        </w:rPr>
        <w:t>组属于适应性机制对照；来源审计的上游冻结组件已见过原训练数据，不能将该面板解释为全系</w:t>
      </w:r>
      <w:r>
        <w:rPr>
          <w:color w:val="B8BFC6"/>
          <w:spacing w:val="-1"/>
        </w:rPr>
        <w:t>统分布</w:t>
      </w:r>
      <w:r>
        <w:rPr>
          <w:color w:val="B8BFC6"/>
          <w:spacing w:val="-9"/>
        </w:rPr>
        <w:t>外测试。</w:t>
      </w:r>
    </w:p>
    <w:p>
      <w:pPr>
        <w:pStyle w:val="BodyText"/>
        <w:ind w:left="492"/>
        <w:spacing w:before="305" w:line="184" w:lineRule="auto"/>
        <w:outlineLvl w:val="2"/>
        <w:rPr>
          <w:sz w:val="28"/>
          <w:szCs w:val="28"/>
        </w:rPr>
      </w:pP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3"/>
        </w:rPr>
        <w:t>5.3</w:t>
      </w: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8"/>
        </w:rPr>
        <w:t xml:space="preserve"> </w:t>
      </w:r>
      <w:r>
        <w:rPr>
          <w:sz w:val="28"/>
          <w:szCs w:val="28"/>
          <w:b/>
          <w:bCs/>
          <w:color w:val="DEDEDE"/>
          <w:spacing w:val="-13"/>
        </w:rPr>
        <w:t>输出细化与分级兼容性</w:t>
      </w:r>
    </w:p>
    <w:p>
      <w:pPr>
        <w:pStyle w:val="BodyText"/>
        <w:ind w:left="483" w:right="678" w:firstLine="20"/>
        <w:spacing w:before="341" w:line="234" w:lineRule="auto"/>
        <w:rPr/>
      </w:pPr>
      <w:r>
        <w:rPr>
          <w:color w:val="B8BFC6"/>
        </w:rPr>
        <w:t>内部选出的软掩膜</w:t>
      </w:r>
      <w:r>
        <w:rPr>
          <w:rFonts w:ascii="Arial" w:hAnsi="Arial" w:eastAsia="Arial" w:cs="Arial"/>
          <w:color w:val="B8BFC6"/>
        </w:rPr>
        <w:t>/</w:t>
      </w:r>
      <w:r>
        <w:rPr>
          <w:color w:val="B8BFC6"/>
        </w:rPr>
        <w:t>原型家族改善了相对原掩膜</w:t>
      </w:r>
      <w:r>
        <w:rPr>
          <w:color w:val="B8BFC6"/>
          <w:spacing w:val="-1"/>
        </w:rPr>
        <w:t>的原图</w:t>
      </w:r>
      <w:r>
        <w:rPr>
          <w:rFonts w:ascii="Arial" w:hAnsi="Arial" w:eastAsia="Arial" w:cs="Arial"/>
          <w:color w:val="B8BFC6"/>
          <w:spacing w:val="-1"/>
        </w:rPr>
        <w:t>IoU</w:t>
      </w:r>
      <w:r>
        <w:rPr>
          <w:color w:val="B8BFC6"/>
          <w:spacing w:val="-1"/>
        </w:rPr>
        <w:t>和面积误差，但将其直接送入旧分级器不能稳</w:t>
      </w:r>
      <w:r>
        <w:rPr>
          <w:color w:val="B8BFC6"/>
          <w:spacing w:val="-1"/>
        </w:rPr>
        <w:t>定保持完整流程结果。表</w:t>
      </w:r>
      <w:r>
        <w:rPr>
          <w:rFonts w:ascii="Arial" w:hAnsi="Arial" w:eastAsia="Arial" w:cs="Arial"/>
          <w:color w:val="B8BFC6"/>
          <w:spacing w:val="-1"/>
        </w:rPr>
        <w:t>5</w:t>
      </w:r>
      <w:r>
        <w:rPr>
          <w:color w:val="B8BFC6"/>
          <w:spacing w:val="-1"/>
        </w:rPr>
        <w:t>分别比较输出细化、完整重评分，并保留历史二值细化器</w:t>
      </w:r>
      <w:r>
        <w:rPr>
          <w:color w:val="B8BFC6"/>
          <w:spacing w:val="-2"/>
        </w:rPr>
        <w:t>作为强对照。</w:t>
      </w:r>
    </w:p>
    <w:p>
      <w:pPr>
        <w:pStyle w:val="BodyText"/>
        <w:ind w:left="483" w:right="482"/>
        <w:spacing w:before="336" w:line="230" w:lineRule="auto"/>
        <w:rPr/>
      </w:pPr>
      <w:r>
        <w:rPr>
          <w:color w:val="B8BFC6"/>
          <w:spacing w:val="1"/>
        </w:rPr>
        <w:t>表</w:t>
      </w:r>
      <w:r>
        <w:rPr>
          <w:rFonts w:ascii="Arial" w:hAnsi="Arial" w:eastAsia="Arial" w:cs="Arial"/>
          <w:color w:val="B8BFC6"/>
          <w:spacing w:val="1"/>
        </w:rPr>
        <w:t>5</w:t>
      </w:r>
      <w:r>
        <w:rPr>
          <w:rFonts w:ascii="Arial" w:hAnsi="Arial" w:eastAsia="Arial" w:cs="Arial"/>
          <w:color w:val="B8BFC6"/>
        </w:rPr>
        <w:t>RR</w:t>
      </w:r>
      <w:r>
        <w:rPr>
          <w:rFonts w:ascii="Arial" w:hAnsi="Arial" w:eastAsia="Arial" w:cs="Arial"/>
          <w:color w:val="B8BFC6"/>
          <w:spacing w:val="1"/>
        </w:rPr>
        <w:t>22</w:t>
      </w:r>
      <w:r>
        <w:rPr>
          <w:color w:val="B8BFC6"/>
          <w:spacing w:val="1"/>
        </w:rPr>
        <w:t>原始置信度下的掩膜与兼容性对照，不启用新增缺陷排序。新模型固定</w:t>
      </w:r>
      <w:r>
        <w:rPr>
          <w:rFonts w:ascii="Arial" w:hAnsi="Arial" w:eastAsia="Arial" w:cs="Arial"/>
          <w:color w:val="B8BFC6"/>
        </w:rPr>
        <w:t>seed</w:t>
      </w:r>
      <w:r>
        <w:rPr>
          <w:rFonts w:ascii="Arial" w:hAnsi="Arial" w:eastAsia="Arial" w:cs="Arial"/>
          <w:color w:val="B8BFC6"/>
          <w:spacing w:val="1"/>
        </w:rPr>
        <w:t>25</w:t>
      </w:r>
      <w:r>
        <w:rPr>
          <w:color w:val="B8BFC6"/>
          <w:spacing w:val="1"/>
        </w:rPr>
        <w:t>，历史二值模型</w:t>
      </w:r>
      <w:r>
        <w:rPr>
          <w:color w:val="B8BFC6"/>
        </w:rPr>
        <w:t>固定</w:t>
      </w:r>
      <w:r>
        <w:rPr>
          <w:rFonts w:ascii="Arial" w:hAnsi="Arial" w:eastAsia="Arial" w:cs="Arial"/>
          <w:color w:val="B8BFC6"/>
        </w:rPr>
        <w:t>seed23</w:t>
      </w:r>
      <w:r>
        <w:rPr>
          <w:color w:val="B8BFC6"/>
        </w:rPr>
        <w:t>。几何评价使用原始固定</w:t>
      </w:r>
      <w:r>
        <w:rPr>
          <w:rFonts w:ascii="Arial" w:hAnsi="Arial" w:eastAsia="Arial" w:cs="Arial"/>
          <w:color w:val="B8BFC6"/>
        </w:rPr>
        <w:t>500</w:t>
      </w:r>
      <w:r>
        <w:rPr>
          <w:color w:val="B8BFC6"/>
        </w:rPr>
        <w:t>个匹配，平均相对误差无量纲；几何列只描述掩膜</w:t>
      </w:r>
      <w:r>
        <w:rPr>
          <w:color w:val="B8BFC6"/>
          <w:spacing w:val="-1"/>
        </w:rPr>
        <w:t>，与是否重</w:t>
      </w:r>
      <w:r>
        <w:rPr>
          <w:color w:val="B8BFC6"/>
          <w:spacing w:val="-7"/>
        </w:rPr>
        <w:t>算分级无关。</w:t>
      </w:r>
    </w:p>
    <w:p>
      <w:pPr>
        <w:spacing w:before="86"/>
        <w:rPr/>
      </w:pPr>
      <w:r/>
    </w:p>
    <w:tbl>
      <w:tblPr>
        <w:tblStyle w:val="TableNormal"/>
        <w:tblW w:w="10950" w:type="dxa"/>
        <w:tblInd w:w="487" w:type="dxa"/>
        <w:tblLayout w:type="fixed"/>
        <w:tblBorders>
          <w:top w:val="single" w:color="474D54" w:sz="6" w:space="0"/>
          <w:left w:val="single" w:color="474D54" w:sz="6" w:space="0"/>
          <w:bottom w:val="single" w:color="474D54" w:sz="6" w:space="0"/>
          <w:right w:val="single" w:color="474D54" w:sz="6" w:space="0"/>
          <w:insideH w:val="single" w:color="474D54" w:sz="6" w:space="0"/>
          <w:insideV w:val="single" w:color="474D54" w:sz="6" w:space="0"/>
        </w:tblBorders>
      </w:tblPr>
      <w:tblGrid>
        <w:gridCol w:w="2030"/>
        <w:gridCol w:w="1648"/>
        <w:gridCol w:w="1872"/>
        <w:gridCol w:w="1258"/>
        <w:gridCol w:w="1183"/>
        <w:gridCol w:w="1483"/>
        <w:gridCol w:w="1476"/>
      </w:tblGrid>
      <w:tr>
        <w:trPr>
          <w:trHeight w:val="934" w:hRule="atLeast"/>
        </w:trPr>
        <w:tc>
          <w:tcPr>
            <w:tcW w:w="2030" w:type="dxa"/>
            <w:vAlign w:val="top"/>
          </w:tcPr>
          <w:p>
            <w:pPr>
              <w:pStyle w:val="TableText"/>
              <w:ind w:left="153"/>
              <w:spacing w:before="141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"/>
              </w:rPr>
              <w:t>掩膜</w:t>
            </w:r>
            <w:r>
              <w:rPr>
                <w:b/>
                <w:bCs/>
                <w:color w:val="DEDEDE"/>
                <w:spacing w:val="-1"/>
              </w:rPr>
              <w:t>/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"/>
              </w:rPr>
              <w:t>输出策略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238" w:right="153"/>
              <w:spacing w:before="170" w:line="263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b/>
                <w:bCs/>
                <w:color w:val="DEDEDE"/>
                <w:spacing w:val="-3"/>
              </w:rPr>
              <w:t>Mask AP50</w:t>
            </w:r>
            <w:r>
              <w:rPr>
                <w:b/>
                <w:bCs/>
                <w:color w:val="DEDEDE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1"/>
              </w:rPr>
              <w:t>（</w:t>
            </w:r>
            <w:r>
              <w:rPr>
                <w:b/>
                <w:bCs/>
                <w:color w:val="DEDEDE"/>
                <w:spacing w:val="-11"/>
              </w:rPr>
              <w:t>%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1"/>
              </w:rPr>
              <w:t>）</w:t>
            </w:r>
          </w:p>
        </w:tc>
        <w:tc>
          <w:tcPr>
            <w:tcW w:w="1872" w:type="dxa"/>
            <w:vAlign w:val="top"/>
          </w:tcPr>
          <w:p>
            <w:pPr>
              <w:pStyle w:val="TableText"/>
              <w:ind w:left="333" w:right="148"/>
              <w:spacing w:before="170" w:line="263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b/>
                <w:bCs/>
                <w:color w:val="DEDEDE"/>
                <w:spacing w:val="-3"/>
              </w:rPr>
              <w:t>Mask AP50–</w:t>
            </w:r>
            <w:r>
              <w:rPr>
                <w:b/>
                <w:bCs/>
                <w:color w:val="DEDEDE"/>
                <w:spacing w:val="2"/>
              </w:rPr>
              <w:t xml:space="preserve"> </w:t>
            </w:r>
            <w:r>
              <w:rPr>
                <w:b/>
                <w:bCs/>
                <w:color w:val="DEDEDE"/>
                <w:spacing w:val="-2"/>
              </w:rPr>
              <w:t>95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2"/>
              </w:rPr>
              <w:t>（</w:t>
            </w:r>
            <w:r>
              <w:rPr>
                <w:b/>
                <w:bCs/>
                <w:color w:val="DEDEDE"/>
                <w:spacing w:val="-2"/>
              </w:rPr>
              <w:t>%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2"/>
              </w:rPr>
              <w:t>）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863" w:right="142" w:hanging="544"/>
              <w:spacing w:before="141" w:line="22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2"/>
              </w:rPr>
              <w:t>正确</w:t>
            </w:r>
            <w:r>
              <w:rPr>
                <w:b/>
                <w:bCs/>
                <w:color w:val="DEDEDE"/>
                <w:spacing w:val="-2"/>
              </w:rPr>
              <w:t>/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2"/>
              </w:rPr>
              <w:t>定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4"/>
              </w:rPr>
              <w:t>位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165"/>
              <w:spacing w:before="140" w:line="183" w:lineRule="auto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2"/>
              </w:rPr>
              <w:t>平均</w:t>
            </w:r>
            <w:r>
              <w:rPr>
                <w:b/>
                <w:bCs/>
                <w:color w:val="DEDEDE"/>
                <w:spacing w:val="-2"/>
              </w:rPr>
              <w:t>IoU</w:t>
            </w:r>
          </w:p>
        </w:tc>
        <w:tc>
          <w:tcPr>
            <w:tcW w:w="1483" w:type="dxa"/>
            <w:vAlign w:val="top"/>
          </w:tcPr>
          <w:p>
            <w:pPr>
              <w:ind w:left="841" w:right="150" w:hanging="481"/>
              <w:spacing w:before="141" w:line="22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1"/>
              </w:rPr>
              <w:t>相对面积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3"/>
              </w:rPr>
              <w:t>误差</w:t>
            </w:r>
          </w:p>
        </w:tc>
        <w:tc>
          <w:tcPr>
            <w:tcW w:w="1476" w:type="dxa"/>
            <w:vAlign w:val="top"/>
          </w:tcPr>
          <w:p>
            <w:pPr>
              <w:ind w:left="834" w:right="150" w:hanging="481"/>
              <w:spacing w:before="141" w:line="22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1"/>
              </w:rPr>
              <w:t>相对短轴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3"/>
              </w:rPr>
              <w:t>误差</w:t>
            </w:r>
          </w:p>
        </w:tc>
      </w:tr>
      <w:tr>
        <w:trPr>
          <w:trHeight w:val="538" w:hRule="atLeast"/>
        </w:trPr>
        <w:tc>
          <w:tcPr>
            <w:tcW w:w="2030" w:type="dxa"/>
            <w:vAlign w:val="top"/>
          </w:tcPr>
          <w:p>
            <w:pPr>
              <w:ind w:left="151"/>
              <w:spacing w:before="138" w:line="18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原掩膜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889"/>
              <w:spacing w:before="91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86.70</w:t>
            </w:r>
          </w:p>
        </w:tc>
        <w:tc>
          <w:tcPr>
            <w:tcW w:w="1872" w:type="dxa"/>
            <w:vAlign w:val="top"/>
          </w:tcPr>
          <w:p>
            <w:pPr>
              <w:pStyle w:val="TableText"/>
              <w:ind w:left="1119"/>
              <w:spacing w:before="165" w:line="197" w:lineRule="auto"/>
              <w:rPr/>
            </w:pPr>
            <w:r>
              <w:rPr>
                <w:color w:val="B8BFC6"/>
                <w:spacing w:val="-2"/>
              </w:rPr>
              <w:t>72.72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236"/>
              <w:spacing w:before="91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449/500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167"/>
              <w:spacing w:before="91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0.91390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460"/>
              <w:spacing w:before="91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0.05532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453"/>
              <w:spacing w:before="91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0.04285</w:t>
            </w:r>
          </w:p>
        </w:tc>
      </w:tr>
      <w:tr>
        <w:trPr>
          <w:trHeight w:val="927" w:hRule="atLeast"/>
        </w:trPr>
        <w:tc>
          <w:tcPr>
            <w:tcW w:w="2030" w:type="dxa"/>
            <w:vAlign w:val="top"/>
          </w:tcPr>
          <w:p>
            <w:pPr>
              <w:ind w:left="152" w:right="232"/>
              <w:spacing w:before="138" w:line="22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8"/>
              </w:rPr>
              <w:t>历史二值细化，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仅输出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889"/>
              <w:spacing w:before="93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86.70</w:t>
            </w:r>
          </w:p>
        </w:tc>
        <w:tc>
          <w:tcPr>
            <w:tcW w:w="1872" w:type="dxa"/>
            <w:vAlign w:val="top"/>
          </w:tcPr>
          <w:p>
            <w:pPr>
              <w:pStyle w:val="TableText"/>
              <w:ind w:left="1119"/>
              <w:spacing w:before="93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73.87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236"/>
              <w:spacing w:before="93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448/500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167"/>
              <w:spacing w:before="93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0.91863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460"/>
              <w:spacing w:before="93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0.04381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453"/>
              <w:spacing w:before="93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0.03189</w:t>
            </w:r>
          </w:p>
        </w:tc>
      </w:tr>
      <w:tr>
        <w:trPr>
          <w:trHeight w:val="927" w:hRule="atLeast"/>
        </w:trPr>
        <w:tc>
          <w:tcPr>
            <w:tcW w:w="2030" w:type="dxa"/>
            <w:vAlign w:val="top"/>
          </w:tcPr>
          <w:p>
            <w:pPr>
              <w:ind w:left="152" w:right="232" w:firstLine="2"/>
              <w:spacing w:before="141" w:line="22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8"/>
              </w:rPr>
              <w:t>软掩膜＋原型，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仅输出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889"/>
              <w:spacing w:before="96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86.70</w:t>
            </w:r>
          </w:p>
        </w:tc>
        <w:tc>
          <w:tcPr>
            <w:tcW w:w="1872" w:type="dxa"/>
            <w:vAlign w:val="top"/>
          </w:tcPr>
          <w:p>
            <w:pPr>
              <w:pStyle w:val="TableText"/>
              <w:ind w:left="1119"/>
              <w:spacing w:before="96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73.70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236"/>
              <w:spacing w:before="96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449/500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167"/>
              <w:spacing w:before="96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0.91917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460"/>
              <w:spacing w:before="96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0.04354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453"/>
              <w:spacing w:before="96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0.03281</w:t>
            </w:r>
          </w:p>
        </w:tc>
      </w:tr>
      <w:tr>
        <w:trPr>
          <w:trHeight w:val="934" w:hRule="atLeast"/>
        </w:trPr>
        <w:tc>
          <w:tcPr>
            <w:tcW w:w="2030" w:type="dxa"/>
            <w:vAlign w:val="top"/>
          </w:tcPr>
          <w:p>
            <w:pPr>
              <w:ind w:left="154" w:right="232"/>
              <w:spacing w:before="145" w:line="22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8"/>
              </w:rPr>
              <w:t>软掩膜＋原型，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完整重评分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889"/>
              <w:spacing w:before="99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86.40</w:t>
            </w:r>
          </w:p>
        </w:tc>
        <w:tc>
          <w:tcPr>
            <w:tcW w:w="1872" w:type="dxa"/>
            <w:vAlign w:val="top"/>
          </w:tcPr>
          <w:p>
            <w:pPr>
              <w:pStyle w:val="TableText"/>
              <w:ind w:left="1119"/>
              <w:spacing w:before="99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73.45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236"/>
              <w:spacing w:before="99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448/500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167"/>
              <w:spacing w:before="99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0.91917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460"/>
              <w:spacing w:before="99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0.04354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453"/>
              <w:spacing w:before="99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0.03281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48"/>
          <w:pgSz w:w="11919" w:h="16858"/>
          <w:pgMar w:top="400" w:right="0" w:bottom="921" w:left="0" w:header="0" w:footer="6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456" w:lineRule="auto"/>
        <w:rPr>
          <w:rFonts w:ascii="Arial"/>
          <w:sz w:val="21"/>
        </w:rPr>
      </w:pPr>
      <w:r/>
    </w:p>
    <w:p>
      <w:pPr>
        <w:pStyle w:val="BodyText"/>
        <w:ind w:left="484" w:right="478" w:hanging="35"/>
        <w:spacing w:before="103" w:line="222" w:lineRule="auto"/>
        <w:jc w:val="both"/>
        <w:rPr/>
      </w:pPr>
      <w:r>
        <w:rPr>
          <w:rFonts w:ascii="Arial" w:hAnsi="Arial" w:eastAsia="Arial" w:cs="Arial"/>
          <w:color w:val="B8BFC6"/>
          <w:spacing w:val="1"/>
        </w:rPr>
        <w:t>“</w:t>
      </w:r>
      <w:r>
        <w:rPr>
          <w:color w:val="B8BFC6"/>
          <w:spacing w:val="1"/>
        </w:rPr>
        <w:t>仅输出</w:t>
      </w:r>
      <w:r>
        <w:rPr>
          <w:rFonts w:ascii="Arial" w:hAnsi="Arial" w:eastAsia="Arial" w:cs="Arial"/>
          <w:color w:val="B8BFC6"/>
          <w:spacing w:val="1"/>
        </w:rPr>
        <w:t>”</w:t>
      </w:r>
      <w:r>
        <w:rPr>
          <w:color w:val="B8BFC6"/>
          <w:spacing w:val="1"/>
        </w:rPr>
        <w:t>固定的是候选类别及排序输入，并不保证更换掩膜后重</w:t>
      </w:r>
      <w:r>
        <w:rPr>
          <w:color w:val="B8BFC6"/>
        </w:rPr>
        <w:t>新匹配得到的条件计数完全相同。历史模</w:t>
      </w:r>
      <w:r>
        <w:rPr>
          <w:color w:val="B8BFC6"/>
          <w:spacing w:val="-1"/>
        </w:rPr>
        <w:t>型改变了匹配结果，得到</w:t>
      </w:r>
      <w:r>
        <w:rPr>
          <w:rFonts w:ascii="Arial" w:hAnsi="Arial" w:eastAsia="Arial" w:cs="Arial"/>
          <w:color w:val="B8BFC6"/>
          <w:spacing w:val="-1"/>
        </w:rPr>
        <w:t>448</w:t>
      </w:r>
      <w:r>
        <w:rPr>
          <w:color w:val="B8BFC6"/>
          <w:spacing w:val="-1"/>
        </w:rPr>
        <w:t>个正确分级、</w:t>
      </w:r>
      <w:r>
        <w:rPr>
          <w:color w:val="B8BFC6"/>
          <w:spacing w:val="-44"/>
        </w:rPr>
        <w:t xml:space="preserve"> </w:t>
      </w:r>
      <w:r>
        <w:rPr>
          <w:rFonts w:ascii="Arial" w:hAnsi="Arial" w:eastAsia="Arial" w:cs="Arial"/>
          <w:color w:val="B8BFC6"/>
          <w:spacing w:val="-1"/>
        </w:rPr>
        <w:t>11</w:t>
      </w:r>
      <w:r>
        <w:rPr>
          <w:color w:val="B8BFC6"/>
          <w:spacing w:val="-1"/>
        </w:rPr>
        <w:t>个合格误拒；新原型输出方案在此对照中保留</w:t>
      </w:r>
      <w:r>
        <w:rPr>
          <w:rFonts w:ascii="Arial" w:hAnsi="Arial" w:eastAsia="Arial" w:cs="Arial"/>
          <w:color w:val="B8BFC6"/>
          <w:spacing w:val="-1"/>
        </w:rPr>
        <w:t>449</w:t>
      </w:r>
      <w:r>
        <w:rPr>
          <w:color w:val="B8BFC6"/>
          <w:spacing w:val="-1"/>
        </w:rPr>
        <w:t>个正</w:t>
      </w:r>
      <w:r>
        <w:rPr>
          <w:color w:val="B8BFC6"/>
          <w:spacing w:val="-2"/>
        </w:rPr>
        <w:t>确和</w:t>
      </w:r>
      <w:r>
        <w:rPr>
          <w:rFonts w:ascii="Arial" w:hAnsi="Arial" w:eastAsia="Arial" w:cs="Arial"/>
          <w:color w:val="B8BFC6"/>
        </w:rPr>
        <w:t>10</w:t>
      </w:r>
      <w:r>
        <w:rPr>
          <w:color w:val="B8BFC6"/>
        </w:rPr>
        <w:t>个误拒。另一方面，历史模型的</w:t>
      </w:r>
      <w:r>
        <w:rPr>
          <w:rFonts w:ascii="Arial" w:hAnsi="Arial" w:eastAsia="Arial" w:cs="Arial"/>
          <w:color w:val="B8BFC6"/>
        </w:rPr>
        <w:t>AP50–95</w:t>
      </w:r>
      <w:r>
        <w:rPr>
          <w:color w:val="B8BFC6"/>
        </w:rPr>
        <w:t>点值更高，短轴误差更低，因而不能声称新</w:t>
      </w:r>
      <w:r>
        <w:rPr>
          <w:color w:val="B8BFC6"/>
          <w:spacing w:val="-1"/>
        </w:rPr>
        <w:t>原型头在所有分</w:t>
      </w:r>
      <w:r>
        <w:rPr>
          <w:color w:val="B8BFC6"/>
          <w:spacing w:val="-4"/>
        </w:rPr>
        <w:t>割指标上全面优于历史对照。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84"/>
        <w:spacing w:before="103" w:line="227" w:lineRule="auto"/>
        <w:rPr/>
      </w:pPr>
      <w:r>
        <w:rPr>
          <w:color w:val="B8BFC6"/>
        </w:rPr>
        <w:t>与原缺陷排序组合后，原型输出方案的</w:t>
      </w:r>
      <w:r>
        <w:rPr>
          <w:rFonts w:ascii="Arial" w:hAnsi="Arial" w:eastAsia="Arial" w:cs="Arial"/>
          <w:color w:val="B8BFC6"/>
        </w:rPr>
        <w:t>AP50–95</w:t>
      </w:r>
      <w:r>
        <w:rPr>
          <w:color w:val="B8BFC6"/>
        </w:rPr>
        <w:t>达到</w:t>
      </w:r>
      <w:r>
        <w:rPr>
          <w:rFonts w:ascii="Arial" w:hAnsi="Arial" w:eastAsia="Arial" w:cs="Arial"/>
          <w:color w:val="B8BFC6"/>
        </w:rPr>
        <w:t>74.23%</w:t>
      </w:r>
      <w:r>
        <w:rPr>
          <w:color w:val="B8BFC6"/>
        </w:rPr>
        <w:t>，相同排序器使用原掩膜时为</w:t>
      </w:r>
      <w:r>
        <w:rPr>
          <w:rFonts w:ascii="Arial" w:hAnsi="Arial" w:eastAsia="Arial" w:cs="Arial"/>
          <w:color w:val="B8BFC6"/>
        </w:rPr>
        <w:t>7</w:t>
      </w:r>
      <w:r>
        <w:rPr>
          <w:rFonts w:ascii="Arial" w:hAnsi="Arial" w:eastAsia="Arial" w:cs="Arial"/>
          <w:color w:val="B8BFC6"/>
          <w:spacing w:val="-1"/>
        </w:rPr>
        <w:t>3.29%</w:t>
      </w:r>
      <w:r>
        <w:rPr>
          <w:color w:val="B8BFC6"/>
          <w:spacing w:val="-1"/>
        </w:rPr>
        <w:t>；</w:t>
      </w:r>
    </w:p>
    <w:p>
      <w:pPr>
        <w:pStyle w:val="BodyText"/>
        <w:ind w:left="485" w:right="504" w:hanging="5"/>
        <w:spacing w:line="237" w:lineRule="auto"/>
        <w:rPr/>
      </w:pPr>
      <w:r>
        <w:rPr>
          <w:rFonts w:ascii="Arial" w:hAnsi="Arial" w:eastAsia="Arial" w:cs="Arial"/>
          <w:color w:val="B8BFC6"/>
        </w:rPr>
        <w:t>AP50</w:t>
      </w:r>
      <w:r>
        <w:rPr>
          <w:color w:val="B8BFC6"/>
        </w:rPr>
        <w:t>和观察到的正确分级数不变。二乘二实验及固定</w:t>
      </w:r>
      <w:r>
        <w:rPr>
          <w:rFonts w:ascii="Arial" w:hAnsi="Arial" w:eastAsia="Arial" w:cs="Arial"/>
          <w:color w:val="B8BFC6"/>
        </w:rPr>
        <w:t>30</w:t>
      </w:r>
      <w:r>
        <w:rPr>
          <w:color w:val="B8BFC6"/>
        </w:rPr>
        <w:t>轮扩展支持当前设计中原型信息的作用，但</w:t>
      </w:r>
      <w:r>
        <w:rPr>
          <w:color w:val="B8BFC6"/>
          <w:spacing w:val="-1"/>
        </w:rPr>
        <w:t>零原</w:t>
      </w:r>
      <w:r>
        <w:rPr>
          <w:color w:val="B8BFC6"/>
          <w:spacing w:val="-3"/>
        </w:rPr>
        <w:t>型通道对照不构成有效容量完全相等的模型。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ind w:firstLine="480"/>
        <w:spacing w:line="4740" w:lineRule="exact"/>
        <w:rPr/>
      </w:pPr>
      <w:r>
        <w:rPr>
          <w:position w:val="-94"/>
        </w:rPr>
        <w:drawing>
          <wp:inline distT="0" distB="0" distL="0" distR="0">
            <wp:extent cx="6962775" cy="3009900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27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483" w:right="650" w:firstLine="12"/>
        <w:spacing w:before="103" w:line="237" w:lineRule="auto"/>
        <w:rPr/>
      </w:pPr>
      <w:r>
        <w:rPr>
          <w:color w:val="B8BFC6"/>
        </w:rPr>
        <w:t>图</w:t>
      </w:r>
      <w:r>
        <w:rPr>
          <w:rFonts w:ascii="Arial" w:hAnsi="Arial" w:eastAsia="Arial" w:cs="Arial"/>
          <w:color w:val="B8BFC6"/>
        </w:rPr>
        <w:t>3 </w:t>
      </w:r>
      <w:r>
        <w:rPr>
          <w:color w:val="B8BFC6"/>
        </w:rPr>
        <w:t>原图掩膜几何与边界宽度敏感性。几何队列在细化</w:t>
      </w:r>
      <w:r>
        <w:rPr>
          <w:color w:val="B8BFC6"/>
          <w:spacing w:val="-1"/>
        </w:rPr>
        <w:t>之前固定；</w:t>
      </w:r>
      <w:r>
        <w:rPr>
          <w:rFonts w:ascii="Arial" w:hAnsi="Arial" w:eastAsia="Arial" w:cs="Arial"/>
          <w:color w:val="B8BFC6"/>
          <w:spacing w:val="-1"/>
        </w:rPr>
        <w:t>Boundary</w:t>
      </w:r>
      <w:r>
        <w:rPr>
          <w:rFonts w:ascii="Arial" w:hAnsi="Arial" w:eastAsia="Arial" w:cs="Arial"/>
          <w:color w:val="B8BFC6"/>
          <w:spacing w:val="22"/>
        </w:rPr>
        <w:t xml:space="preserve"> </w:t>
      </w:r>
      <w:r>
        <w:rPr>
          <w:rFonts w:ascii="Arial" w:hAnsi="Arial" w:eastAsia="Arial" w:cs="Arial"/>
          <w:color w:val="B8BFC6"/>
          <w:spacing w:val="-1"/>
        </w:rPr>
        <w:t>loU</w:t>
      </w:r>
      <w:r>
        <w:rPr>
          <w:color w:val="B8BFC6"/>
          <w:spacing w:val="-1"/>
        </w:rPr>
        <w:t>同时保留固定像素半径</w:t>
      </w:r>
      <w:r>
        <w:rPr>
          <w:color w:val="B8BFC6"/>
          <w:spacing w:val="-1"/>
        </w:rPr>
        <w:t>及相对图像对角线的带宽，并纳入历史强对照。人工多边形属于图像标注，不</w:t>
      </w:r>
      <w:r>
        <w:rPr>
          <w:color w:val="B8BFC6"/>
          <w:spacing w:val="-2"/>
        </w:rPr>
        <w:t>是物理计量真值。</w:t>
      </w:r>
    </w:p>
    <w:p>
      <w:pPr>
        <w:spacing w:line="237" w:lineRule="auto"/>
        <w:sectPr>
          <w:headerReference w:type="default" r:id="rId50"/>
          <w:pgSz w:w="11919" w:h="16858"/>
          <w:pgMar w:top="400" w:right="0" w:bottom="921" w:left="0" w:header="0" w:footer="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480"/>
        <w:spacing w:line="8670" w:lineRule="exact"/>
        <w:rPr/>
      </w:pPr>
      <w:r>
        <w:rPr>
          <w:position w:val="-173"/>
        </w:rPr>
        <w:drawing>
          <wp:inline distT="0" distB="0" distL="0" distR="0">
            <wp:extent cx="6962775" cy="5505450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2775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498" w:right="931" w:hanging="2"/>
        <w:spacing w:before="103" w:line="238" w:lineRule="auto"/>
        <w:rPr/>
      </w:pPr>
      <w:r>
        <w:rPr>
          <w:color w:val="B8BFC6"/>
          <w:spacing w:val="-1"/>
        </w:rPr>
        <w:t>图</w:t>
      </w:r>
      <w:r>
        <w:rPr>
          <w:rFonts w:ascii="Arial" w:hAnsi="Arial" w:eastAsia="Arial" w:cs="Arial"/>
          <w:color w:val="B8BFC6"/>
          <w:spacing w:val="-1"/>
        </w:rPr>
        <w:t>4</w:t>
      </w:r>
      <w:r>
        <w:rPr>
          <w:rFonts w:ascii="Arial" w:hAnsi="Arial" w:eastAsia="Arial" w:cs="Arial"/>
          <w:color w:val="B8BFC6"/>
          <w:spacing w:val="28"/>
          <w:w w:val="101"/>
        </w:rPr>
        <w:t xml:space="preserve"> </w:t>
      </w:r>
      <w:r>
        <w:rPr>
          <w:color w:val="B8BFC6"/>
          <w:spacing w:val="-1"/>
        </w:rPr>
        <w:t>固定队列中的改善、退步和接近中位数案例。按基于</w:t>
      </w:r>
      <w:r>
        <w:rPr>
          <w:rFonts w:ascii="Arial" w:hAnsi="Arial" w:eastAsia="Arial" w:cs="Arial"/>
          <w:color w:val="B8BFC6"/>
          <w:spacing w:val="-1"/>
        </w:rPr>
        <w:t>GT</w:t>
      </w:r>
      <w:r>
        <w:rPr>
          <w:color w:val="B8BFC6"/>
          <w:spacing w:val="-1"/>
        </w:rPr>
        <w:t>的</w:t>
      </w:r>
      <w:r>
        <w:rPr>
          <w:rFonts w:ascii="Arial" w:hAnsi="Arial" w:eastAsia="Arial" w:cs="Arial"/>
          <w:color w:val="B8BFC6"/>
          <w:spacing w:val="-1"/>
        </w:rPr>
        <w:t>IoU</w:t>
      </w:r>
      <w:r>
        <w:rPr>
          <w:color w:val="B8BFC6"/>
          <w:spacing w:val="-1"/>
        </w:rPr>
        <w:t>变化选择，仅用于说明，保留原始</w:t>
      </w:r>
      <w:r>
        <w:rPr>
          <w:rFonts w:ascii="Arial" w:hAnsi="Arial" w:eastAsia="Arial" w:cs="Arial"/>
          <w:color w:val="B8BFC6"/>
          <w:spacing w:val="-1"/>
        </w:rPr>
        <w:t>RGB</w:t>
      </w:r>
      <w:r>
        <w:rPr>
          <w:color w:val="B8BFC6"/>
          <w:spacing w:val="-1"/>
        </w:rPr>
        <w:t>像素，不表示具有代表性的成功率，也不表示推理使用</w:t>
      </w:r>
      <w:r>
        <w:rPr>
          <w:rFonts w:ascii="Arial" w:hAnsi="Arial" w:eastAsia="Arial" w:cs="Arial"/>
          <w:color w:val="B8BFC6"/>
          <w:spacing w:val="-1"/>
        </w:rPr>
        <w:t>GT</w:t>
      </w:r>
      <w:r>
        <w:rPr>
          <w:color w:val="B8BFC6"/>
          <w:spacing w:val="-1"/>
        </w:rPr>
        <w:t>。</w:t>
      </w:r>
    </w:p>
    <w:p>
      <w:pPr>
        <w:pStyle w:val="BodyText"/>
        <w:ind w:left="492"/>
        <w:spacing w:before="291" w:line="183" w:lineRule="auto"/>
        <w:outlineLvl w:val="2"/>
        <w:rPr>
          <w:sz w:val="28"/>
          <w:szCs w:val="28"/>
        </w:rPr>
      </w:pP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3"/>
        </w:rPr>
        <w:t>5.4</w:t>
      </w: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8"/>
        </w:rPr>
        <w:t xml:space="preserve"> </w:t>
      </w:r>
      <w:r>
        <w:rPr>
          <w:sz w:val="28"/>
          <w:szCs w:val="28"/>
          <w:b/>
          <w:bCs/>
          <w:color w:val="DEDEDE"/>
          <w:spacing w:val="-13"/>
        </w:rPr>
        <w:t>操作点错误与输出暴露</w:t>
      </w:r>
    </w:p>
    <w:p>
      <w:pPr>
        <w:pStyle w:val="BodyText"/>
        <w:ind w:left="483" w:right="489" w:hanging="2"/>
        <w:spacing w:before="340" w:line="230" w:lineRule="auto"/>
        <w:rPr/>
      </w:pPr>
      <w:r>
        <w:rPr>
          <w:color w:val="B8BFC6"/>
          <w:spacing w:val="-1"/>
        </w:rPr>
        <w:t>原</w:t>
      </w:r>
      <w:r>
        <w:rPr>
          <w:rFonts w:ascii="Arial" w:hAnsi="Arial" w:eastAsia="Arial" w:cs="Arial"/>
          <w:color w:val="B8BFC6"/>
          <w:spacing w:val="-1"/>
        </w:rPr>
        <w:t>YOLO</w:t>
      </w:r>
      <w:r>
        <w:rPr>
          <w:color w:val="B8BFC6"/>
          <w:spacing w:val="-1"/>
        </w:rPr>
        <w:t>的操作点</w:t>
      </w:r>
      <w:r>
        <w:rPr>
          <w:rFonts w:ascii="Arial" w:hAnsi="Arial" w:eastAsia="Arial" w:cs="Arial"/>
          <w:color w:val="B8BFC6"/>
          <w:spacing w:val="-1"/>
        </w:rPr>
        <w:t>macro-F1</w:t>
      </w:r>
      <w:r>
        <w:rPr>
          <w:color w:val="B8BFC6"/>
          <w:spacing w:val="-1"/>
        </w:rPr>
        <w:t>为</w:t>
      </w:r>
      <w:r>
        <w:rPr>
          <w:rFonts w:ascii="Arial" w:hAnsi="Arial" w:eastAsia="Arial" w:cs="Arial"/>
          <w:color w:val="B8BFC6"/>
          <w:spacing w:val="-1"/>
        </w:rPr>
        <w:t>77.48%</w:t>
      </w:r>
      <w:r>
        <w:rPr>
          <w:color w:val="B8BFC6"/>
          <w:spacing w:val="-1"/>
        </w:rPr>
        <w:t>，追加真实同类</w:t>
      </w:r>
      <w:r>
        <w:rPr>
          <w:rFonts w:ascii="Arial" w:hAnsi="Arial" w:eastAsia="Arial" w:cs="Arial"/>
          <w:color w:val="B8BFC6"/>
          <w:spacing w:val="-1"/>
        </w:rPr>
        <w:t>NMS</w:t>
      </w:r>
      <w:r>
        <w:rPr>
          <w:color w:val="B8BFC6"/>
          <w:spacing w:val="-1"/>
        </w:rPr>
        <w:t>后为</w:t>
      </w:r>
      <w:r>
        <w:rPr>
          <w:rFonts w:ascii="Arial" w:hAnsi="Arial" w:eastAsia="Arial" w:cs="Arial"/>
          <w:color w:val="B8BFC6"/>
          <w:spacing w:val="-1"/>
        </w:rPr>
        <w:t>78.27%</w:t>
      </w:r>
      <w:r>
        <w:rPr>
          <w:rFonts w:ascii="Arial" w:hAnsi="Arial" w:eastAsia="Arial" w:cs="Arial"/>
          <w:color w:val="B8BFC6"/>
          <w:spacing w:val="-12"/>
        </w:rPr>
        <w:t xml:space="preserve"> </w:t>
      </w:r>
      <w:r>
        <w:rPr>
          <w:color w:val="B8BFC6"/>
          <w:spacing w:val="-1"/>
        </w:rPr>
        <w:t>，</w:t>
      </w:r>
      <w:r>
        <w:rPr>
          <w:rFonts w:ascii="Arial" w:hAnsi="Arial" w:eastAsia="Arial" w:cs="Arial"/>
          <w:color w:val="B8BFC6"/>
          <w:spacing w:val="-1"/>
        </w:rPr>
        <w:t>RR22</w:t>
      </w:r>
      <w:r>
        <w:rPr>
          <w:color w:val="B8BFC6"/>
          <w:spacing w:val="-1"/>
        </w:rPr>
        <w:t>及选定排序</w:t>
      </w:r>
      <w:r>
        <w:rPr>
          <w:rFonts w:ascii="Arial" w:hAnsi="Arial" w:eastAsia="Arial" w:cs="Arial"/>
          <w:color w:val="B8BFC6"/>
          <w:spacing w:val="-1"/>
        </w:rPr>
        <w:t>/</w:t>
      </w:r>
      <w:r>
        <w:rPr>
          <w:color w:val="B8BFC6"/>
          <w:spacing w:val="-1"/>
        </w:rPr>
        <w:t>输出变体为</w:t>
      </w:r>
      <w:r>
        <w:rPr>
          <w:color w:val="B8BFC6"/>
        </w:rPr>
        <w:t xml:space="preserve"> </w:t>
      </w:r>
      <w:r>
        <w:rPr>
          <w:rFonts w:ascii="Arial" w:hAnsi="Arial" w:eastAsia="Arial" w:cs="Arial"/>
          <w:color w:val="B8BFC6"/>
        </w:rPr>
        <w:t>84.37%</w:t>
      </w:r>
      <w:r>
        <w:rPr>
          <w:color w:val="B8BFC6"/>
        </w:rPr>
        <w:t>。定位数仍为</w:t>
      </w:r>
      <w:r>
        <w:rPr>
          <w:rFonts w:ascii="Arial" w:hAnsi="Arial" w:eastAsia="Arial" w:cs="Arial"/>
          <w:color w:val="B8BFC6"/>
        </w:rPr>
        <w:t>500/518</w:t>
      </w:r>
      <w:r>
        <w:rPr>
          <w:color w:val="B8BFC6"/>
        </w:rPr>
        <w:t>。最终</w:t>
      </w:r>
      <w:r>
        <w:rPr>
          <w:rFonts w:ascii="Arial" w:hAnsi="Arial" w:eastAsia="Arial" w:cs="Arial"/>
          <w:color w:val="B8BFC6"/>
        </w:rPr>
        <w:t>51</w:t>
      </w:r>
      <w:r>
        <w:rPr>
          <w:color w:val="B8BFC6"/>
        </w:rPr>
        <w:t>个已定位分级错误与</w:t>
      </w:r>
      <w:r>
        <w:rPr>
          <w:rFonts w:ascii="Arial" w:hAnsi="Arial" w:eastAsia="Arial" w:cs="Arial"/>
          <w:color w:val="B8BFC6"/>
        </w:rPr>
        <w:t>18</w:t>
      </w:r>
      <w:r>
        <w:rPr>
          <w:color w:val="B8BFC6"/>
        </w:rPr>
        <w:t>个未定位</w:t>
      </w:r>
      <w:r>
        <w:rPr>
          <w:rFonts w:ascii="Arial" w:hAnsi="Arial" w:eastAsia="Arial" w:cs="Arial"/>
          <w:color w:val="B8BFC6"/>
        </w:rPr>
        <w:t>GT</w:t>
      </w:r>
      <w:r>
        <w:rPr>
          <w:color w:val="B8BFC6"/>
        </w:rPr>
        <w:t>分别统计，不能由</w:t>
      </w:r>
      <w:r>
        <w:rPr>
          <w:color w:val="B8BFC6"/>
          <w:spacing w:val="-1"/>
        </w:rPr>
        <w:t>任一计数直</w:t>
      </w:r>
      <w:r>
        <w:rPr>
          <w:color w:val="B8BFC6"/>
          <w:spacing w:val="-1"/>
        </w:rPr>
        <w:t>接推出</w:t>
      </w:r>
      <w:r>
        <w:rPr>
          <w:rFonts w:ascii="Arial" w:hAnsi="Arial" w:eastAsia="Arial" w:cs="Arial"/>
          <w:color w:val="B8BFC6"/>
          <w:spacing w:val="-1"/>
        </w:rPr>
        <w:t>AP</w:t>
      </w:r>
      <w:r>
        <w:rPr>
          <w:color w:val="B8BFC6"/>
          <w:spacing w:val="-1"/>
        </w:rPr>
        <w:t>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483" w:right="677" w:firstLine="6"/>
        <w:spacing w:before="104" w:line="232" w:lineRule="auto"/>
        <w:jc w:val="both"/>
        <w:rPr/>
      </w:pPr>
      <w:r>
        <w:rPr>
          <w:rFonts w:ascii="Arial" w:hAnsi="Arial" w:eastAsia="Arial" w:cs="Arial"/>
          <w:color w:val="B8BFC6"/>
        </w:rPr>
        <w:t>54</w:t>
      </w:r>
      <w:r>
        <w:rPr>
          <w:color w:val="B8BFC6"/>
        </w:rPr>
        <w:t>个不合格</w:t>
      </w:r>
      <w:r>
        <w:rPr>
          <w:rFonts w:ascii="Arial" w:hAnsi="Arial" w:eastAsia="Arial" w:cs="Arial"/>
          <w:color w:val="B8BFC6"/>
        </w:rPr>
        <w:t>GT</w:t>
      </w:r>
      <w:r>
        <w:rPr>
          <w:color w:val="B8BFC6"/>
        </w:rPr>
        <w:t>中定位</w:t>
      </w:r>
      <w:r>
        <w:rPr>
          <w:rFonts w:ascii="Arial" w:hAnsi="Arial" w:eastAsia="Arial" w:cs="Arial"/>
          <w:color w:val="B8BFC6"/>
        </w:rPr>
        <w:t>52</w:t>
      </w:r>
      <w:r>
        <w:rPr>
          <w:color w:val="B8BFC6"/>
        </w:rPr>
        <w:t>个，主配置有</w:t>
      </w:r>
      <w:r>
        <w:rPr>
          <w:rFonts w:ascii="Arial" w:hAnsi="Arial" w:eastAsia="Arial" w:cs="Arial"/>
          <w:color w:val="B8BFC6"/>
        </w:rPr>
        <w:t>21</w:t>
      </w:r>
      <w:r>
        <w:rPr>
          <w:color w:val="B8BFC6"/>
        </w:rPr>
        <w:t>个匹配实例被判为合格等级；另有</w:t>
      </w:r>
      <w:r>
        <w:rPr>
          <w:rFonts w:ascii="Arial" w:hAnsi="Arial" w:eastAsia="Arial" w:cs="Arial"/>
          <w:color w:val="B8BFC6"/>
        </w:rPr>
        <w:t>1</w:t>
      </w:r>
      <w:r>
        <w:rPr>
          <w:rFonts w:ascii="Arial" w:hAnsi="Arial" w:eastAsia="Arial" w:cs="Arial"/>
          <w:color w:val="B8BFC6"/>
          <w:spacing w:val="-1"/>
        </w:rPr>
        <w:t>0</w:t>
      </w:r>
      <w:r>
        <w:rPr>
          <w:color w:val="B8BFC6"/>
          <w:spacing w:val="-1"/>
        </w:rPr>
        <w:t>个已定位合格果被判为不</w:t>
      </w:r>
      <w:r>
        <w:rPr>
          <w:color w:val="B8BFC6"/>
        </w:rPr>
        <w:t>合格。最终排序</w:t>
      </w:r>
      <w:r>
        <w:rPr>
          <w:rFonts w:ascii="Arial" w:hAnsi="Arial" w:eastAsia="Arial" w:cs="Arial"/>
          <w:color w:val="B8BFC6"/>
        </w:rPr>
        <w:t>/</w:t>
      </w:r>
      <w:r>
        <w:rPr>
          <w:color w:val="B8BFC6"/>
        </w:rPr>
        <w:t>输出变体相对固定主参考未新增误放个体，但有</w:t>
      </w:r>
      <w:r>
        <w:rPr>
          <w:rFonts w:ascii="Arial" w:hAnsi="Arial" w:eastAsia="Arial" w:cs="Arial"/>
          <w:color w:val="B8BFC6"/>
        </w:rPr>
        <w:t>24</w:t>
      </w:r>
      <w:r>
        <w:rPr>
          <w:color w:val="B8BFC6"/>
        </w:rPr>
        <w:t>个不合格</w:t>
      </w:r>
      <w:r>
        <w:rPr>
          <w:rFonts w:ascii="Arial" w:hAnsi="Arial" w:eastAsia="Arial" w:cs="Arial"/>
          <w:color w:val="B8BFC6"/>
        </w:rPr>
        <w:t>GT</w:t>
      </w:r>
      <w:r>
        <w:rPr>
          <w:color w:val="B8BFC6"/>
        </w:rPr>
        <w:t>与至少一个</w:t>
      </w:r>
      <w:r>
        <w:rPr>
          <w:color w:val="B8BFC6"/>
          <w:spacing w:val="-1"/>
        </w:rPr>
        <w:t>保留高置信</w:t>
      </w:r>
      <w:r>
        <w:rPr>
          <w:color w:val="B8BFC6"/>
          <w:spacing w:val="-1"/>
        </w:rPr>
        <w:t>合格输出重叠。因此，保留原类别</w:t>
      </w:r>
      <w:r>
        <w:rPr>
          <w:rFonts w:ascii="Arial" w:hAnsi="Arial" w:eastAsia="Arial" w:cs="Arial"/>
          <w:color w:val="B8BFC6"/>
          <w:spacing w:val="-1"/>
        </w:rPr>
        <w:t>0</w:t>
      </w:r>
      <w:r>
        <w:rPr>
          <w:color w:val="B8BFC6"/>
          <w:spacing w:val="-1"/>
        </w:rPr>
        <w:t>门控并不等于已经</w:t>
      </w:r>
      <w:r>
        <w:rPr>
          <w:color w:val="B8BFC6"/>
          <w:spacing w:val="-2"/>
        </w:rPr>
        <w:t>建立安全的物理分选策略。</w:t>
      </w:r>
    </w:p>
    <w:p>
      <w:pPr>
        <w:spacing w:line="232" w:lineRule="auto"/>
        <w:sectPr>
          <w:headerReference w:type="default" r:id="rId52"/>
          <w:pgSz w:w="11919" w:h="16858"/>
          <w:pgMar w:top="400" w:right="0" w:bottom="921" w:left="0" w:header="0" w:footer="6" w:gutter="0"/>
        </w:sectPr>
        <w:rPr/>
      </w:pPr>
    </w:p>
    <w:p>
      <w:pPr>
        <w:spacing w:line="414" w:lineRule="auto"/>
        <w:rPr>
          <w:rFonts w:ascii="Arial"/>
          <w:sz w:val="21"/>
        </w:rPr>
      </w:pPr>
      <w:r/>
    </w:p>
    <w:p>
      <w:pPr>
        <w:pStyle w:val="BodyText"/>
        <w:ind w:left="483" w:right="533" w:firstLine="2"/>
        <w:spacing w:before="103" w:line="228" w:lineRule="auto"/>
        <w:rPr/>
      </w:pPr>
      <w:r>
        <w:rPr>
          <w:color w:val="B8BFC6"/>
        </w:rPr>
        <w:t>主配置也没有获得所有探索中最高的正确分级数。另一个经过解析先验修正的追加不合格策略</w:t>
      </w:r>
      <w:r>
        <w:rPr>
          <w:color w:val="B8BFC6"/>
          <w:spacing w:val="-1"/>
        </w:rPr>
        <w:t>在</w:t>
      </w:r>
      <w:r>
        <w:rPr>
          <w:rFonts w:ascii="Arial" w:hAnsi="Arial" w:eastAsia="Arial" w:cs="Arial"/>
          <w:color w:val="B8BFC6"/>
          <w:spacing w:val="-1"/>
        </w:rPr>
        <w:t>seed25</w:t>
      </w:r>
      <w:r>
        <w:rPr>
          <w:color w:val="B8BFC6"/>
        </w:rPr>
        <w:t>得到</w:t>
      </w:r>
      <w:r>
        <w:rPr>
          <w:rFonts w:ascii="Arial" w:hAnsi="Arial" w:eastAsia="Arial" w:cs="Arial"/>
          <w:color w:val="B8BFC6"/>
        </w:rPr>
        <w:t>451/500</w:t>
      </w:r>
      <w:r>
        <w:rPr>
          <w:color w:val="B8BFC6"/>
        </w:rPr>
        <w:t>、</w:t>
      </w:r>
      <w:r>
        <w:rPr>
          <w:color w:val="B8BFC6"/>
          <w:spacing w:val="-44"/>
        </w:rPr>
        <w:t xml:space="preserve"> </w:t>
      </w:r>
      <w:r>
        <w:rPr>
          <w:rFonts w:ascii="Arial" w:hAnsi="Arial" w:eastAsia="Arial" w:cs="Arial"/>
          <w:color w:val="B8BFC6"/>
        </w:rPr>
        <w:t>19</w:t>
      </w:r>
      <w:r>
        <w:rPr>
          <w:color w:val="B8BFC6"/>
        </w:rPr>
        <w:t>个不合格误放和</w:t>
      </w:r>
      <w:r>
        <w:rPr>
          <w:rFonts w:ascii="Arial" w:hAnsi="Arial" w:eastAsia="Arial" w:cs="Arial"/>
          <w:color w:val="B8BFC6"/>
          <w:spacing w:val="-1"/>
        </w:rPr>
        <w:t>10</w:t>
      </w:r>
      <w:r>
        <w:rPr>
          <w:color w:val="B8BFC6"/>
          <w:spacing w:val="-1"/>
        </w:rPr>
        <w:t>个合格误拒，其他两个种子为</w:t>
      </w:r>
      <w:r>
        <w:rPr>
          <w:rFonts w:ascii="Arial" w:hAnsi="Arial" w:eastAsia="Arial" w:cs="Arial"/>
          <w:color w:val="B8BFC6"/>
          <w:spacing w:val="-1"/>
        </w:rPr>
        <w:t>450/500</w:t>
      </w:r>
      <w:r>
        <w:rPr>
          <w:color w:val="B8BFC6"/>
          <w:spacing w:val="-1"/>
        </w:rPr>
        <w:t>；该策略不是内部选出的主要</w:t>
      </w:r>
      <w:r>
        <w:rPr>
          <w:color w:val="B8BFC6"/>
        </w:rPr>
        <w:t>缺陷策略。同种子下未修正原始版本为</w:t>
      </w:r>
      <w:r>
        <w:rPr>
          <w:rFonts w:ascii="Arial" w:hAnsi="Arial" w:eastAsia="Arial" w:cs="Arial"/>
          <w:color w:val="B8BFC6"/>
        </w:rPr>
        <w:t>448/500</w:t>
      </w:r>
      <w:r>
        <w:rPr>
          <w:color w:val="B8BFC6"/>
        </w:rPr>
        <w:t>和</w:t>
      </w:r>
      <w:r>
        <w:rPr>
          <w:rFonts w:ascii="Arial" w:hAnsi="Arial" w:eastAsia="Arial" w:cs="Arial"/>
          <w:color w:val="B8BFC6"/>
        </w:rPr>
        <w:t>15</w:t>
      </w:r>
      <w:r>
        <w:rPr>
          <w:color w:val="B8BFC6"/>
        </w:rPr>
        <w:t>个合格误拒。本文保留这一区别，不把</w:t>
      </w:r>
      <w:r>
        <w:rPr>
          <w:color w:val="B8BFC6"/>
          <w:spacing w:val="-1"/>
        </w:rPr>
        <w:t>开发计数较</w:t>
      </w:r>
      <w:r>
        <w:rPr>
          <w:color w:val="B8BFC6"/>
          <w:spacing w:val="-3"/>
        </w:rPr>
        <w:t>大的探索版本包装为独立验证的主模型。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92"/>
        <w:spacing w:before="120" w:line="183" w:lineRule="auto"/>
        <w:outlineLvl w:val="2"/>
        <w:rPr>
          <w:sz w:val="28"/>
          <w:szCs w:val="28"/>
        </w:rPr>
      </w:pP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2"/>
        </w:rPr>
        <w:t>5.5</w:t>
      </w: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22"/>
        </w:rPr>
        <w:t xml:space="preserve"> </w:t>
      </w:r>
      <w:r>
        <w:rPr>
          <w:sz w:val="28"/>
          <w:szCs w:val="28"/>
          <w:b/>
          <w:bCs/>
          <w:color w:val="DEDEDE"/>
          <w:spacing w:val="-12"/>
        </w:rPr>
        <w:t>实际推理成本</w:t>
      </w:r>
    </w:p>
    <w:p>
      <w:pPr>
        <w:pStyle w:val="BodyText"/>
        <w:ind w:left="499" w:right="497" w:hanging="16"/>
        <w:spacing w:before="341" w:line="234" w:lineRule="auto"/>
        <w:rPr/>
      </w:pPr>
      <w:r>
        <w:rPr>
          <w:color w:val="B8BFC6"/>
          <w:spacing w:val="-1"/>
        </w:rPr>
        <w:t>表</w:t>
      </w:r>
      <w:r>
        <w:rPr>
          <w:rFonts w:ascii="Arial" w:hAnsi="Arial" w:eastAsia="Arial" w:cs="Arial"/>
          <w:color w:val="B8BFC6"/>
          <w:spacing w:val="-1"/>
        </w:rPr>
        <w:t>6 </w:t>
      </w:r>
      <w:r>
        <w:rPr>
          <w:color w:val="B8BFC6"/>
          <w:spacing w:val="-1"/>
        </w:rPr>
        <w:t>最新同轮实测耗时，置信度池</w:t>
      </w:r>
      <w:r>
        <w:rPr>
          <w:rFonts w:ascii="Arial" w:hAnsi="Arial" w:eastAsia="Arial" w:cs="Arial"/>
          <w:color w:val="B8BFC6"/>
          <w:spacing w:val="-1"/>
        </w:rPr>
        <w:t>0.001</w:t>
      </w:r>
      <w:r>
        <w:rPr>
          <w:rFonts w:ascii="Arial" w:hAnsi="Arial" w:eastAsia="Arial" w:cs="Arial"/>
          <w:color w:val="B8BFC6"/>
          <w:spacing w:val="-21"/>
        </w:rPr>
        <w:t xml:space="preserve"> </w:t>
      </w:r>
      <w:r>
        <w:rPr>
          <w:color w:val="B8BFC6"/>
          <w:spacing w:val="-1"/>
        </w:rPr>
        <w:t>，</w:t>
      </w:r>
      <w:r>
        <w:rPr>
          <w:rFonts w:ascii="Arial" w:hAnsi="Arial" w:eastAsia="Arial" w:cs="Arial"/>
          <w:color w:val="B8BFC6"/>
          <w:spacing w:val="-1"/>
        </w:rPr>
        <w:t>24</w:t>
      </w:r>
      <w:r>
        <w:rPr>
          <w:color w:val="B8BFC6"/>
          <w:spacing w:val="-1"/>
        </w:rPr>
        <w:t>图</w:t>
      </w:r>
      <w:r>
        <w:rPr>
          <w:rFonts w:ascii="Arial" w:hAnsi="Arial" w:eastAsia="Arial" w:cs="Arial"/>
          <w:color w:val="B8BFC6"/>
          <w:spacing w:val="-1"/>
        </w:rPr>
        <w:t>×3</w:t>
      </w:r>
      <w:r>
        <w:rPr>
          <w:color w:val="B8BFC6"/>
          <w:spacing w:val="-1"/>
        </w:rPr>
        <w:t>次，排除解码和模型加载。共享参考采用与紧凑排序相</w:t>
      </w:r>
      <w:r>
        <w:rPr>
          <w:color w:val="B8BFC6"/>
          <w:spacing w:val="-2"/>
        </w:rPr>
        <w:t>同的基线特征路径，</w:t>
      </w:r>
      <w:r>
        <w:rPr>
          <w:rFonts w:ascii="Arial" w:hAnsi="Arial" w:eastAsia="Arial" w:cs="Arial"/>
          <w:color w:val="B8BFC6"/>
          <w:spacing w:val="-2"/>
        </w:rPr>
        <w:t>lean</w:t>
      </w:r>
      <w:r>
        <w:rPr>
          <w:color w:val="B8BFC6"/>
          <w:spacing w:val="-2"/>
        </w:rPr>
        <w:t>参考则是另一</w:t>
      </w:r>
      <w:r>
        <w:rPr>
          <w:rFonts w:ascii="Arial" w:hAnsi="Arial" w:eastAsia="Arial" w:cs="Arial"/>
          <w:color w:val="B8BFC6"/>
          <w:spacing w:val="-2"/>
        </w:rPr>
        <w:t>RR22</w:t>
      </w:r>
      <w:r>
        <w:rPr>
          <w:color w:val="B8BFC6"/>
          <w:spacing w:val="-2"/>
        </w:rPr>
        <w:t>执行实</w:t>
      </w:r>
      <w:r>
        <w:rPr>
          <w:color w:val="B8BFC6"/>
          <w:spacing w:val="-3"/>
        </w:rPr>
        <w:t>现。</w:t>
      </w:r>
    </w:p>
    <w:p>
      <w:pPr>
        <w:spacing w:before="75"/>
        <w:rPr/>
      </w:pPr>
      <w:r/>
    </w:p>
    <w:tbl>
      <w:tblPr>
        <w:tblStyle w:val="TableNormal"/>
        <w:tblW w:w="10949" w:type="dxa"/>
        <w:tblInd w:w="487" w:type="dxa"/>
        <w:tblLayout w:type="fixed"/>
        <w:tblBorders>
          <w:top w:val="single" w:color="474D54" w:sz="6" w:space="0"/>
          <w:left w:val="single" w:color="474D54" w:sz="6" w:space="0"/>
          <w:bottom w:val="single" w:color="474D54" w:sz="6" w:space="0"/>
          <w:right w:val="single" w:color="474D54" w:sz="6" w:space="0"/>
          <w:insideH w:val="single" w:color="474D54" w:sz="6" w:space="0"/>
          <w:insideV w:val="single" w:color="474D54" w:sz="6" w:space="0"/>
        </w:tblBorders>
      </w:tblPr>
      <w:tblGrid>
        <w:gridCol w:w="6238"/>
        <w:gridCol w:w="4711"/>
      </w:tblGrid>
      <w:tr>
        <w:trPr>
          <w:trHeight w:val="546" w:hRule="atLeast"/>
        </w:trPr>
        <w:tc>
          <w:tcPr>
            <w:tcW w:w="6238" w:type="dxa"/>
            <w:vAlign w:val="top"/>
          </w:tcPr>
          <w:p>
            <w:pPr>
              <w:ind w:left="156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1"/>
              </w:rPr>
              <w:t>实际执行图</w:t>
            </w:r>
          </w:p>
        </w:tc>
        <w:tc>
          <w:tcPr>
            <w:tcW w:w="4711" w:type="dxa"/>
            <w:vAlign w:val="top"/>
          </w:tcPr>
          <w:p>
            <w:pPr>
              <w:pStyle w:val="TableText"/>
              <w:ind w:left="2459"/>
              <w:spacing w:before="141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3"/>
              </w:rPr>
              <w:t>平均耗时（</w:t>
            </w:r>
            <w:r>
              <w:rPr>
                <w:b/>
                <w:bCs/>
                <w:color w:val="DEDEDE"/>
                <w:spacing w:val="-3"/>
              </w:rPr>
              <w:t>ms/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3"/>
              </w:rPr>
              <w:t>图）</w:t>
            </w:r>
          </w:p>
        </w:tc>
      </w:tr>
      <w:tr>
        <w:trPr>
          <w:trHeight w:val="538" w:hRule="atLeast"/>
        </w:trPr>
        <w:tc>
          <w:tcPr>
            <w:tcW w:w="6238" w:type="dxa"/>
            <w:vAlign w:val="top"/>
          </w:tcPr>
          <w:p>
            <w:pPr>
              <w:pStyle w:val="TableText"/>
              <w:ind w:left="151"/>
              <w:spacing w:before="150" w:line="174" w:lineRule="auto"/>
              <w:rPr/>
            </w:pP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原</w:t>
            </w:r>
            <w:r>
              <w:rPr>
                <w:color w:val="B8BFC6"/>
                <w:spacing w:val="-1"/>
              </w:rPr>
              <w:t>YOLO</w:t>
            </w:r>
            <w:r>
              <w:rPr>
                <w:color w:val="B8BFC6"/>
                <w:spacing w:val="-9"/>
              </w:rPr>
              <w:t xml:space="preserve"> </w:t>
            </w:r>
            <w:r>
              <w:rPr>
                <w:color w:val="B8BFC6"/>
                <w:spacing w:val="-1"/>
              </w:rPr>
              <w:t>API</w:t>
            </w:r>
          </w:p>
        </w:tc>
        <w:tc>
          <w:tcPr>
            <w:tcW w:w="4711" w:type="dxa"/>
            <w:vAlign w:val="top"/>
          </w:tcPr>
          <w:p>
            <w:pPr>
              <w:pStyle w:val="TableText"/>
              <w:ind w:left="3971"/>
              <w:spacing w:before="89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23.11</w:t>
            </w:r>
          </w:p>
        </w:tc>
      </w:tr>
      <w:tr>
        <w:trPr>
          <w:trHeight w:val="538" w:hRule="atLeast"/>
        </w:trPr>
        <w:tc>
          <w:tcPr>
            <w:tcW w:w="6238" w:type="dxa"/>
            <w:vAlign w:val="top"/>
          </w:tcPr>
          <w:p>
            <w:pPr>
              <w:pStyle w:val="TableText"/>
              <w:ind w:left="165"/>
              <w:spacing w:before="92" w:line="23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B8BFC6"/>
                <w:spacing w:val="-4"/>
              </w:rPr>
              <w:t>lean</w:t>
            </w:r>
            <w:r>
              <w:rPr>
                <w:color w:val="B8BFC6"/>
                <w:spacing w:val="23"/>
              </w:rPr>
              <w:t xml:space="preserve"> </w:t>
            </w:r>
            <w:r>
              <w:rPr>
                <w:color w:val="B8BFC6"/>
                <w:spacing w:val="-4"/>
              </w:rPr>
              <w:t>RR22</w:t>
            </w:r>
            <w:r>
              <w:rPr>
                <w:rFonts w:ascii="Microsoft YaHei" w:hAnsi="Microsoft YaHei" w:eastAsia="Microsoft YaHei" w:cs="Microsoft YaHei"/>
                <w:color w:val="B8BFC6"/>
                <w:spacing w:val="-4"/>
              </w:rPr>
              <w:t>参考</w:t>
            </w:r>
          </w:p>
        </w:tc>
        <w:tc>
          <w:tcPr>
            <w:tcW w:w="4711" w:type="dxa"/>
            <w:vAlign w:val="top"/>
          </w:tcPr>
          <w:p>
            <w:pPr>
              <w:pStyle w:val="TableText"/>
              <w:ind w:left="3839"/>
              <w:spacing w:before="91" w:line="327" w:lineRule="exact"/>
              <w:rPr/>
            </w:pPr>
            <w:r>
              <w:rPr>
                <w:color w:val="B8BFC6"/>
                <w:spacing w:val="-4"/>
                <w:position w:val="1"/>
              </w:rPr>
              <w:t>120.02</w:t>
            </w:r>
          </w:p>
        </w:tc>
      </w:tr>
      <w:tr>
        <w:trPr>
          <w:trHeight w:val="538" w:hRule="atLeast"/>
        </w:trPr>
        <w:tc>
          <w:tcPr>
            <w:tcW w:w="6238" w:type="dxa"/>
            <w:vAlign w:val="top"/>
          </w:tcPr>
          <w:p>
            <w:pPr>
              <w:pStyle w:val="TableText"/>
              <w:ind w:left="154"/>
              <w:spacing w:before="137" w:line="18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共享计算</w:t>
            </w:r>
            <w:r>
              <w:rPr>
                <w:color w:val="B8BFC6"/>
                <w:spacing w:val="-1"/>
              </w:rPr>
              <w:t>RR22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参考</w:t>
            </w:r>
          </w:p>
        </w:tc>
        <w:tc>
          <w:tcPr>
            <w:tcW w:w="4711" w:type="dxa"/>
            <w:vAlign w:val="top"/>
          </w:tcPr>
          <w:p>
            <w:pPr>
              <w:pStyle w:val="TableText"/>
              <w:ind w:left="3856"/>
              <w:spacing w:before="93" w:line="327" w:lineRule="exact"/>
              <w:rPr/>
            </w:pPr>
            <w:r>
              <w:rPr>
                <w:color w:val="B8BFC6"/>
                <w:spacing w:val="-7"/>
                <w:position w:val="1"/>
              </w:rPr>
              <w:t>118.01</w:t>
            </w:r>
          </w:p>
        </w:tc>
      </w:tr>
      <w:tr>
        <w:trPr>
          <w:trHeight w:val="538" w:hRule="atLeast"/>
        </w:trPr>
        <w:tc>
          <w:tcPr>
            <w:tcW w:w="6238" w:type="dxa"/>
            <w:vAlign w:val="top"/>
          </w:tcPr>
          <w:p>
            <w:pPr>
              <w:ind w:left="151"/>
              <w:spacing w:before="139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原缺陷质量排序</w:t>
            </w:r>
          </w:p>
        </w:tc>
        <w:tc>
          <w:tcPr>
            <w:tcW w:w="4711" w:type="dxa"/>
            <w:vAlign w:val="top"/>
          </w:tcPr>
          <w:p>
            <w:pPr>
              <w:pStyle w:val="TableText"/>
              <w:ind w:left="3856"/>
              <w:spacing w:before="95" w:line="327" w:lineRule="exact"/>
              <w:rPr/>
            </w:pPr>
            <w:r>
              <w:rPr>
                <w:color w:val="B8BFC6"/>
                <w:spacing w:val="-7"/>
                <w:position w:val="1"/>
              </w:rPr>
              <w:t>119.01</w:t>
            </w:r>
          </w:p>
        </w:tc>
      </w:tr>
      <w:tr>
        <w:trPr>
          <w:trHeight w:val="538" w:hRule="atLeast"/>
        </w:trPr>
        <w:tc>
          <w:tcPr>
            <w:tcW w:w="6238" w:type="dxa"/>
            <w:vAlign w:val="top"/>
          </w:tcPr>
          <w:p>
            <w:pPr>
              <w:ind w:left="151"/>
              <w:spacing w:before="141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原缺陷排序＋输出细化</w:t>
            </w:r>
          </w:p>
        </w:tc>
        <w:tc>
          <w:tcPr>
            <w:tcW w:w="4711" w:type="dxa"/>
            <w:vAlign w:val="top"/>
          </w:tcPr>
          <w:p>
            <w:pPr>
              <w:pStyle w:val="TableText"/>
              <w:ind w:left="3839"/>
              <w:spacing w:before="97" w:line="327" w:lineRule="exact"/>
              <w:rPr/>
            </w:pPr>
            <w:r>
              <w:rPr>
                <w:color w:val="B8BFC6"/>
                <w:spacing w:val="-4"/>
                <w:position w:val="1"/>
              </w:rPr>
              <w:t>141.92</w:t>
            </w:r>
          </w:p>
        </w:tc>
      </w:tr>
      <w:tr>
        <w:trPr>
          <w:trHeight w:val="538" w:hRule="atLeast"/>
        </w:trPr>
        <w:tc>
          <w:tcPr>
            <w:tcW w:w="6238" w:type="dxa"/>
            <w:vAlign w:val="top"/>
          </w:tcPr>
          <w:p>
            <w:pPr>
              <w:ind w:left="153"/>
              <w:spacing w:before="143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新缺陷排序，严格重放路径</w:t>
            </w:r>
          </w:p>
        </w:tc>
        <w:tc>
          <w:tcPr>
            <w:tcW w:w="4711" w:type="dxa"/>
            <w:vAlign w:val="top"/>
          </w:tcPr>
          <w:p>
            <w:pPr>
              <w:pStyle w:val="TableText"/>
              <w:ind w:left="3839"/>
              <w:spacing w:before="99" w:line="327" w:lineRule="exact"/>
              <w:rPr/>
            </w:pPr>
            <w:r>
              <w:rPr>
                <w:color w:val="B8BFC6"/>
                <w:spacing w:val="-4"/>
                <w:position w:val="1"/>
              </w:rPr>
              <w:t>138.79</w:t>
            </w:r>
          </w:p>
        </w:tc>
      </w:tr>
      <w:tr>
        <w:trPr>
          <w:trHeight w:val="546" w:hRule="atLeast"/>
        </w:trPr>
        <w:tc>
          <w:tcPr>
            <w:tcW w:w="6238" w:type="dxa"/>
            <w:vAlign w:val="top"/>
          </w:tcPr>
          <w:p>
            <w:pPr>
              <w:ind w:left="153"/>
              <w:spacing w:before="145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新缺陷排序，显式前缀复用</w:t>
            </w:r>
          </w:p>
        </w:tc>
        <w:tc>
          <w:tcPr>
            <w:tcW w:w="4711" w:type="dxa"/>
            <w:vAlign w:val="top"/>
          </w:tcPr>
          <w:p>
            <w:pPr>
              <w:pStyle w:val="TableText"/>
              <w:ind w:left="3839"/>
              <w:spacing w:before="101" w:line="327" w:lineRule="exact"/>
              <w:rPr/>
            </w:pPr>
            <w:r>
              <w:rPr>
                <w:color w:val="B8BFC6"/>
                <w:spacing w:val="-4"/>
                <w:position w:val="1"/>
              </w:rPr>
              <w:t>120.79</w:t>
            </w:r>
          </w:p>
        </w:tc>
      </w:tr>
    </w:tbl>
    <w:p>
      <w:pPr>
        <w:pStyle w:val="BodyText"/>
        <w:ind w:left="485" w:right="678" w:hanging="4"/>
        <w:spacing w:before="305"/>
        <w:jc w:val="both"/>
        <w:rPr/>
      </w:pPr>
      <w:r>
        <w:rPr>
          <w:color w:val="B8BFC6"/>
          <w:spacing w:val="1"/>
        </w:rPr>
        <w:t>原缺陷排序相对匹配的共享计算参考增加约</w:t>
      </w:r>
      <w:r>
        <w:rPr>
          <w:rFonts w:ascii="Arial" w:hAnsi="Arial" w:eastAsia="Arial" w:cs="Arial"/>
          <w:color w:val="B8BFC6"/>
          <w:spacing w:val="1"/>
        </w:rPr>
        <w:t>1.00</w:t>
      </w:r>
      <w:r>
        <w:rPr>
          <w:rFonts w:ascii="Arial" w:hAnsi="Arial" w:eastAsia="Arial" w:cs="Arial"/>
          <w:color w:val="B8BFC6"/>
        </w:rPr>
        <w:t>ms</w:t>
      </w:r>
      <w:r>
        <w:rPr>
          <w:rFonts w:ascii="Arial" w:hAnsi="Arial" w:eastAsia="Arial" w:cs="Arial"/>
          <w:color w:val="B8BFC6"/>
          <w:spacing w:val="1"/>
        </w:rPr>
        <w:t>/</w:t>
      </w:r>
      <w:r>
        <w:rPr>
          <w:color w:val="B8BFC6"/>
          <w:spacing w:val="1"/>
        </w:rPr>
        <w:t>图，输出细化继续增加可见成本。完整分级流程仍</w:t>
      </w:r>
      <w:r>
        <w:rPr>
          <w:color w:val="B8BFC6"/>
        </w:rPr>
        <w:t>显著慢于单独检测</w:t>
      </w:r>
      <w:r>
        <w:rPr>
          <w:rFonts w:ascii="Arial" w:hAnsi="Arial" w:eastAsia="Arial" w:cs="Arial"/>
          <w:color w:val="B8BFC6"/>
        </w:rPr>
        <w:t>API</w:t>
      </w:r>
      <w:r>
        <w:rPr>
          <w:color w:val="B8BFC6"/>
        </w:rPr>
        <w:t>。由于重新组织视觉批量会产生浮点差异，严格重放与前</w:t>
      </w:r>
      <w:r>
        <w:rPr>
          <w:color w:val="B8BFC6"/>
          <w:spacing w:val="-1"/>
        </w:rPr>
        <w:t>缀复用保持为不同执行</w:t>
      </w:r>
      <w:r>
        <w:rPr>
          <w:color w:val="B8BFC6"/>
          <w:spacing w:val="-5"/>
        </w:rPr>
        <w:t>图，不宣称逐位相同。</w:t>
      </w:r>
    </w:p>
    <w:p>
      <w:pPr>
        <w:sectPr>
          <w:headerReference w:type="default" r:id="rId54"/>
          <w:pgSz w:w="11919" w:h="16858"/>
          <w:pgMar w:top="400" w:right="0" w:bottom="921" w:left="0" w:header="0" w:footer="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480"/>
        <w:spacing w:line="5715" w:lineRule="exact"/>
        <w:rPr/>
      </w:pPr>
      <w:r>
        <w:rPr>
          <w:position w:val="-114"/>
        </w:rPr>
        <w:drawing>
          <wp:inline distT="0" distB="0" distL="0" distR="0">
            <wp:extent cx="6962774" cy="3629025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2774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496" w:right="651"/>
        <w:spacing w:before="103" w:line="237" w:lineRule="auto"/>
        <w:rPr/>
      </w:pPr>
      <w:r>
        <w:rPr>
          <w:color w:val="B8BFC6"/>
          <w:spacing w:val="-1"/>
        </w:rPr>
        <w:t>图</w:t>
      </w:r>
      <w:r>
        <w:rPr>
          <w:rFonts w:ascii="Arial" w:hAnsi="Arial" w:eastAsia="Arial" w:cs="Arial"/>
          <w:color w:val="B8BFC6"/>
          <w:spacing w:val="-1"/>
        </w:rPr>
        <w:t>5</w:t>
      </w:r>
      <w:r>
        <w:rPr>
          <w:rFonts w:ascii="Arial" w:hAnsi="Arial" w:eastAsia="Arial" w:cs="Arial"/>
          <w:color w:val="B8BFC6"/>
          <w:spacing w:val="28"/>
          <w:w w:val="101"/>
        </w:rPr>
        <w:t xml:space="preserve"> </w:t>
      </w:r>
      <w:r>
        <w:rPr>
          <w:color w:val="B8BFC6"/>
          <w:spacing w:val="-1"/>
        </w:rPr>
        <w:t>同设备实际计时及图像配对区间。计时包含相关检测、属性、排序和细化操作，重复次数是同</w:t>
      </w:r>
      <w:r>
        <w:rPr>
          <w:rFonts w:ascii="Arial" w:hAnsi="Arial" w:eastAsia="Arial" w:cs="Arial"/>
          <w:color w:val="B8BFC6"/>
          <w:spacing w:val="-1"/>
        </w:rPr>
        <w:t>24</w:t>
      </w:r>
      <w:r>
        <w:rPr>
          <w:color w:val="B8BFC6"/>
          <w:spacing w:val="-1"/>
        </w:rPr>
        <w:t>张</w:t>
      </w:r>
      <w:r>
        <w:rPr>
          <w:color w:val="B8BFC6"/>
          <w:spacing w:val="-4"/>
        </w:rPr>
        <w:t>图像的重复测量，不是独立图像数量。</w:t>
      </w:r>
    </w:p>
    <w:p>
      <w:pPr>
        <w:pStyle w:val="BodyText"/>
        <w:ind w:left="492"/>
        <w:spacing w:before="309" w:line="203" w:lineRule="auto"/>
        <w:outlineLvl w:val="2"/>
        <w:rPr>
          <w:sz w:val="28"/>
          <w:szCs w:val="28"/>
        </w:rPr>
      </w:pP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2"/>
        </w:rPr>
        <w:t>5.6</w:t>
      </w: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26"/>
        </w:rPr>
        <w:t xml:space="preserve"> </w:t>
      </w:r>
      <w:r>
        <w:rPr>
          <w:sz w:val="28"/>
          <w:szCs w:val="28"/>
          <w:b/>
          <w:bCs/>
          <w:color w:val="DEDEDE"/>
          <w:spacing w:val="-12"/>
        </w:rPr>
        <w:t>负结果与压力条件</w:t>
      </w:r>
    </w:p>
    <w:p>
      <w:pPr>
        <w:pStyle w:val="BodyText"/>
        <w:ind w:left="481" w:right="638" w:firstLine="4"/>
        <w:spacing w:before="330"/>
        <w:jc w:val="both"/>
        <w:rPr/>
      </w:pPr>
      <w:r>
        <w:rPr>
          <w:color w:val="B8BFC6"/>
        </w:rPr>
        <w:t>早期同训练剂量的检测器适配中，测试的方向性或部分通道模块未显示超出匹配</w:t>
      </w:r>
      <w:r>
        <w:rPr>
          <w:rFonts w:ascii="Arial" w:hAnsi="Arial" w:eastAsia="Arial" w:cs="Arial"/>
          <w:color w:val="B8BFC6"/>
        </w:rPr>
        <w:t>control</w:t>
      </w:r>
      <w:r>
        <w:rPr>
          <w:color w:val="B8BFC6"/>
          <w:spacing w:val="-1"/>
        </w:rPr>
        <w:t>的优势。某些原</w:t>
      </w:r>
      <w:r>
        <w:rPr>
          <w:color w:val="B8BFC6"/>
        </w:rPr>
        <w:t>生检测指标提高的模型，接入冻结分级级联后反而退步。这支持在上游选模时同时评价表示兼容</w:t>
      </w:r>
      <w:r>
        <w:rPr>
          <w:color w:val="B8BFC6"/>
          <w:spacing w:val="-1"/>
        </w:rPr>
        <w:t>性，但</w:t>
      </w:r>
      <w:r>
        <w:rPr>
          <w:color w:val="B8BFC6"/>
          <w:spacing w:val="-3"/>
        </w:rPr>
        <w:t>不能推出联合重训练或其他检测适配永远无效。</w:t>
      </w:r>
    </w:p>
    <w:p>
      <w:pPr>
        <w:pStyle w:val="BodyText"/>
        <w:ind w:left="481" w:right="667" w:firstLine="1"/>
        <w:spacing w:before="294" w:line="234" w:lineRule="auto"/>
        <w:rPr/>
      </w:pPr>
      <w:r>
        <w:rPr>
          <w:color w:val="B8BFC6"/>
        </w:rPr>
        <w:t>表</w:t>
      </w:r>
      <w:r>
        <w:rPr>
          <w:rFonts w:ascii="Arial" w:hAnsi="Arial" w:eastAsia="Arial" w:cs="Arial"/>
          <w:color w:val="B8BFC6"/>
        </w:rPr>
        <w:t>7</w:t>
      </w:r>
      <w:r>
        <w:rPr>
          <w:rFonts w:ascii="Arial" w:hAnsi="Arial" w:eastAsia="Arial" w:cs="Arial"/>
          <w:color w:val="B8BFC6"/>
          <w:spacing w:val="18"/>
        </w:rPr>
        <w:t xml:space="preserve"> </w:t>
      </w:r>
      <w:r>
        <w:rPr>
          <w:color w:val="B8BFC6"/>
        </w:rPr>
        <w:t>固定原缺陷排序的部分不利条件。各条件均</w:t>
      </w:r>
      <w:r>
        <w:rPr>
          <w:color w:val="B8BFC6"/>
          <w:spacing w:val="-1"/>
        </w:rPr>
        <w:t>包含相同</w:t>
      </w:r>
      <w:r>
        <w:rPr>
          <w:rFonts w:ascii="Arial" w:hAnsi="Arial" w:eastAsia="Arial" w:cs="Arial"/>
          <w:color w:val="B8BFC6"/>
          <w:spacing w:val="-1"/>
        </w:rPr>
        <w:t>518</w:t>
      </w:r>
      <w:r>
        <w:rPr>
          <w:color w:val="B8BFC6"/>
          <w:spacing w:val="-1"/>
        </w:rPr>
        <w:t>个</w:t>
      </w:r>
      <w:r>
        <w:rPr>
          <w:rFonts w:ascii="Arial" w:hAnsi="Arial" w:eastAsia="Arial" w:cs="Arial"/>
          <w:color w:val="B8BFC6"/>
          <w:spacing w:val="-1"/>
        </w:rPr>
        <w:t>GT</w:t>
      </w:r>
      <w:r>
        <w:rPr>
          <w:color w:val="B8BFC6"/>
          <w:spacing w:val="-1"/>
        </w:rPr>
        <w:t>，并对实际变换图像重新预测；条件</w:t>
      </w:r>
      <w:r>
        <w:rPr>
          <w:color w:val="B8BFC6"/>
          <w:spacing w:val="-2"/>
        </w:rPr>
        <w:t>分母随定位变化，正确</w:t>
      </w:r>
      <w:r>
        <w:rPr>
          <w:rFonts w:ascii="Arial" w:hAnsi="Arial" w:eastAsia="Arial" w:cs="Arial"/>
          <w:color w:val="B8BFC6"/>
          <w:spacing w:val="-2"/>
        </w:rPr>
        <w:t>/</w:t>
      </w:r>
      <w:r>
        <w:rPr>
          <w:color w:val="B8BFC6"/>
          <w:spacing w:val="-2"/>
        </w:rPr>
        <w:t>全部</w:t>
      </w:r>
      <w:r>
        <w:rPr>
          <w:rFonts w:ascii="Arial" w:hAnsi="Arial" w:eastAsia="Arial" w:cs="Arial"/>
          <w:color w:val="B8BFC6"/>
          <w:spacing w:val="-2"/>
        </w:rPr>
        <w:t>GT</w:t>
      </w:r>
      <w:r>
        <w:rPr>
          <w:color w:val="B8BFC6"/>
          <w:spacing w:val="-2"/>
        </w:rPr>
        <w:t>采用共同分母。</w:t>
      </w:r>
    </w:p>
    <w:p>
      <w:pPr>
        <w:spacing w:before="76"/>
        <w:rPr/>
      </w:pPr>
      <w:r/>
    </w:p>
    <w:tbl>
      <w:tblPr>
        <w:tblStyle w:val="TableNormal"/>
        <w:tblW w:w="10949" w:type="dxa"/>
        <w:tblInd w:w="487" w:type="dxa"/>
        <w:tblLayout w:type="fixed"/>
        <w:tblBorders>
          <w:top w:val="single" w:color="474D54" w:sz="6" w:space="0"/>
          <w:left w:val="single" w:color="474D54" w:sz="6" w:space="0"/>
          <w:bottom w:val="single" w:color="474D54" w:sz="6" w:space="0"/>
          <w:right w:val="single" w:color="474D54" w:sz="6" w:space="0"/>
          <w:insideH w:val="single" w:color="474D54" w:sz="6" w:space="0"/>
          <w:insideV w:val="single" w:color="474D54" w:sz="6" w:space="0"/>
        </w:tblBorders>
      </w:tblPr>
      <w:tblGrid>
        <w:gridCol w:w="3213"/>
        <w:gridCol w:w="1737"/>
        <w:gridCol w:w="3056"/>
        <w:gridCol w:w="2943"/>
      </w:tblGrid>
      <w:tr>
        <w:trPr>
          <w:trHeight w:val="545" w:hRule="atLeast"/>
        </w:trPr>
        <w:tc>
          <w:tcPr>
            <w:tcW w:w="3213" w:type="dxa"/>
            <w:vAlign w:val="top"/>
          </w:tcPr>
          <w:p>
            <w:pPr>
              <w:ind w:left="153"/>
              <w:spacing w:before="142" w:line="18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1"/>
              </w:rPr>
              <w:t>合成条件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544"/>
              <w:spacing w:before="141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"/>
              </w:rPr>
              <w:t>正确</w:t>
            </w:r>
            <w:r>
              <w:rPr>
                <w:b/>
                <w:bCs/>
                <w:color w:val="DEDEDE"/>
                <w:spacing w:val="-1"/>
              </w:rPr>
              <w:t>/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"/>
              </w:rPr>
              <w:t>定位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849"/>
              <w:spacing w:before="91" w:line="22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"/>
              </w:rPr>
              <w:t>正确</w:t>
            </w:r>
            <w:r>
              <w:rPr>
                <w:b/>
                <w:bCs/>
                <w:color w:val="DEDEDE"/>
                <w:spacing w:val="-1"/>
              </w:rPr>
              <w:t>/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"/>
              </w:rPr>
              <w:t>全部</w:t>
            </w:r>
            <w:r>
              <w:rPr>
                <w:b/>
                <w:bCs/>
                <w:color w:val="DEDEDE"/>
                <w:spacing w:val="-1"/>
              </w:rPr>
              <w:t>GT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"/>
              </w:rPr>
              <w:t>（</w:t>
            </w:r>
            <w:r>
              <w:rPr>
                <w:b/>
                <w:bCs/>
                <w:color w:val="DEDEDE"/>
                <w:spacing w:val="-1"/>
              </w:rPr>
              <w:t>%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"/>
              </w:rPr>
              <w:t>）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844"/>
              <w:spacing w:before="91" w:line="22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b/>
                <w:bCs/>
                <w:color w:val="DEDEDE"/>
                <w:spacing w:val="-3"/>
              </w:rPr>
              <w:t>Mask AP50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3"/>
              </w:rPr>
              <w:t>（</w:t>
            </w:r>
            <w:r>
              <w:rPr>
                <w:b/>
                <w:bCs/>
                <w:color w:val="DEDEDE"/>
                <w:spacing w:val="-3"/>
              </w:rPr>
              <w:t>%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3"/>
              </w:rPr>
              <w:t>）</w:t>
            </w:r>
          </w:p>
        </w:tc>
      </w:tr>
      <w:tr>
        <w:trPr>
          <w:trHeight w:val="538" w:hRule="atLeast"/>
        </w:trPr>
        <w:tc>
          <w:tcPr>
            <w:tcW w:w="3213" w:type="dxa"/>
            <w:vAlign w:val="top"/>
          </w:tcPr>
          <w:p>
            <w:pPr>
              <w:ind w:left="153"/>
              <w:spacing w:before="137" w:line="18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正常图像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702"/>
              <w:spacing w:before="90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449/500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2306"/>
              <w:spacing w:before="9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86.68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2188"/>
              <w:spacing w:before="9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87.10</w:t>
            </w:r>
          </w:p>
        </w:tc>
      </w:tr>
      <w:tr>
        <w:trPr>
          <w:trHeight w:val="538" w:hRule="atLeast"/>
        </w:trPr>
        <w:tc>
          <w:tcPr>
            <w:tcW w:w="3213" w:type="dxa"/>
            <w:vAlign w:val="top"/>
          </w:tcPr>
          <w:p>
            <w:pPr>
              <w:pStyle w:val="TableText"/>
              <w:ind w:left="153"/>
              <w:spacing w:before="92" w:line="236" w:lineRule="auto"/>
              <w:rPr/>
            </w:pP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全图亮度</w:t>
            </w:r>
            <w:r>
              <w:rPr>
                <w:color w:val="B8BFC6"/>
                <w:spacing w:val="-1"/>
              </w:rPr>
              <w:t>×0.70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705"/>
              <w:spacing w:before="92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266/498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2307"/>
              <w:spacing w:before="92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51.35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2187"/>
              <w:spacing w:before="92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63.10</w:t>
            </w:r>
          </w:p>
        </w:tc>
      </w:tr>
      <w:tr>
        <w:trPr>
          <w:trHeight w:val="538" w:hRule="atLeast"/>
        </w:trPr>
        <w:tc>
          <w:tcPr>
            <w:tcW w:w="3213" w:type="dxa"/>
            <w:vAlign w:val="top"/>
          </w:tcPr>
          <w:p>
            <w:pPr>
              <w:ind w:left="153"/>
              <w:spacing w:before="138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全图偏色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705"/>
              <w:spacing w:before="94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216/498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2300"/>
              <w:spacing w:before="94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41.70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2181"/>
              <w:spacing w:before="168" w:line="197" w:lineRule="auto"/>
              <w:rPr/>
            </w:pPr>
            <w:r>
              <w:rPr>
                <w:color w:val="B8BFC6"/>
                <w:spacing w:val="-1"/>
              </w:rPr>
              <w:t>47.21</w:t>
            </w:r>
          </w:p>
        </w:tc>
      </w:tr>
      <w:tr>
        <w:trPr>
          <w:trHeight w:val="538" w:hRule="atLeast"/>
        </w:trPr>
        <w:tc>
          <w:tcPr>
            <w:tcW w:w="3213" w:type="dxa"/>
            <w:vAlign w:val="top"/>
          </w:tcPr>
          <w:p>
            <w:pPr>
              <w:ind w:left="155"/>
              <w:spacing w:before="140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背景偏色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709"/>
              <w:spacing w:before="96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328/492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2306"/>
              <w:spacing w:before="96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63.32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2189"/>
              <w:spacing w:before="96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70.68</w:t>
            </w:r>
          </w:p>
        </w:tc>
      </w:tr>
      <w:tr>
        <w:trPr>
          <w:trHeight w:val="538" w:hRule="atLeast"/>
        </w:trPr>
        <w:tc>
          <w:tcPr>
            <w:tcW w:w="3213" w:type="dxa"/>
            <w:vAlign w:val="top"/>
          </w:tcPr>
          <w:p>
            <w:pPr>
              <w:ind w:left="155"/>
              <w:spacing w:before="142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2"/>
              </w:rPr>
              <w:t>前景偏色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725"/>
              <w:spacing w:before="98" w:line="327" w:lineRule="exact"/>
              <w:rPr/>
            </w:pPr>
            <w:r>
              <w:rPr>
                <w:color w:val="B8BFC6"/>
                <w:spacing w:val="-4"/>
                <w:position w:val="1"/>
              </w:rPr>
              <w:t>172/484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2307"/>
              <w:spacing w:before="98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33.20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2181"/>
              <w:spacing w:before="172" w:line="197" w:lineRule="auto"/>
              <w:rPr/>
            </w:pPr>
            <w:r>
              <w:rPr>
                <w:color w:val="B8BFC6"/>
                <w:spacing w:val="-1"/>
              </w:rPr>
              <w:t>47.42</w:t>
            </w:r>
          </w:p>
        </w:tc>
      </w:tr>
      <w:tr>
        <w:trPr>
          <w:trHeight w:val="545" w:hRule="atLeast"/>
        </w:trPr>
        <w:tc>
          <w:tcPr>
            <w:tcW w:w="3213" w:type="dxa"/>
            <w:vAlign w:val="top"/>
          </w:tcPr>
          <w:p>
            <w:pPr>
              <w:ind w:left="155"/>
              <w:spacing w:before="144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前景暗光＋背景偏色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725"/>
              <w:spacing w:before="100" w:line="327" w:lineRule="exact"/>
              <w:rPr/>
            </w:pPr>
            <w:r>
              <w:rPr>
                <w:color w:val="B8BFC6"/>
                <w:spacing w:val="-4"/>
                <w:position w:val="1"/>
              </w:rPr>
              <w:t>147/488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2304"/>
              <w:spacing w:before="10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28.38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2188"/>
              <w:spacing w:before="10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37.73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5"/>
          <w:pgSz w:w="11919" w:h="16858"/>
          <w:pgMar w:top="400" w:right="0" w:bottom="921" w:left="0" w:header="0" w:footer="6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416" w:lineRule="auto"/>
        <w:rPr>
          <w:rFonts w:ascii="Arial"/>
          <w:sz w:val="21"/>
        </w:rPr>
      </w:pPr>
      <w:r/>
    </w:p>
    <w:p>
      <w:pPr>
        <w:pStyle w:val="BodyText"/>
        <w:ind w:left="482" w:right="478" w:firstLine="3"/>
        <w:spacing w:before="103" w:line="227" w:lineRule="auto"/>
        <w:rPr/>
      </w:pPr>
      <w:r>
        <w:rPr>
          <w:color w:val="B8BFC6"/>
        </w:rPr>
        <w:t>前景</w:t>
      </w:r>
      <w:r>
        <w:rPr>
          <w:rFonts w:ascii="Arial" w:hAnsi="Arial" w:eastAsia="Arial" w:cs="Arial"/>
          <w:color w:val="B8BFC6"/>
        </w:rPr>
        <w:t>/</w:t>
      </w:r>
      <w:r>
        <w:rPr>
          <w:color w:val="B8BFC6"/>
        </w:rPr>
        <w:t>背景变换使用预测前景而非</w:t>
      </w:r>
      <w:r>
        <w:rPr>
          <w:rFonts w:ascii="Arial" w:hAnsi="Arial" w:eastAsia="Arial" w:cs="Arial"/>
          <w:color w:val="B8BFC6"/>
        </w:rPr>
        <w:t>GT</w:t>
      </w:r>
      <w:r>
        <w:rPr>
          <w:color w:val="B8BFC6"/>
        </w:rPr>
        <w:t>掩膜，属于合成诊断，不是真实部署数据。实验报告</w:t>
      </w:r>
      <w:r>
        <w:rPr>
          <w:color w:val="B8BFC6"/>
          <w:spacing w:val="-1"/>
        </w:rPr>
        <w:t>保留全部十条件</w:t>
      </w:r>
      <w:r>
        <w:rPr>
          <w:color w:val="B8BFC6"/>
          <w:spacing w:val="-1"/>
        </w:rPr>
        <w:t>矩阵。质量排序不能修复这些条件下大量已判错的等级。纯二值几何评分在部分暗光条件下</w:t>
      </w:r>
      <w:r>
        <w:rPr>
          <w:color w:val="B8BFC6"/>
          <w:spacing w:val="-2"/>
        </w:rPr>
        <w:t>改善计数，</w:t>
      </w:r>
    </w:p>
    <w:p>
      <w:pPr>
        <w:pStyle w:val="BodyText"/>
        <w:ind w:left="482" w:right="667" w:firstLine="2"/>
        <w:spacing w:before="1" w:line="237" w:lineRule="auto"/>
        <w:rPr/>
      </w:pPr>
      <w:r>
        <w:rPr>
          <w:color w:val="B8BFC6"/>
        </w:rPr>
        <w:t>却使正常图正确数降至约</w:t>
      </w:r>
      <w:r>
        <w:rPr>
          <w:rFonts w:ascii="Arial" w:hAnsi="Arial" w:eastAsia="Arial" w:cs="Arial"/>
          <w:color w:val="B8BFC6"/>
        </w:rPr>
        <w:t>404–408</w:t>
      </w:r>
      <w:r>
        <w:rPr>
          <w:color w:val="B8BFC6"/>
        </w:rPr>
        <w:t>，未通过内部替换条件。空间分支选择器也存</w:t>
      </w:r>
      <w:r>
        <w:rPr>
          <w:color w:val="B8BFC6"/>
          <w:spacing w:val="-1"/>
        </w:rPr>
        <w:t>在正常图与特定干预条</w:t>
      </w:r>
      <w:r>
        <w:rPr>
          <w:color w:val="B8BFC6"/>
          <w:spacing w:val="-6"/>
        </w:rPr>
        <w:t>件之间的权衡。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483" w:right="545" w:firstLine="8"/>
        <w:spacing w:before="103" w:line="234" w:lineRule="auto"/>
        <w:rPr/>
      </w:pPr>
      <w:r>
        <w:rPr>
          <w:rFonts w:ascii="Arial" w:hAnsi="Arial" w:eastAsia="Arial" w:cs="Arial"/>
          <w:color w:val="B8BFC6"/>
          <w:spacing w:val="-1"/>
        </w:rPr>
        <w:t>GT</w:t>
      </w:r>
      <w:r>
        <w:rPr>
          <w:color w:val="B8BFC6"/>
          <w:spacing w:val="-1"/>
        </w:rPr>
        <w:t>代入诊断表明属性与边界融合错误存在交互。即使代入</w:t>
      </w:r>
      <w:r>
        <w:rPr>
          <w:rFonts w:ascii="Arial" w:hAnsi="Arial" w:eastAsia="Arial" w:cs="Arial"/>
          <w:color w:val="B8BFC6"/>
          <w:spacing w:val="-1"/>
        </w:rPr>
        <w:t>GT</w:t>
      </w:r>
      <w:r>
        <w:rPr>
          <w:color w:val="B8BFC6"/>
          <w:spacing w:val="-1"/>
        </w:rPr>
        <w:t>属性，邻域边界融合仍可将</w:t>
      </w:r>
      <w:r>
        <w:rPr>
          <w:rFonts w:ascii="Arial" w:hAnsi="Arial" w:eastAsia="Arial" w:cs="Arial"/>
          <w:color w:val="B8BFC6"/>
          <w:spacing w:val="-1"/>
        </w:rPr>
        <w:t>11</w:t>
      </w:r>
      <w:r>
        <w:rPr>
          <w:color w:val="B8BFC6"/>
          <w:spacing w:val="-1"/>
        </w:rPr>
        <w:t>个原本正确</w:t>
      </w:r>
      <w:r>
        <w:rPr>
          <w:color w:val="B8BFC6"/>
        </w:rPr>
        <w:t>的临界判定翻错。这些结果用于诊断冻结逻辑，不是可达到的模型成绩、物理上限或运行时使</w:t>
      </w:r>
      <w:r>
        <w:rPr>
          <w:color w:val="B8BFC6"/>
          <w:spacing w:val="-1"/>
        </w:rPr>
        <w:t>用</w:t>
      </w:r>
      <w:r>
        <w:rPr>
          <w:rFonts w:ascii="Arial" w:hAnsi="Arial" w:eastAsia="Arial" w:cs="Arial"/>
          <w:color w:val="B8BFC6"/>
          <w:spacing w:val="-1"/>
        </w:rPr>
        <w:t>GT</w:t>
      </w:r>
      <w:r>
        <w:rPr>
          <w:color w:val="B8BFC6"/>
          <w:spacing w:val="-1"/>
        </w:rPr>
        <w:t>的证</w:t>
      </w:r>
      <w:r>
        <w:rPr>
          <w:color w:val="B8BFC6"/>
          <w:spacing w:val="-1"/>
        </w:rPr>
        <w:t>据。它们指出可靠度控制的边界融合作为后续</w:t>
      </w:r>
      <w:r>
        <w:rPr>
          <w:color w:val="B8BFC6"/>
          <w:spacing w:val="-2"/>
        </w:rPr>
        <w:t>问题，不能额外计为已验证贡献。</w:t>
      </w:r>
    </w:p>
    <w:p>
      <w:pPr>
        <w:pStyle w:val="BodyText"/>
        <w:ind w:left="492"/>
        <w:spacing w:before="287" w:line="184" w:lineRule="auto"/>
        <w:outlineLvl w:val="2"/>
        <w:rPr>
          <w:sz w:val="28"/>
          <w:szCs w:val="28"/>
        </w:rPr>
      </w:pP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1"/>
          <w:w w:val="99"/>
        </w:rPr>
        <w:t>5.7</w:t>
      </w: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3"/>
        </w:rPr>
        <w:t xml:space="preserve"> </w:t>
      </w:r>
      <w:r>
        <w:rPr>
          <w:sz w:val="28"/>
          <w:szCs w:val="28"/>
          <w:b/>
          <w:bCs/>
          <w:color w:val="DEDEDE"/>
          <w:spacing w:val="-11"/>
          <w:w w:val="99"/>
        </w:rPr>
        <w:t>冻结方案的最终测试结果</w:t>
      </w:r>
    </w:p>
    <w:p>
      <w:pPr>
        <w:pStyle w:val="BodyText"/>
        <w:ind w:left="481" w:right="596" w:firstLine="1"/>
        <w:spacing w:before="343" w:line="237" w:lineRule="auto"/>
        <w:rPr/>
      </w:pPr>
      <w:r>
        <w:rPr>
          <w:color w:val="B8BFC6"/>
        </w:rPr>
        <w:t>表</w:t>
      </w:r>
      <w:r>
        <w:rPr>
          <w:rFonts w:ascii="Arial" w:hAnsi="Arial" w:eastAsia="Arial" w:cs="Arial"/>
          <w:color w:val="B8BFC6"/>
        </w:rPr>
        <w:t>8 </w:t>
      </w:r>
      <w:r>
        <w:rPr>
          <w:color w:val="B8BFC6"/>
        </w:rPr>
        <w:t>统一冻结协议下的</w:t>
      </w:r>
      <w:r>
        <w:rPr>
          <w:rFonts w:ascii="Arial" w:hAnsi="Arial" w:eastAsia="Arial" w:cs="Arial"/>
          <w:color w:val="B8BFC6"/>
        </w:rPr>
        <w:t>test</w:t>
      </w:r>
      <w:r>
        <w:rPr>
          <w:color w:val="B8BFC6"/>
        </w:rPr>
        <w:t>结果，</w:t>
      </w:r>
      <w:r>
        <w:rPr>
          <w:color w:val="B8BFC6"/>
          <w:spacing w:val="-45"/>
        </w:rPr>
        <w:t xml:space="preserve"> </w:t>
      </w:r>
      <w:r>
        <w:rPr>
          <w:rFonts w:ascii="Arial" w:hAnsi="Arial" w:eastAsia="Arial" w:cs="Arial"/>
          <w:color w:val="B8BFC6"/>
        </w:rPr>
        <w:t>129</w:t>
      </w:r>
      <w:r>
        <w:rPr>
          <w:color w:val="B8BFC6"/>
        </w:rPr>
        <w:t>张图</w:t>
      </w:r>
      <w:r>
        <w:rPr>
          <w:color w:val="B8BFC6"/>
          <w:spacing w:val="-1"/>
        </w:rPr>
        <w:t>像、</w:t>
      </w:r>
      <w:r>
        <w:rPr>
          <w:rFonts w:ascii="Arial" w:hAnsi="Arial" w:eastAsia="Arial" w:cs="Arial"/>
          <w:color w:val="B8BFC6"/>
          <w:spacing w:val="-1"/>
        </w:rPr>
        <w:t>576</w:t>
      </w:r>
      <w:r>
        <w:rPr>
          <w:color w:val="B8BFC6"/>
          <w:spacing w:val="-1"/>
        </w:rPr>
        <w:t>个</w:t>
      </w:r>
      <w:r>
        <w:rPr>
          <w:rFonts w:ascii="Arial" w:hAnsi="Arial" w:eastAsia="Arial" w:cs="Arial"/>
          <w:color w:val="B8BFC6"/>
          <w:spacing w:val="-1"/>
        </w:rPr>
        <w:t>GT</w:t>
      </w:r>
      <w:r>
        <w:rPr>
          <w:color w:val="B8BFC6"/>
          <w:spacing w:val="-1"/>
        </w:rPr>
        <w:t>。五组均定位</w:t>
      </w:r>
      <w:r>
        <w:rPr>
          <w:rFonts w:ascii="Arial" w:hAnsi="Arial" w:eastAsia="Arial" w:cs="Arial"/>
          <w:color w:val="B8BFC6"/>
          <w:spacing w:val="-1"/>
        </w:rPr>
        <w:t>560</w:t>
      </w:r>
      <w:r>
        <w:rPr>
          <w:color w:val="B8BFC6"/>
          <w:spacing w:val="-1"/>
        </w:rPr>
        <w:t>个实例；</w:t>
      </w:r>
      <w:r>
        <w:rPr>
          <w:rFonts w:ascii="Arial" w:hAnsi="Arial" w:eastAsia="Arial" w:cs="Arial"/>
          <w:color w:val="B8BFC6"/>
          <w:spacing w:val="-1"/>
        </w:rPr>
        <w:t>AP</w:t>
      </w:r>
      <w:r>
        <w:rPr>
          <w:color w:val="B8BFC6"/>
          <w:spacing w:val="-1"/>
        </w:rPr>
        <w:t>与百分比指标以百</w:t>
      </w:r>
      <w:r>
        <w:rPr>
          <w:color w:val="B8BFC6"/>
          <w:spacing w:val="-8"/>
        </w:rPr>
        <w:t>分数表示。</w:t>
      </w:r>
    </w:p>
    <w:p>
      <w:pPr>
        <w:spacing w:before="64"/>
        <w:rPr/>
      </w:pPr>
      <w:r/>
    </w:p>
    <w:tbl>
      <w:tblPr>
        <w:tblStyle w:val="TableNormal"/>
        <w:tblW w:w="10949" w:type="dxa"/>
        <w:tblInd w:w="487" w:type="dxa"/>
        <w:tblLayout w:type="fixed"/>
        <w:tblBorders>
          <w:top w:val="single" w:color="474D54" w:sz="6" w:space="0"/>
          <w:left w:val="single" w:color="474D54" w:sz="6" w:space="0"/>
          <w:bottom w:val="single" w:color="474D54" w:sz="6" w:space="0"/>
          <w:right w:val="single" w:color="474D54" w:sz="6" w:space="0"/>
          <w:insideH w:val="single" w:color="474D54" w:sz="6" w:space="0"/>
          <w:insideV w:val="single" w:color="474D54" w:sz="6" w:space="0"/>
        </w:tblBorders>
      </w:tblPr>
      <w:tblGrid>
        <w:gridCol w:w="2164"/>
        <w:gridCol w:w="1318"/>
        <w:gridCol w:w="1618"/>
        <w:gridCol w:w="1573"/>
        <w:gridCol w:w="1588"/>
        <w:gridCol w:w="1378"/>
        <w:gridCol w:w="1310"/>
      </w:tblGrid>
      <w:tr>
        <w:trPr>
          <w:trHeight w:val="935" w:hRule="atLeast"/>
        </w:trPr>
        <w:tc>
          <w:tcPr>
            <w:tcW w:w="2164" w:type="dxa"/>
            <w:vAlign w:val="top"/>
          </w:tcPr>
          <w:p>
            <w:pPr>
              <w:ind w:left="163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3"/>
              </w:rPr>
              <w:t>固定方案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574"/>
              <w:spacing w:before="170" w:line="196" w:lineRule="auto"/>
              <w:rPr/>
            </w:pPr>
            <w:r>
              <w:rPr>
                <w:b/>
                <w:bCs/>
                <w:color w:val="DEDEDE"/>
                <w:spacing w:val="-4"/>
              </w:rPr>
              <w:t>Mask</w:t>
            </w:r>
          </w:p>
          <w:p>
            <w:pPr>
              <w:pStyle w:val="TableText"/>
              <w:ind w:left="557"/>
              <w:spacing w:before="164" w:line="196" w:lineRule="auto"/>
              <w:rPr/>
            </w:pPr>
            <w:r>
              <w:rPr>
                <w:b/>
                <w:bCs/>
                <w:color w:val="DEDEDE"/>
                <w:spacing w:val="-1"/>
              </w:rPr>
              <w:t>AP50</w:t>
            </w:r>
          </w:p>
        </w:tc>
        <w:tc>
          <w:tcPr>
            <w:tcW w:w="1618" w:type="dxa"/>
            <w:vAlign w:val="top"/>
          </w:tcPr>
          <w:p>
            <w:pPr>
              <w:pStyle w:val="TableText"/>
              <w:ind w:left="456" w:right="146" w:firstLine="417"/>
              <w:spacing w:before="170" w:line="328" w:lineRule="auto"/>
              <w:rPr/>
            </w:pPr>
            <w:r>
              <w:rPr>
                <w:b/>
                <w:bCs/>
                <w:color w:val="DEDEDE"/>
                <w:spacing w:val="-5"/>
              </w:rPr>
              <w:t>Mask</w:t>
            </w:r>
            <w:r>
              <w:rPr>
                <w:b/>
                <w:bCs/>
                <w:color w:val="DEDEDE"/>
                <w:spacing w:val="1"/>
              </w:rPr>
              <w:t xml:space="preserve"> </w:t>
            </w:r>
            <w:r>
              <w:rPr>
                <w:b/>
                <w:bCs/>
                <w:color w:val="DEDEDE"/>
                <w:spacing w:val="-1"/>
              </w:rPr>
              <w:t>AP50–95</w:t>
            </w:r>
          </w:p>
        </w:tc>
        <w:tc>
          <w:tcPr>
            <w:tcW w:w="1573" w:type="dxa"/>
            <w:vAlign w:val="top"/>
          </w:tcPr>
          <w:p>
            <w:pPr>
              <w:pStyle w:val="TableText"/>
              <w:ind w:left="937" w:right="143" w:hanging="547"/>
              <w:spacing w:before="142" w:line="22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"/>
              </w:rPr>
              <w:t>分级正确</w:t>
            </w:r>
            <w:r>
              <w:rPr>
                <w:b/>
                <w:bCs/>
                <w:color w:val="DEDEDE"/>
                <w:spacing w:val="-1"/>
              </w:rPr>
              <w:t>/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2"/>
              </w:rPr>
              <w:t>定位</w:t>
            </w:r>
          </w:p>
        </w:tc>
        <w:tc>
          <w:tcPr>
            <w:tcW w:w="1588" w:type="dxa"/>
            <w:vAlign w:val="top"/>
          </w:tcPr>
          <w:p>
            <w:pPr>
              <w:ind w:left="941" w:right="152" w:hanging="716"/>
              <w:spacing w:before="142" w:line="22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1"/>
              </w:rPr>
              <w:t>条件分级正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1"/>
              </w:rPr>
              <w:t>确率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892" w:right="148" w:hanging="699"/>
              <w:spacing w:before="141" w:line="268" w:lineRule="auto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2"/>
              </w:rPr>
              <w:t>正确</w:t>
            </w:r>
            <w:r>
              <w:rPr>
                <w:b/>
                <w:bCs/>
                <w:color w:val="DEDEDE"/>
                <w:spacing w:val="-2"/>
              </w:rPr>
              <w:t>/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2"/>
              </w:rPr>
              <w:t>全部</w:t>
            </w:r>
            <w:r>
              <w:rPr>
                <w:b/>
                <w:bCs/>
                <w:color w:val="DEDEDE"/>
                <w:spacing w:val="-6"/>
              </w:rPr>
              <w:t>GT</w:t>
            </w:r>
          </w:p>
        </w:tc>
        <w:tc>
          <w:tcPr>
            <w:tcW w:w="1310" w:type="dxa"/>
            <w:vAlign w:val="top"/>
          </w:tcPr>
          <w:p>
            <w:pPr>
              <w:pStyle w:val="TableText"/>
              <w:ind w:left="883" w:right="148" w:hanging="694"/>
              <w:spacing w:before="140" w:line="268" w:lineRule="auto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"/>
              </w:rPr>
              <w:t>操作点宏</w:t>
            </w:r>
            <w:r>
              <w:rPr>
                <w:b/>
                <w:bCs/>
                <w:color w:val="DEDEDE"/>
                <w:spacing w:val="-9"/>
              </w:rPr>
              <w:t>F1</w:t>
            </w:r>
          </w:p>
        </w:tc>
      </w:tr>
      <w:tr>
        <w:trPr>
          <w:trHeight w:val="538" w:hRule="atLeast"/>
        </w:trPr>
        <w:tc>
          <w:tcPr>
            <w:tcW w:w="2164" w:type="dxa"/>
            <w:vAlign w:val="top"/>
          </w:tcPr>
          <w:p>
            <w:pPr>
              <w:pStyle w:val="TableText"/>
              <w:ind w:left="151"/>
              <w:spacing w:before="151" w:line="174" w:lineRule="auto"/>
              <w:rPr/>
            </w:pP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原</w:t>
            </w:r>
            <w:r>
              <w:rPr>
                <w:color w:val="B8BFC6"/>
                <w:spacing w:val="-1"/>
              </w:rPr>
              <w:t>YOLO26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568"/>
              <w:spacing w:before="9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78.04</w:t>
            </w:r>
          </w:p>
        </w:tc>
        <w:tc>
          <w:tcPr>
            <w:tcW w:w="1618" w:type="dxa"/>
            <w:vAlign w:val="top"/>
          </w:tcPr>
          <w:p>
            <w:pPr>
              <w:pStyle w:val="TableText"/>
              <w:ind w:left="865"/>
              <w:spacing w:before="9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65.84</w:t>
            </w:r>
          </w:p>
        </w:tc>
        <w:tc>
          <w:tcPr>
            <w:tcW w:w="1573" w:type="dxa"/>
            <w:vAlign w:val="top"/>
          </w:tcPr>
          <w:p>
            <w:pPr>
              <w:pStyle w:val="TableText"/>
              <w:ind w:left="549"/>
              <w:spacing w:before="90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456/560</w:t>
            </w:r>
          </w:p>
        </w:tc>
        <w:tc>
          <w:tcPr>
            <w:tcW w:w="1588" w:type="dxa"/>
            <w:vAlign w:val="top"/>
          </w:tcPr>
          <w:p>
            <w:pPr>
              <w:pStyle w:val="TableText"/>
              <w:ind w:left="829"/>
              <w:spacing w:before="9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81.43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625"/>
              <w:spacing w:before="9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79.17</w:t>
            </w:r>
          </w:p>
        </w:tc>
        <w:tc>
          <w:tcPr>
            <w:tcW w:w="1310" w:type="dxa"/>
            <w:vAlign w:val="top"/>
          </w:tcPr>
          <w:p>
            <w:pPr>
              <w:pStyle w:val="TableText"/>
              <w:ind w:left="556"/>
              <w:spacing w:before="9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72.56</w:t>
            </w:r>
          </w:p>
        </w:tc>
      </w:tr>
      <w:tr>
        <w:trPr>
          <w:trHeight w:val="927" w:hRule="atLeast"/>
        </w:trPr>
        <w:tc>
          <w:tcPr>
            <w:tcW w:w="2164" w:type="dxa"/>
            <w:vAlign w:val="top"/>
          </w:tcPr>
          <w:p>
            <w:pPr>
              <w:pStyle w:val="TableText"/>
              <w:ind w:left="154" w:right="365" w:hanging="3"/>
              <w:spacing w:before="151" w:line="223" w:lineRule="auto"/>
              <w:rPr/>
            </w:pPr>
            <w:r>
              <w:rPr>
                <w:rFonts w:ascii="Microsoft YaHei" w:hAnsi="Microsoft YaHei" w:eastAsia="Microsoft YaHei" w:cs="Microsoft YaHei"/>
                <w:color w:val="B8BFC6"/>
                <w:spacing w:val="-3"/>
              </w:rPr>
              <w:t>原</w:t>
            </w:r>
            <w:r>
              <w:rPr>
                <w:color w:val="B8BFC6"/>
                <w:spacing w:val="-3"/>
              </w:rPr>
              <w:t>YOLO26</w:t>
            </w:r>
            <w:r>
              <w:rPr>
                <w:rFonts w:ascii="Microsoft YaHei" w:hAnsi="Microsoft YaHei" w:eastAsia="Microsoft YaHei" w:cs="Microsoft YaHei"/>
                <w:color w:val="B8BFC6"/>
                <w:spacing w:val="-3"/>
              </w:rPr>
              <w:t>＋同</w:t>
            </w:r>
            <w:r>
              <w:rPr>
                <w:rFonts w:ascii="Microsoft YaHei" w:hAnsi="Microsoft YaHei" w:eastAsia="Microsoft YaHei" w:cs="Microsoft YaHei"/>
                <w:color w:val="B8BFC6"/>
                <w:spacing w:val="-2"/>
              </w:rPr>
              <w:t>类</w:t>
            </w:r>
            <w:r>
              <w:rPr>
                <w:color w:val="B8BFC6"/>
                <w:spacing w:val="-2"/>
              </w:rPr>
              <w:t>NMS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568"/>
              <w:spacing w:before="92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78.89</w:t>
            </w:r>
          </w:p>
        </w:tc>
        <w:tc>
          <w:tcPr>
            <w:tcW w:w="1618" w:type="dxa"/>
            <w:vAlign w:val="top"/>
          </w:tcPr>
          <w:p>
            <w:pPr>
              <w:pStyle w:val="TableText"/>
              <w:ind w:left="865"/>
              <w:spacing w:before="92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66.46</w:t>
            </w:r>
          </w:p>
        </w:tc>
        <w:tc>
          <w:tcPr>
            <w:tcW w:w="1573" w:type="dxa"/>
            <w:vAlign w:val="top"/>
          </w:tcPr>
          <w:p>
            <w:pPr>
              <w:pStyle w:val="TableText"/>
              <w:ind w:left="549"/>
              <w:spacing w:before="92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456/560</w:t>
            </w:r>
          </w:p>
        </w:tc>
        <w:tc>
          <w:tcPr>
            <w:tcW w:w="1588" w:type="dxa"/>
            <w:vAlign w:val="top"/>
          </w:tcPr>
          <w:p>
            <w:pPr>
              <w:pStyle w:val="TableText"/>
              <w:ind w:left="829"/>
              <w:spacing w:before="92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81.43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625"/>
              <w:spacing w:before="92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79.17</w:t>
            </w:r>
          </w:p>
        </w:tc>
        <w:tc>
          <w:tcPr>
            <w:tcW w:w="1310" w:type="dxa"/>
            <w:vAlign w:val="top"/>
          </w:tcPr>
          <w:p>
            <w:pPr>
              <w:pStyle w:val="TableText"/>
              <w:ind w:left="556"/>
              <w:spacing w:before="92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73.54</w:t>
            </w:r>
          </w:p>
        </w:tc>
      </w:tr>
      <w:tr>
        <w:trPr>
          <w:trHeight w:val="538" w:hRule="atLeast"/>
        </w:trPr>
        <w:tc>
          <w:tcPr>
            <w:tcW w:w="2164" w:type="dxa"/>
            <w:vAlign w:val="top"/>
          </w:tcPr>
          <w:p>
            <w:pPr>
              <w:pStyle w:val="TableText"/>
              <w:ind w:left="168"/>
              <w:spacing w:before="141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B8BFC6"/>
                <w:spacing w:val="-3"/>
              </w:rPr>
              <w:t>RR22</w:t>
            </w:r>
            <w:r>
              <w:rPr>
                <w:rFonts w:ascii="Microsoft YaHei" w:hAnsi="Microsoft YaHei" w:eastAsia="Microsoft YaHei" w:cs="Microsoft YaHei"/>
                <w:color w:val="B8BFC6"/>
                <w:spacing w:val="-3"/>
              </w:rPr>
              <w:t>分层参考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568"/>
              <w:spacing w:before="95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79.75</w:t>
            </w:r>
          </w:p>
        </w:tc>
        <w:tc>
          <w:tcPr>
            <w:tcW w:w="1618" w:type="dxa"/>
            <w:vAlign w:val="top"/>
          </w:tcPr>
          <w:p>
            <w:pPr>
              <w:pStyle w:val="TableText"/>
              <w:ind w:left="865"/>
              <w:spacing w:before="95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67.16</w:t>
            </w:r>
          </w:p>
        </w:tc>
        <w:tc>
          <w:tcPr>
            <w:tcW w:w="1573" w:type="dxa"/>
            <w:vAlign w:val="top"/>
          </w:tcPr>
          <w:p>
            <w:pPr>
              <w:pStyle w:val="TableText"/>
              <w:ind w:left="549"/>
              <w:spacing w:before="95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481/560</w:t>
            </w:r>
          </w:p>
        </w:tc>
        <w:tc>
          <w:tcPr>
            <w:tcW w:w="1588" w:type="dxa"/>
            <w:vAlign w:val="top"/>
          </w:tcPr>
          <w:p>
            <w:pPr>
              <w:pStyle w:val="TableText"/>
              <w:ind w:left="829"/>
              <w:spacing w:before="95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85.89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623"/>
              <w:spacing w:before="95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83.51</w:t>
            </w:r>
          </w:p>
        </w:tc>
        <w:tc>
          <w:tcPr>
            <w:tcW w:w="1310" w:type="dxa"/>
            <w:vAlign w:val="top"/>
          </w:tcPr>
          <w:p>
            <w:pPr>
              <w:pStyle w:val="TableText"/>
              <w:ind w:left="556"/>
              <w:spacing w:before="95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77.79</w:t>
            </w:r>
          </w:p>
        </w:tc>
      </w:tr>
      <w:tr>
        <w:trPr>
          <w:trHeight w:val="927" w:hRule="atLeast"/>
        </w:trPr>
        <w:tc>
          <w:tcPr>
            <w:tcW w:w="2164" w:type="dxa"/>
            <w:vAlign w:val="top"/>
          </w:tcPr>
          <w:p>
            <w:pPr>
              <w:ind w:left="152" w:right="318" w:hanging="1"/>
              <w:spacing w:before="141" w:line="22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原缺陷排序主方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</w:rPr>
              <w:t>案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566"/>
              <w:spacing w:before="97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80.72</w:t>
            </w:r>
          </w:p>
        </w:tc>
        <w:tc>
          <w:tcPr>
            <w:tcW w:w="1618" w:type="dxa"/>
            <w:vAlign w:val="top"/>
          </w:tcPr>
          <w:p>
            <w:pPr>
              <w:pStyle w:val="TableText"/>
              <w:ind w:left="865"/>
              <w:spacing w:before="97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68.03</w:t>
            </w:r>
          </w:p>
        </w:tc>
        <w:tc>
          <w:tcPr>
            <w:tcW w:w="1573" w:type="dxa"/>
            <w:vAlign w:val="top"/>
          </w:tcPr>
          <w:p>
            <w:pPr>
              <w:pStyle w:val="TableText"/>
              <w:ind w:left="549"/>
              <w:spacing w:before="97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481/560</w:t>
            </w:r>
          </w:p>
        </w:tc>
        <w:tc>
          <w:tcPr>
            <w:tcW w:w="1588" w:type="dxa"/>
            <w:vAlign w:val="top"/>
          </w:tcPr>
          <w:p>
            <w:pPr>
              <w:pStyle w:val="TableText"/>
              <w:ind w:left="829"/>
              <w:spacing w:before="97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85.89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623"/>
              <w:spacing w:before="97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83.51</w:t>
            </w:r>
          </w:p>
        </w:tc>
        <w:tc>
          <w:tcPr>
            <w:tcW w:w="1310" w:type="dxa"/>
            <w:vAlign w:val="top"/>
          </w:tcPr>
          <w:p>
            <w:pPr>
              <w:pStyle w:val="TableText"/>
              <w:ind w:left="556"/>
              <w:spacing w:before="97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77.79</w:t>
            </w:r>
          </w:p>
        </w:tc>
      </w:tr>
      <w:tr>
        <w:trPr>
          <w:trHeight w:val="935" w:hRule="atLeast"/>
        </w:trPr>
        <w:tc>
          <w:tcPr>
            <w:tcW w:w="2164" w:type="dxa"/>
            <w:vAlign w:val="top"/>
          </w:tcPr>
          <w:p>
            <w:pPr>
              <w:ind w:left="153" w:right="318" w:firstLine="2"/>
              <w:spacing w:before="146" w:line="22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主方案＋输出细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</w:rPr>
              <w:t>化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566"/>
              <w:spacing w:before="10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80.72</w:t>
            </w:r>
          </w:p>
        </w:tc>
        <w:tc>
          <w:tcPr>
            <w:tcW w:w="1618" w:type="dxa"/>
            <w:vAlign w:val="top"/>
          </w:tcPr>
          <w:p>
            <w:pPr>
              <w:pStyle w:val="TableText"/>
              <w:ind w:left="865"/>
              <w:spacing w:before="10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69.12</w:t>
            </w:r>
          </w:p>
        </w:tc>
        <w:tc>
          <w:tcPr>
            <w:tcW w:w="1573" w:type="dxa"/>
            <w:vAlign w:val="top"/>
          </w:tcPr>
          <w:p>
            <w:pPr>
              <w:pStyle w:val="TableText"/>
              <w:ind w:left="549"/>
              <w:spacing w:before="100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480/560</w:t>
            </w:r>
          </w:p>
        </w:tc>
        <w:tc>
          <w:tcPr>
            <w:tcW w:w="1588" w:type="dxa"/>
            <w:vAlign w:val="top"/>
          </w:tcPr>
          <w:p>
            <w:pPr>
              <w:pStyle w:val="TableText"/>
              <w:ind w:left="829"/>
              <w:spacing w:before="10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85.71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623"/>
              <w:spacing w:before="10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83.33</w:t>
            </w:r>
          </w:p>
        </w:tc>
        <w:tc>
          <w:tcPr>
            <w:tcW w:w="1310" w:type="dxa"/>
            <w:vAlign w:val="top"/>
          </w:tcPr>
          <w:p>
            <w:pPr>
              <w:pStyle w:val="TableText"/>
              <w:ind w:left="556"/>
              <w:spacing w:before="10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77.79</w:t>
            </w:r>
          </w:p>
        </w:tc>
      </w:tr>
    </w:tbl>
    <w:p>
      <w:pPr>
        <w:pStyle w:val="BodyText"/>
        <w:ind w:left="480" w:right="557" w:firstLine="4"/>
        <w:spacing w:before="303" w:line="232" w:lineRule="auto"/>
        <w:rPr/>
      </w:pPr>
      <w:r>
        <w:rPr>
          <w:color w:val="B8BFC6"/>
        </w:rPr>
        <w:t>主方案相对原</w:t>
      </w:r>
      <w:r>
        <w:rPr>
          <w:rFonts w:ascii="Arial" w:hAnsi="Arial" w:eastAsia="Arial" w:cs="Arial"/>
          <w:color w:val="B8BFC6"/>
        </w:rPr>
        <w:t>YOLO</w:t>
      </w:r>
      <w:r>
        <w:rPr>
          <w:color w:val="B8BFC6"/>
        </w:rPr>
        <w:t>的</w:t>
      </w:r>
      <w:r>
        <w:rPr>
          <w:rFonts w:ascii="Arial" w:hAnsi="Arial" w:eastAsia="Arial" w:cs="Arial"/>
          <w:color w:val="B8BFC6"/>
        </w:rPr>
        <w:t>AP50</w:t>
      </w:r>
      <w:r>
        <w:rPr>
          <w:color w:val="B8BFC6"/>
        </w:rPr>
        <w:t>累计提高</w:t>
      </w:r>
      <w:r>
        <w:rPr>
          <w:rFonts w:ascii="Arial" w:hAnsi="Arial" w:eastAsia="Arial" w:cs="Arial"/>
          <w:color w:val="B8BFC6"/>
        </w:rPr>
        <w:t>2.68</w:t>
      </w:r>
      <w:r>
        <w:rPr>
          <w:color w:val="B8BFC6"/>
        </w:rPr>
        <w:t>个百分点，低于开发集的</w:t>
      </w:r>
      <w:r>
        <w:rPr>
          <w:rFonts w:ascii="Arial" w:hAnsi="Arial" w:eastAsia="Arial" w:cs="Arial"/>
          <w:color w:val="B8BFC6"/>
        </w:rPr>
        <w:t>3.62</w:t>
      </w:r>
      <w:r>
        <w:rPr>
          <w:color w:val="B8BFC6"/>
        </w:rPr>
        <w:t>个百分点。与使用</w:t>
      </w:r>
      <w:r>
        <w:rPr>
          <w:color w:val="B8BFC6"/>
          <w:spacing w:val="-1"/>
        </w:rPr>
        <w:t>相同额外</w:t>
      </w:r>
      <w:r>
        <w:rPr>
          <w:rFonts w:ascii="Arial" w:hAnsi="Arial" w:eastAsia="Arial" w:cs="Arial"/>
          <w:color w:val="B8BFC6"/>
          <w:spacing w:val="-1"/>
        </w:rPr>
        <w:t>NMS</w:t>
      </w:r>
      <w:r>
        <w:rPr>
          <w:color w:val="B8BFC6"/>
        </w:rPr>
        <w:t>的原</w:t>
      </w:r>
      <w:r>
        <w:rPr>
          <w:rFonts w:ascii="Arial" w:hAnsi="Arial" w:eastAsia="Arial" w:cs="Arial"/>
          <w:color w:val="B8BFC6"/>
        </w:rPr>
        <w:t>YOLO</w:t>
      </w:r>
      <w:r>
        <w:rPr>
          <w:color w:val="B8BFC6"/>
        </w:rPr>
        <w:t>相比，增量为</w:t>
      </w:r>
      <w:r>
        <w:rPr>
          <w:rFonts w:ascii="Arial" w:hAnsi="Arial" w:eastAsia="Arial" w:cs="Arial"/>
          <w:color w:val="B8BFC6"/>
        </w:rPr>
        <w:t>1.83</w:t>
      </w:r>
      <w:r>
        <w:rPr>
          <w:color w:val="B8BFC6"/>
        </w:rPr>
        <w:t>个百分点。相对</w:t>
      </w:r>
      <w:r>
        <w:rPr>
          <w:rFonts w:ascii="Arial" w:hAnsi="Arial" w:eastAsia="Arial" w:cs="Arial"/>
          <w:color w:val="B8BFC6"/>
        </w:rPr>
        <w:t>RR22</w:t>
      </w:r>
      <w:r>
        <w:rPr>
          <w:color w:val="B8BFC6"/>
        </w:rPr>
        <w:t>的排序增量为</w:t>
      </w:r>
      <w:r>
        <w:rPr>
          <w:rFonts w:ascii="Arial" w:hAnsi="Arial" w:eastAsia="Arial" w:cs="Arial"/>
          <w:color w:val="B8BFC6"/>
        </w:rPr>
        <w:t>0.97</w:t>
      </w:r>
      <w:r>
        <w:rPr>
          <w:color w:val="B8BFC6"/>
        </w:rPr>
        <w:t>个百分点，分级正确数不变</w:t>
      </w:r>
      <w:r>
        <w:rPr>
          <w:color w:val="B8BFC6"/>
          <w:spacing w:val="-1"/>
        </w:rPr>
        <w:t>；原</w:t>
      </w:r>
      <w:r>
        <w:rPr>
          <w:color w:val="B8BFC6"/>
        </w:rPr>
        <w:t xml:space="preserve">  </w:t>
      </w:r>
      <w:r>
        <w:rPr>
          <w:rFonts w:ascii="Arial" w:hAnsi="Arial" w:eastAsia="Arial" w:cs="Arial"/>
          <w:color w:val="B8BFC6"/>
          <w:spacing w:val="-1"/>
        </w:rPr>
        <w:t>YOLO</w:t>
      </w:r>
      <w:r>
        <w:rPr>
          <w:color w:val="B8BFC6"/>
          <w:spacing w:val="-1"/>
        </w:rPr>
        <w:t>至</w:t>
      </w:r>
      <w:r>
        <w:rPr>
          <w:rFonts w:ascii="Arial" w:hAnsi="Arial" w:eastAsia="Arial" w:cs="Arial"/>
          <w:color w:val="B8BFC6"/>
          <w:spacing w:val="-1"/>
        </w:rPr>
        <w:t>RR22</w:t>
      </w:r>
      <w:r>
        <w:rPr>
          <w:color w:val="B8BFC6"/>
          <w:spacing w:val="-1"/>
        </w:rPr>
        <w:t>的分层处理增加</w:t>
      </w:r>
      <w:r>
        <w:rPr>
          <w:rFonts w:ascii="Arial" w:hAnsi="Arial" w:eastAsia="Arial" w:cs="Arial"/>
          <w:color w:val="B8BFC6"/>
          <w:spacing w:val="-1"/>
        </w:rPr>
        <w:t>25</w:t>
      </w:r>
      <w:r>
        <w:rPr>
          <w:color w:val="B8BFC6"/>
          <w:spacing w:val="-1"/>
        </w:rPr>
        <w:t>个正确分级实例。整个流程与各模块的增量由不同对照归因。</w:t>
      </w:r>
    </w:p>
    <w:p>
      <w:pPr>
        <w:pStyle w:val="BodyText"/>
        <w:ind w:left="483"/>
        <w:spacing w:before="338" w:line="235" w:lineRule="auto"/>
        <w:rPr/>
      </w:pPr>
      <w:r>
        <w:rPr>
          <w:color w:val="B8BFC6"/>
          <w:spacing w:val="-1"/>
        </w:rPr>
        <w:t>表</w:t>
      </w:r>
      <w:r>
        <w:rPr>
          <w:rFonts w:ascii="Arial" w:hAnsi="Arial" w:eastAsia="Arial" w:cs="Arial"/>
          <w:color w:val="B8BFC6"/>
          <w:spacing w:val="-1"/>
        </w:rPr>
        <w:t>9 test</w:t>
      </w:r>
      <w:r>
        <w:rPr>
          <w:color w:val="B8BFC6"/>
          <w:spacing w:val="-1"/>
        </w:rPr>
        <w:t>的图像配对</w:t>
      </w:r>
      <w:r>
        <w:rPr>
          <w:rFonts w:ascii="Arial" w:hAnsi="Arial" w:eastAsia="Arial" w:cs="Arial"/>
          <w:color w:val="B8BFC6"/>
          <w:spacing w:val="-1"/>
        </w:rPr>
        <w:t>95%</w:t>
      </w:r>
      <w:r>
        <w:rPr>
          <w:color w:val="B8BFC6"/>
          <w:spacing w:val="-1"/>
        </w:rPr>
        <w:t>百分位差值区间，单位为百分点。逐项区间用于描述，未作多重检验校正。</w:t>
      </w:r>
    </w:p>
    <w:p>
      <w:pPr>
        <w:spacing w:before="85"/>
        <w:rPr/>
      </w:pPr>
      <w:r/>
    </w:p>
    <w:tbl>
      <w:tblPr>
        <w:tblStyle w:val="TableNormal"/>
        <w:tblW w:w="10949" w:type="dxa"/>
        <w:tblInd w:w="487" w:type="dxa"/>
        <w:tblLayout w:type="fixed"/>
        <w:tblBorders>
          <w:top w:val="single" w:color="474D54" w:sz="6" w:space="0"/>
          <w:left w:val="single" w:color="474D54" w:sz="6" w:space="0"/>
          <w:bottom w:val="single" w:color="474D54" w:sz="6" w:space="0"/>
          <w:right w:val="single" w:color="474D54" w:sz="6" w:space="0"/>
          <w:insideH w:val="single" w:color="474D54" w:sz="6" w:space="0"/>
          <w:insideV w:val="single" w:color="474D54" w:sz="6" w:space="0"/>
        </w:tblBorders>
      </w:tblPr>
      <w:tblGrid>
        <w:gridCol w:w="4247"/>
        <w:gridCol w:w="1782"/>
        <w:gridCol w:w="1423"/>
        <w:gridCol w:w="1737"/>
        <w:gridCol w:w="1760"/>
      </w:tblGrid>
      <w:tr>
        <w:trPr>
          <w:trHeight w:val="543" w:hRule="atLeast"/>
        </w:trPr>
        <w:tc>
          <w:tcPr>
            <w:tcW w:w="4247" w:type="dxa"/>
            <w:vAlign w:val="top"/>
          </w:tcPr>
          <w:p>
            <w:pPr>
              <w:ind w:left="163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3"/>
              </w:rPr>
              <w:t>固定对照</w:t>
            </w:r>
          </w:p>
        </w:tc>
        <w:tc>
          <w:tcPr>
            <w:tcW w:w="1782" w:type="dxa"/>
            <w:vAlign w:val="top"/>
          </w:tcPr>
          <w:p>
            <w:pPr>
              <w:ind w:left="151"/>
              <w:spacing w:before="142" w:line="18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1"/>
              </w:rPr>
              <w:t>指标</w:t>
            </w:r>
          </w:p>
        </w:tc>
        <w:tc>
          <w:tcPr>
            <w:tcW w:w="1423" w:type="dxa"/>
            <w:vAlign w:val="top"/>
          </w:tcPr>
          <w:p>
            <w:pPr>
              <w:ind w:left="541"/>
              <w:spacing w:before="142" w:line="18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2"/>
              </w:rPr>
              <w:t>点估计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630"/>
              <w:spacing w:before="151" w:line="17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b/>
                <w:bCs/>
                <w:color w:val="DEDEDE"/>
                <w:spacing w:val="-2"/>
              </w:rPr>
              <w:t>95%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2"/>
              </w:rPr>
              <w:t>下限</w:t>
            </w:r>
          </w:p>
        </w:tc>
        <w:tc>
          <w:tcPr>
            <w:tcW w:w="1760" w:type="dxa"/>
            <w:vAlign w:val="top"/>
          </w:tcPr>
          <w:p>
            <w:pPr>
              <w:pStyle w:val="TableText"/>
              <w:ind w:left="643"/>
              <w:spacing w:before="144" w:line="1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b/>
                <w:bCs/>
                <w:color w:val="DEDEDE"/>
                <w:spacing w:val="-2"/>
              </w:rPr>
              <w:t>95%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2"/>
              </w:rPr>
              <w:t>上限</w:t>
            </w:r>
          </w:p>
        </w:tc>
      </w:tr>
      <w:tr>
        <w:trPr>
          <w:trHeight w:val="536" w:hRule="atLeast"/>
        </w:trPr>
        <w:tc>
          <w:tcPr>
            <w:tcW w:w="4247" w:type="dxa"/>
            <w:vAlign w:val="top"/>
          </w:tcPr>
          <w:p>
            <w:pPr>
              <w:pStyle w:val="TableText"/>
              <w:ind w:left="169"/>
              <w:spacing w:before="139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B8BFC6"/>
                <w:spacing w:val="-2"/>
              </w:rPr>
              <w:t>同类</w:t>
            </w:r>
            <w:r>
              <w:rPr>
                <w:color w:val="B8BFC6"/>
                <w:spacing w:val="-2"/>
              </w:rPr>
              <w:t>NMS−</w:t>
            </w:r>
            <w:r>
              <w:rPr>
                <w:rFonts w:ascii="Microsoft YaHei" w:hAnsi="Microsoft YaHei" w:eastAsia="Microsoft YaHei" w:cs="Microsoft YaHei"/>
                <w:color w:val="B8BFC6"/>
                <w:spacing w:val="-2"/>
              </w:rPr>
              <w:t>原</w:t>
            </w:r>
            <w:r>
              <w:rPr>
                <w:color w:val="B8BFC6"/>
                <w:spacing w:val="-2"/>
              </w:rPr>
              <w:t>YOLO</w:t>
            </w:r>
          </w:p>
        </w:tc>
        <w:tc>
          <w:tcPr>
            <w:tcW w:w="1782" w:type="dxa"/>
            <w:vAlign w:val="top"/>
          </w:tcPr>
          <w:p>
            <w:pPr>
              <w:pStyle w:val="TableText"/>
              <w:ind w:left="148"/>
              <w:spacing w:before="167" w:line="196" w:lineRule="auto"/>
              <w:rPr/>
            </w:pPr>
            <w:r>
              <w:rPr>
                <w:color w:val="B8BFC6"/>
                <w:spacing w:val="-1"/>
              </w:rPr>
              <w:t>AP50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799"/>
              <w:spacing w:before="92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0.85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1126"/>
              <w:spacing w:before="92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0.61</w:t>
            </w:r>
          </w:p>
        </w:tc>
        <w:tc>
          <w:tcPr>
            <w:tcW w:w="1760" w:type="dxa"/>
            <w:vAlign w:val="top"/>
          </w:tcPr>
          <w:p>
            <w:pPr>
              <w:pStyle w:val="TableText"/>
              <w:ind w:left="1155"/>
              <w:spacing w:before="92" w:line="327" w:lineRule="exact"/>
              <w:rPr/>
            </w:pPr>
            <w:r>
              <w:rPr>
                <w:color w:val="B8BFC6"/>
                <w:spacing w:val="-5"/>
                <w:position w:val="1"/>
              </w:rPr>
              <w:t>1.10</w:t>
            </w:r>
          </w:p>
        </w:tc>
      </w:tr>
      <w:tr>
        <w:trPr>
          <w:trHeight w:val="536" w:hRule="atLeast"/>
        </w:trPr>
        <w:tc>
          <w:tcPr>
            <w:tcW w:w="4247" w:type="dxa"/>
            <w:vAlign w:val="top"/>
          </w:tcPr>
          <w:p>
            <w:pPr>
              <w:pStyle w:val="TableText"/>
              <w:ind w:left="168"/>
              <w:spacing w:before="143" w:line="182" w:lineRule="auto"/>
              <w:rPr/>
            </w:pPr>
            <w:r>
              <w:rPr>
                <w:color w:val="B8BFC6"/>
                <w:spacing w:val="-2"/>
              </w:rPr>
              <w:t>RR22−</w:t>
            </w:r>
            <w:r>
              <w:rPr>
                <w:rFonts w:ascii="Microsoft YaHei" w:hAnsi="Microsoft YaHei" w:eastAsia="Microsoft YaHei" w:cs="Microsoft YaHei"/>
                <w:color w:val="B8BFC6"/>
                <w:spacing w:val="-2"/>
              </w:rPr>
              <w:t>同类</w:t>
            </w:r>
            <w:r>
              <w:rPr>
                <w:color w:val="B8BFC6"/>
                <w:spacing w:val="-2"/>
              </w:rPr>
              <w:t>NMS</w:t>
            </w:r>
            <w:r>
              <w:rPr>
                <w:rFonts w:ascii="Microsoft YaHei" w:hAnsi="Microsoft YaHei" w:eastAsia="Microsoft YaHei" w:cs="Microsoft YaHei"/>
                <w:color w:val="B8BFC6"/>
                <w:spacing w:val="-2"/>
              </w:rPr>
              <w:t>原</w:t>
            </w:r>
            <w:r>
              <w:rPr>
                <w:color w:val="B8BFC6"/>
                <w:spacing w:val="-2"/>
              </w:rPr>
              <w:t>YOLO</w:t>
            </w:r>
          </w:p>
        </w:tc>
        <w:tc>
          <w:tcPr>
            <w:tcW w:w="1782" w:type="dxa"/>
            <w:vAlign w:val="top"/>
          </w:tcPr>
          <w:p>
            <w:pPr>
              <w:pStyle w:val="TableText"/>
              <w:ind w:left="148"/>
              <w:spacing w:before="171" w:line="196" w:lineRule="auto"/>
              <w:rPr/>
            </w:pPr>
            <w:r>
              <w:rPr>
                <w:color w:val="B8BFC6"/>
                <w:spacing w:val="-1"/>
              </w:rPr>
              <w:t>AP50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799"/>
              <w:spacing w:before="96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0.86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1043"/>
              <w:spacing w:before="96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-0.50</w:t>
            </w:r>
          </w:p>
        </w:tc>
        <w:tc>
          <w:tcPr>
            <w:tcW w:w="1760" w:type="dxa"/>
            <w:vAlign w:val="top"/>
          </w:tcPr>
          <w:p>
            <w:pPr>
              <w:pStyle w:val="TableText"/>
              <w:ind w:left="1135"/>
              <w:spacing w:before="96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2.34</w:t>
            </w:r>
          </w:p>
        </w:tc>
      </w:tr>
      <w:tr>
        <w:trPr>
          <w:trHeight w:val="544" w:hRule="atLeast"/>
        </w:trPr>
        <w:tc>
          <w:tcPr>
            <w:tcW w:w="4247" w:type="dxa"/>
            <w:vAlign w:val="top"/>
          </w:tcPr>
          <w:p>
            <w:pPr>
              <w:pStyle w:val="TableText"/>
              <w:ind w:left="155"/>
              <w:spacing w:before="146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B8BFC6"/>
                <w:spacing w:val="-3"/>
              </w:rPr>
              <w:t>主方案</w:t>
            </w:r>
            <w:r>
              <w:rPr>
                <w:color w:val="B8BFC6"/>
                <w:spacing w:val="-3"/>
              </w:rPr>
              <w:t>−RR22</w:t>
            </w:r>
            <w:r>
              <w:rPr>
                <w:rFonts w:ascii="Microsoft YaHei" w:hAnsi="Microsoft YaHei" w:eastAsia="Microsoft YaHei" w:cs="Microsoft YaHei"/>
                <w:color w:val="B8BFC6"/>
                <w:spacing w:val="-3"/>
              </w:rPr>
              <w:t>（主终点）</w:t>
            </w:r>
          </w:p>
        </w:tc>
        <w:tc>
          <w:tcPr>
            <w:tcW w:w="1782" w:type="dxa"/>
            <w:vAlign w:val="top"/>
          </w:tcPr>
          <w:p>
            <w:pPr>
              <w:pStyle w:val="TableText"/>
              <w:ind w:left="148"/>
              <w:spacing w:before="175" w:line="196" w:lineRule="auto"/>
              <w:rPr/>
            </w:pPr>
            <w:r>
              <w:rPr>
                <w:color w:val="B8BFC6"/>
                <w:spacing w:val="-1"/>
              </w:rPr>
              <w:t>AP50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799"/>
              <w:spacing w:before="10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0.97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1126"/>
              <w:spacing w:before="10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0.27</w:t>
            </w:r>
          </w:p>
        </w:tc>
        <w:tc>
          <w:tcPr>
            <w:tcW w:w="1760" w:type="dxa"/>
            <w:vAlign w:val="top"/>
          </w:tcPr>
          <w:p>
            <w:pPr>
              <w:pStyle w:val="TableText"/>
              <w:ind w:left="1155"/>
              <w:spacing w:before="100" w:line="327" w:lineRule="exact"/>
              <w:rPr/>
            </w:pPr>
            <w:r>
              <w:rPr>
                <w:color w:val="B8BFC6"/>
                <w:spacing w:val="-5"/>
                <w:position w:val="1"/>
              </w:rPr>
              <w:t>1.70</w:t>
            </w:r>
          </w:p>
        </w:tc>
      </w:tr>
    </w:tbl>
    <w:p>
      <w:pPr>
        <w:spacing w:line="115" w:lineRule="auto"/>
        <w:rPr>
          <w:rFonts w:ascii="Arial"/>
          <w:sz w:val="2"/>
        </w:rPr>
      </w:pPr>
      <w:r/>
    </w:p>
    <w:p>
      <w:pPr>
        <w:spacing w:line="115" w:lineRule="auto"/>
        <w:sectPr>
          <w:headerReference w:type="default" r:id="rId57"/>
          <w:pgSz w:w="11919" w:h="16858"/>
          <w:pgMar w:top="400" w:right="0" w:bottom="921" w:left="0" w:header="0" w:footer="6" w:gutter="0"/>
        </w:sectPr>
        <w:rPr>
          <w:rFonts w:ascii="Arial" w:hAnsi="Arial" w:eastAsia="Arial" w:cs="Arial"/>
          <w:sz w:val="2"/>
          <w:szCs w:val="2"/>
        </w:rPr>
      </w:pPr>
    </w:p>
    <w:p>
      <w:pPr>
        <w:spacing w:before="9"/>
        <w:rPr/>
      </w:pPr>
      <w:r/>
    </w:p>
    <w:p>
      <w:pPr>
        <w:spacing w:before="8"/>
        <w:rPr/>
      </w:pPr>
      <w:r/>
    </w:p>
    <w:tbl>
      <w:tblPr>
        <w:tblStyle w:val="TableNormal"/>
        <w:tblW w:w="10949" w:type="dxa"/>
        <w:tblInd w:w="487" w:type="dxa"/>
        <w:tblLayout w:type="fixed"/>
        <w:tblBorders>
          <w:top w:val="single" w:color="474D54" w:sz="6" w:space="0"/>
          <w:left w:val="single" w:color="474D54" w:sz="6" w:space="0"/>
          <w:bottom w:val="single" w:color="474D54" w:sz="6" w:space="0"/>
          <w:right w:val="single" w:color="474D54" w:sz="6" w:space="0"/>
          <w:insideH w:val="single" w:color="474D54" w:sz="6" w:space="0"/>
          <w:insideV w:val="single" w:color="474D54" w:sz="6" w:space="0"/>
        </w:tblBorders>
      </w:tblPr>
      <w:tblGrid>
        <w:gridCol w:w="4247"/>
        <w:gridCol w:w="1782"/>
        <w:gridCol w:w="1423"/>
        <w:gridCol w:w="1737"/>
        <w:gridCol w:w="1760"/>
      </w:tblGrid>
      <w:tr>
        <w:trPr>
          <w:trHeight w:val="543" w:hRule="atLeast"/>
        </w:trPr>
        <w:tc>
          <w:tcPr>
            <w:tcW w:w="4247" w:type="dxa"/>
            <w:vAlign w:val="top"/>
          </w:tcPr>
          <w:p>
            <w:pPr>
              <w:ind w:left="163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3"/>
              </w:rPr>
              <w:t>固定对照</w:t>
            </w:r>
          </w:p>
        </w:tc>
        <w:tc>
          <w:tcPr>
            <w:tcW w:w="1782" w:type="dxa"/>
            <w:vAlign w:val="top"/>
          </w:tcPr>
          <w:p>
            <w:pPr>
              <w:ind w:left="151"/>
              <w:spacing w:before="142" w:line="18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1"/>
              </w:rPr>
              <w:t>指标</w:t>
            </w:r>
          </w:p>
        </w:tc>
        <w:tc>
          <w:tcPr>
            <w:tcW w:w="1423" w:type="dxa"/>
            <w:vAlign w:val="top"/>
          </w:tcPr>
          <w:p>
            <w:pPr>
              <w:ind w:left="541"/>
              <w:spacing w:before="142" w:line="18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2"/>
              </w:rPr>
              <w:t>点估计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630"/>
              <w:spacing w:before="151" w:line="17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b/>
                <w:bCs/>
                <w:color w:val="DEDEDE"/>
                <w:spacing w:val="-2"/>
              </w:rPr>
              <w:t>95%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2"/>
              </w:rPr>
              <w:t>下限</w:t>
            </w:r>
          </w:p>
        </w:tc>
        <w:tc>
          <w:tcPr>
            <w:tcW w:w="1760" w:type="dxa"/>
            <w:vAlign w:val="top"/>
          </w:tcPr>
          <w:p>
            <w:pPr>
              <w:pStyle w:val="TableText"/>
              <w:ind w:left="643"/>
              <w:spacing w:before="144" w:line="1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b/>
                <w:bCs/>
                <w:color w:val="DEDEDE"/>
                <w:spacing w:val="-2"/>
              </w:rPr>
              <w:t>95%</w:t>
            </w: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2"/>
              </w:rPr>
              <w:t>上限</w:t>
            </w:r>
          </w:p>
        </w:tc>
      </w:tr>
      <w:tr>
        <w:trPr>
          <w:trHeight w:val="536" w:hRule="atLeast"/>
        </w:trPr>
        <w:tc>
          <w:tcPr>
            <w:tcW w:w="4247" w:type="dxa"/>
            <w:vAlign w:val="top"/>
          </w:tcPr>
          <w:p>
            <w:pPr>
              <w:pStyle w:val="TableText"/>
              <w:ind w:left="155"/>
              <w:spacing w:before="138" w:line="183" w:lineRule="auto"/>
              <w:rPr/>
            </w:pP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主方案</w:t>
            </w:r>
            <w:r>
              <w:rPr>
                <w:color w:val="B8BFC6"/>
                <w:spacing w:val="-1"/>
              </w:rPr>
              <w:t>−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原</w:t>
            </w:r>
            <w:r>
              <w:rPr>
                <w:color w:val="B8BFC6"/>
                <w:spacing w:val="-1"/>
              </w:rPr>
              <w:t>YOLO</w:t>
            </w:r>
          </w:p>
        </w:tc>
        <w:tc>
          <w:tcPr>
            <w:tcW w:w="1782" w:type="dxa"/>
            <w:vAlign w:val="top"/>
          </w:tcPr>
          <w:p>
            <w:pPr>
              <w:pStyle w:val="TableText"/>
              <w:ind w:left="148"/>
              <w:spacing w:before="167" w:line="196" w:lineRule="auto"/>
              <w:rPr/>
            </w:pPr>
            <w:r>
              <w:rPr>
                <w:color w:val="B8BFC6"/>
                <w:spacing w:val="-1"/>
              </w:rPr>
              <w:t>AP50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796"/>
              <w:spacing w:before="92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2.68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1142"/>
              <w:spacing w:before="92" w:line="327" w:lineRule="exact"/>
              <w:rPr/>
            </w:pPr>
            <w:r>
              <w:rPr>
                <w:color w:val="B8BFC6"/>
                <w:spacing w:val="-5"/>
                <w:position w:val="1"/>
              </w:rPr>
              <w:t>1.43</w:t>
            </w:r>
          </w:p>
        </w:tc>
        <w:tc>
          <w:tcPr>
            <w:tcW w:w="1760" w:type="dxa"/>
            <w:vAlign w:val="top"/>
          </w:tcPr>
          <w:p>
            <w:pPr>
              <w:pStyle w:val="TableText"/>
              <w:ind w:left="1132"/>
              <w:spacing w:before="92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4.08</w:t>
            </w:r>
          </w:p>
        </w:tc>
      </w:tr>
      <w:tr>
        <w:trPr>
          <w:trHeight w:val="536" w:hRule="atLeast"/>
        </w:trPr>
        <w:tc>
          <w:tcPr>
            <w:tcW w:w="4247" w:type="dxa"/>
            <w:vAlign w:val="top"/>
          </w:tcPr>
          <w:p>
            <w:pPr>
              <w:pStyle w:val="TableText"/>
              <w:ind w:left="155"/>
              <w:spacing w:before="142" w:line="183" w:lineRule="auto"/>
              <w:rPr/>
            </w:pP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主方案</w:t>
            </w:r>
            <w:r>
              <w:rPr>
                <w:color w:val="B8BFC6"/>
                <w:spacing w:val="-1"/>
              </w:rPr>
              <w:t>−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同类</w:t>
            </w:r>
            <w:r>
              <w:rPr>
                <w:color w:val="B8BFC6"/>
                <w:spacing w:val="-1"/>
              </w:rPr>
              <w:t>NMS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原</w:t>
            </w:r>
            <w:r>
              <w:rPr>
                <w:color w:val="B8BFC6"/>
                <w:spacing w:val="-1"/>
              </w:rPr>
              <w:t>YOLO</w:t>
            </w:r>
          </w:p>
        </w:tc>
        <w:tc>
          <w:tcPr>
            <w:tcW w:w="1782" w:type="dxa"/>
            <w:vAlign w:val="top"/>
          </w:tcPr>
          <w:p>
            <w:pPr>
              <w:pStyle w:val="TableText"/>
              <w:ind w:left="148"/>
              <w:spacing w:before="171" w:line="196" w:lineRule="auto"/>
              <w:rPr/>
            </w:pPr>
            <w:r>
              <w:rPr>
                <w:color w:val="B8BFC6"/>
                <w:spacing w:val="-1"/>
              </w:rPr>
              <w:t>AP50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816"/>
              <w:spacing w:before="96" w:line="327" w:lineRule="exact"/>
              <w:rPr/>
            </w:pPr>
            <w:r>
              <w:rPr>
                <w:color w:val="B8BFC6"/>
                <w:spacing w:val="-5"/>
                <w:position w:val="1"/>
              </w:rPr>
              <w:t>1.83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1126"/>
              <w:spacing w:before="96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0.64</w:t>
            </w:r>
          </w:p>
        </w:tc>
        <w:tc>
          <w:tcPr>
            <w:tcW w:w="1760" w:type="dxa"/>
            <w:vAlign w:val="top"/>
          </w:tcPr>
          <w:p>
            <w:pPr>
              <w:pStyle w:val="TableText"/>
              <w:ind w:left="1138"/>
              <w:spacing w:before="96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3.16</w:t>
            </w:r>
          </w:p>
        </w:tc>
      </w:tr>
      <w:tr>
        <w:trPr>
          <w:trHeight w:val="544" w:hRule="atLeast"/>
        </w:trPr>
        <w:tc>
          <w:tcPr>
            <w:tcW w:w="4247" w:type="dxa"/>
            <w:vAlign w:val="top"/>
          </w:tcPr>
          <w:p>
            <w:pPr>
              <w:pStyle w:val="TableText"/>
              <w:ind w:left="153"/>
              <w:spacing w:before="146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输出细化</w:t>
            </w:r>
            <w:r>
              <w:rPr>
                <w:color w:val="B8BFC6"/>
                <w:spacing w:val="-1"/>
              </w:rPr>
              <w:t>−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主方案</w:t>
            </w:r>
          </w:p>
        </w:tc>
        <w:tc>
          <w:tcPr>
            <w:tcW w:w="1782" w:type="dxa"/>
            <w:vAlign w:val="top"/>
          </w:tcPr>
          <w:p>
            <w:pPr>
              <w:pStyle w:val="TableText"/>
              <w:ind w:left="148"/>
              <w:spacing w:before="100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AP50–95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816"/>
              <w:spacing w:before="100" w:line="327" w:lineRule="exact"/>
              <w:rPr/>
            </w:pPr>
            <w:r>
              <w:rPr>
                <w:color w:val="B8BFC6"/>
                <w:spacing w:val="-5"/>
                <w:position w:val="1"/>
              </w:rPr>
              <w:t>1.09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1126"/>
              <w:spacing w:before="10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0.63</w:t>
            </w:r>
          </w:p>
        </w:tc>
        <w:tc>
          <w:tcPr>
            <w:tcW w:w="1760" w:type="dxa"/>
            <w:vAlign w:val="top"/>
          </w:tcPr>
          <w:p>
            <w:pPr>
              <w:pStyle w:val="TableText"/>
              <w:ind w:left="1155"/>
              <w:spacing w:before="100" w:line="327" w:lineRule="exact"/>
              <w:rPr/>
            </w:pPr>
            <w:r>
              <w:rPr>
                <w:color w:val="B8BFC6"/>
                <w:spacing w:val="-5"/>
                <w:position w:val="1"/>
              </w:rPr>
              <w:t>1.67</w:t>
            </w:r>
          </w:p>
        </w:tc>
      </w:tr>
    </w:tbl>
    <w:p>
      <w:pPr>
        <w:pStyle w:val="BodyText"/>
        <w:ind w:left="480" w:right="504" w:firstLine="4"/>
        <w:spacing w:before="303"/>
        <w:jc w:val="both"/>
        <w:rPr/>
      </w:pPr>
      <w:r>
        <w:rPr>
          <w:color w:val="B8BFC6"/>
        </w:rPr>
        <w:t>主终点区间为</w:t>
      </w:r>
      <w:r>
        <w:rPr>
          <w:rFonts w:ascii="Arial" w:hAnsi="Arial" w:eastAsia="Arial" w:cs="Arial"/>
          <w:color w:val="B8BFC6"/>
        </w:rPr>
        <w:t>0.27</w:t>
      </w:r>
      <w:r>
        <w:rPr>
          <w:color w:val="B8BFC6"/>
        </w:rPr>
        <w:t>至</w:t>
      </w:r>
      <w:r>
        <w:rPr>
          <w:rFonts w:ascii="Arial" w:hAnsi="Arial" w:eastAsia="Arial" w:cs="Arial"/>
          <w:color w:val="B8BFC6"/>
        </w:rPr>
        <w:t>1.70</w:t>
      </w:r>
      <w:r>
        <w:rPr>
          <w:color w:val="B8BFC6"/>
        </w:rPr>
        <w:t>个百分点，累计对原</w:t>
      </w:r>
      <w:r>
        <w:rPr>
          <w:rFonts w:ascii="Arial" w:hAnsi="Arial" w:eastAsia="Arial" w:cs="Arial"/>
          <w:color w:val="B8BFC6"/>
        </w:rPr>
        <w:t>YOLO</w:t>
      </w:r>
      <w:r>
        <w:rPr>
          <w:color w:val="B8BFC6"/>
        </w:rPr>
        <w:t>的区间为</w:t>
      </w:r>
      <w:r>
        <w:rPr>
          <w:rFonts w:ascii="Arial" w:hAnsi="Arial" w:eastAsia="Arial" w:cs="Arial"/>
          <w:color w:val="B8BFC6"/>
        </w:rPr>
        <w:t>1.43</w:t>
      </w:r>
      <w:r>
        <w:rPr>
          <w:color w:val="B8BFC6"/>
        </w:rPr>
        <w:t>至</w:t>
      </w:r>
      <w:r>
        <w:rPr>
          <w:rFonts w:ascii="Arial" w:hAnsi="Arial" w:eastAsia="Arial" w:cs="Arial"/>
          <w:color w:val="B8BFC6"/>
        </w:rPr>
        <w:t>4.08</w:t>
      </w:r>
      <w:r>
        <w:rPr>
          <w:color w:val="B8BFC6"/>
        </w:rPr>
        <w:t>个百分点。</w:t>
      </w:r>
      <w:r>
        <w:rPr>
          <w:rFonts w:ascii="Arial" w:hAnsi="Arial" w:eastAsia="Arial" w:cs="Arial"/>
          <w:color w:val="B8BFC6"/>
        </w:rPr>
        <w:t>RR22</w:t>
      </w:r>
      <w:r>
        <w:rPr>
          <w:color w:val="B8BFC6"/>
          <w:spacing w:val="-1"/>
        </w:rPr>
        <w:t>相对同</w:t>
      </w:r>
      <w:r>
        <w:rPr>
          <w:rFonts w:ascii="Arial" w:hAnsi="Arial" w:eastAsia="Arial" w:cs="Arial"/>
          <w:color w:val="B8BFC6"/>
          <w:spacing w:val="-1"/>
        </w:rPr>
        <w:t>NMS</w:t>
      </w:r>
      <w:r>
        <w:rPr>
          <w:color w:val="B8BFC6"/>
          <w:spacing w:val="-1"/>
        </w:rPr>
        <w:t>原</w:t>
      </w:r>
      <w:r>
        <w:rPr>
          <w:rFonts w:ascii="Arial" w:hAnsi="Arial" w:eastAsia="Arial" w:cs="Arial"/>
          <w:color w:val="B8BFC6"/>
        </w:rPr>
        <w:t>YOLO</w:t>
      </w:r>
      <w:r>
        <w:rPr>
          <w:color w:val="B8BFC6"/>
        </w:rPr>
        <w:t>的</w:t>
      </w:r>
      <w:r>
        <w:rPr>
          <w:rFonts w:ascii="Arial" w:hAnsi="Arial" w:eastAsia="Arial" w:cs="Arial"/>
          <w:color w:val="B8BFC6"/>
        </w:rPr>
        <w:t>AP50</w:t>
      </w:r>
      <w:r>
        <w:rPr>
          <w:color w:val="B8BFC6"/>
        </w:rPr>
        <w:t>区间跨零，故不将所有逐模块</w:t>
      </w:r>
      <w:r>
        <w:rPr>
          <w:rFonts w:ascii="Arial" w:hAnsi="Arial" w:eastAsia="Arial" w:cs="Arial"/>
          <w:color w:val="B8BFC6"/>
        </w:rPr>
        <w:t>AP</w:t>
      </w:r>
      <w:r>
        <w:rPr>
          <w:color w:val="B8BFC6"/>
        </w:rPr>
        <w:t>差值都解释为已获独立统计确认。四个来源代理组的</w:t>
      </w:r>
      <w:r>
        <w:rPr>
          <w:color w:val="B8BFC6"/>
          <w:spacing w:val="-1"/>
        </w:rPr>
        <w:t>分级</w:t>
      </w:r>
      <w:r>
        <w:rPr>
          <w:color w:val="B8BFC6"/>
          <w:spacing w:val="-2"/>
        </w:rPr>
        <w:t>正确数均高于原</w:t>
      </w:r>
      <w:r>
        <w:rPr>
          <w:rFonts w:ascii="Arial" w:hAnsi="Arial" w:eastAsia="Arial" w:cs="Arial"/>
          <w:color w:val="B8BFC6"/>
          <w:spacing w:val="-2"/>
        </w:rPr>
        <w:t>YOLO</w:t>
      </w:r>
      <w:r>
        <w:rPr>
          <w:color w:val="B8BFC6"/>
          <w:spacing w:val="-2"/>
        </w:rPr>
        <w:t>，但这些组不构成已核验的独立采收总体。</w:t>
      </w:r>
    </w:p>
    <w:p>
      <w:pPr>
        <w:pStyle w:val="BodyText"/>
        <w:ind w:left="481" w:right="610" w:firstLine="2"/>
        <w:spacing w:before="298" w:line="230" w:lineRule="auto"/>
        <w:jc w:val="both"/>
        <w:rPr/>
      </w:pPr>
      <w:r>
        <w:rPr>
          <w:color w:val="B8BFC6"/>
        </w:rPr>
        <w:t>输出细化使</w:t>
      </w:r>
      <w:r>
        <w:rPr>
          <w:rFonts w:ascii="Arial" w:hAnsi="Arial" w:eastAsia="Arial" w:cs="Arial"/>
          <w:color w:val="B8BFC6"/>
        </w:rPr>
        <w:t>AP50</w:t>
      </w:r>
      <w:r>
        <w:rPr>
          <w:color w:val="B8BFC6"/>
        </w:rPr>
        <w:t>保持</w:t>
      </w:r>
      <w:r>
        <w:rPr>
          <w:rFonts w:ascii="Arial" w:hAnsi="Arial" w:eastAsia="Arial" w:cs="Arial"/>
          <w:color w:val="B8BFC6"/>
        </w:rPr>
        <w:t>80.72%</w:t>
      </w:r>
      <w:r>
        <w:rPr>
          <w:color w:val="B8BFC6"/>
        </w:rPr>
        <w:t>，</w:t>
      </w:r>
      <w:r>
        <w:rPr>
          <w:rFonts w:ascii="Arial" w:hAnsi="Arial" w:eastAsia="Arial" w:cs="Arial"/>
          <w:color w:val="B8BFC6"/>
        </w:rPr>
        <w:t>AP50–95</w:t>
      </w:r>
      <w:r>
        <w:rPr>
          <w:color w:val="B8BFC6"/>
        </w:rPr>
        <w:t>由</w:t>
      </w:r>
      <w:r>
        <w:rPr>
          <w:rFonts w:ascii="Arial" w:hAnsi="Arial" w:eastAsia="Arial" w:cs="Arial"/>
          <w:color w:val="B8BFC6"/>
        </w:rPr>
        <w:t>68.03%</w:t>
      </w:r>
      <w:r>
        <w:rPr>
          <w:color w:val="B8BFC6"/>
        </w:rPr>
        <w:t>提高至</w:t>
      </w:r>
      <w:r>
        <w:rPr>
          <w:rFonts w:ascii="Arial" w:hAnsi="Arial" w:eastAsia="Arial" w:cs="Arial"/>
          <w:color w:val="B8BFC6"/>
        </w:rPr>
        <w:t>69.12%</w:t>
      </w:r>
      <w:r>
        <w:rPr>
          <w:color w:val="B8BFC6"/>
        </w:rPr>
        <w:t>，差值</w:t>
      </w:r>
      <w:r>
        <w:rPr>
          <w:rFonts w:ascii="Arial" w:hAnsi="Arial" w:eastAsia="Arial" w:cs="Arial"/>
          <w:color w:val="B8BFC6"/>
        </w:rPr>
        <w:t>1.09</w:t>
      </w:r>
      <w:r>
        <w:rPr>
          <w:color w:val="B8BFC6"/>
        </w:rPr>
        <w:t>个百分点，区间为</w:t>
      </w:r>
      <w:r>
        <w:rPr>
          <w:rFonts w:ascii="Arial" w:hAnsi="Arial" w:eastAsia="Arial" w:cs="Arial"/>
          <w:color w:val="B8BFC6"/>
          <w:spacing w:val="-1"/>
        </w:rPr>
        <w:t>0.63</w:t>
      </w:r>
      <w:r>
        <w:rPr>
          <w:color w:val="B8BFC6"/>
          <w:spacing w:val="-1"/>
        </w:rPr>
        <w:t>至</w:t>
      </w:r>
      <w:r>
        <w:rPr>
          <w:rFonts w:ascii="Arial" w:hAnsi="Arial" w:eastAsia="Arial" w:cs="Arial"/>
          <w:color w:val="B8BFC6"/>
        </w:rPr>
        <w:t>1.67</w:t>
      </w:r>
      <w:r>
        <w:rPr>
          <w:color w:val="B8BFC6"/>
        </w:rPr>
        <w:t>个百分点。其候选等级、排序与保留行不</w:t>
      </w:r>
      <w:r>
        <w:rPr>
          <w:color w:val="B8BFC6"/>
          <w:spacing w:val="-1"/>
        </w:rPr>
        <w:t>变，但在实例</w:t>
      </w:r>
      <w:r>
        <w:rPr>
          <w:rFonts w:ascii="Arial" w:hAnsi="Arial" w:eastAsia="Arial" w:cs="Arial"/>
          <w:color w:val="B8BFC6"/>
          <w:spacing w:val="-1"/>
        </w:rPr>
        <w:t>wb_000911</w:t>
      </w:r>
      <w:r>
        <w:rPr>
          <w:rFonts w:ascii="Arial" w:hAnsi="Arial" w:eastAsia="Arial" w:cs="Arial"/>
          <w:u w:val="single" w:color="auto"/>
          <w:color w:val="B8BFC6"/>
          <w:spacing w:val="-1"/>
        </w:rPr>
        <w:t xml:space="preserve">    </w:t>
      </w:r>
      <w:r>
        <w:rPr>
          <w:rFonts w:ascii="Arial" w:hAnsi="Arial" w:eastAsia="Arial" w:cs="Arial"/>
          <w:color w:val="B8BFC6"/>
          <w:spacing w:val="-53"/>
        </w:rPr>
        <w:t xml:space="preserve"> </w:t>
      </w:r>
      <w:r>
        <w:rPr>
          <w:rFonts w:ascii="Arial" w:hAnsi="Arial" w:eastAsia="Arial" w:cs="Arial"/>
          <w:color w:val="B8BFC6"/>
          <w:spacing w:val="-1"/>
        </w:rPr>
        <w:t>i001</w:t>
      </w:r>
      <w:r>
        <w:rPr>
          <w:color w:val="B8BFC6"/>
          <w:spacing w:val="-1"/>
        </w:rPr>
        <w:t>上，类别无关匹配从三级</w:t>
      </w:r>
      <w:r>
        <w:rPr>
          <w:color w:val="B8BFC6"/>
        </w:rPr>
        <w:t>候选行</w:t>
      </w:r>
      <w:r>
        <w:rPr>
          <w:rFonts w:ascii="Arial" w:hAnsi="Arial" w:eastAsia="Arial" w:cs="Arial"/>
          <w:color w:val="B8BFC6"/>
        </w:rPr>
        <w:t>1</w:t>
      </w:r>
      <w:r>
        <w:rPr>
          <w:color w:val="B8BFC6"/>
        </w:rPr>
        <w:t>切换为不合格候选行</w:t>
      </w:r>
      <w:r>
        <w:rPr>
          <w:rFonts w:ascii="Arial" w:hAnsi="Arial" w:eastAsia="Arial" w:cs="Arial"/>
          <w:color w:val="B8BFC6"/>
        </w:rPr>
        <w:t>2</w:t>
      </w:r>
      <w:r>
        <w:rPr>
          <w:color w:val="B8BFC6"/>
        </w:rPr>
        <w:t>；细化后的后者</w:t>
      </w:r>
      <w:r>
        <w:rPr>
          <w:rFonts w:ascii="Arial" w:hAnsi="Arial" w:eastAsia="Arial" w:cs="Arial"/>
          <w:color w:val="B8BFC6"/>
        </w:rPr>
        <w:t>IoU</w:t>
      </w:r>
      <w:r>
        <w:rPr>
          <w:color w:val="B8BFC6"/>
        </w:rPr>
        <w:t>更高，导致正确分级数由</w:t>
      </w:r>
      <w:r>
        <w:rPr>
          <w:rFonts w:ascii="Arial" w:hAnsi="Arial" w:eastAsia="Arial" w:cs="Arial"/>
          <w:color w:val="B8BFC6"/>
        </w:rPr>
        <w:t>481</w:t>
      </w:r>
      <w:r>
        <w:rPr>
          <w:color w:val="B8BFC6"/>
        </w:rPr>
        <w:t>降至</w:t>
      </w:r>
      <w:r>
        <w:rPr>
          <w:rFonts w:ascii="Arial" w:hAnsi="Arial" w:eastAsia="Arial" w:cs="Arial"/>
          <w:color w:val="B8BFC6"/>
        </w:rPr>
        <w:t>480</w:t>
      </w:r>
      <w:r>
        <w:rPr>
          <w:color w:val="B8BFC6"/>
        </w:rPr>
        <w:t>、匹配误拒</w:t>
      </w:r>
      <w:r>
        <w:rPr>
          <w:color w:val="B8BFC6"/>
          <w:spacing w:val="-1"/>
        </w:rPr>
        <w:t>由</w:t>
      </w:r>
      <w:r>
        <w:rPr>
          <w:rFonts w:ascii="Arial" w:hAnsi="Arial" w:eastAsia="Arial" w:cs="Arial"/>
          <w:color w:val="B8BFC6"/>
          <w:spacing w:val="-1"/>
        </w:rPr>
        <w:t>37</w:t>
      </w:r>
      <w:r>
        <w:rPr>
          <w:color w:val="B8BFC6"/>
          <w:spacing w:val="-1"/>
        </w:rPr>
        <w:t>增至</w:t>
      </w:r>
      <w:r>
        <w:rPr>
          <w:rFonts w:ascii="Arial" w:hAnsi="Arial" w:eastAsia="Arial" w:cs="Arial"/>
          <w:color w:val="B8BFC6"/>
          <w:spacing w:val="-1"/>
        </w:rPr>
        <w:t>38</w:t>
      </w:r>
      <w:r>
        <w:rPr>
          <w:color w:val="B8BFC6"/>
          <w:spacing w:val="-1"/>
        </w:rPr>
        <w:t>。该负结果说明双掩膜设计保持分级输入，却不保证重新匹配后的评</w:t>
      </w:r>
      <w:r>
        <w:rPr>
          <w:color w:val="B8BFC6"/>
          <w:spacing w:val="-2"/>
        </w:rPr>
        <w:t>价正确数恒定。</w:t>
      </w:r>
    </w:p>
    <w:p>
      <w:pPr>
        <w:pStyle w:val="BodyText"/>
        <w:ind w:left="482" w:right="612"/>
        <w:spacing w:before="335" w:line="228" w:lineRule="auto"/>
        <w:jc w:val="both"/>
        <w:rPr/>
      </w:pPr>
      <w:r>
        <w:rPr>
          <w:color w:val="B8BFC6"/>
        </w:rPr>
        <w:t>全部</w:t>
      </w:r>
      <w:r>
        <w:rPr>
          <w:rFonts w:ascii="Arial" w:hAnsi="Arial" w:eastAsia="Arial" w:cs="Arial"/>
          <w:color w:val="B8BFC6"/>
        </w:rPr>
        <w:t>25</w:t>
      </w:r>
      <w:r>
        <w:rPr>
          <w:color w:val="B8BFC6"/>
        </w:rPr>
        <w:t>个不合格</w:t>
      </w:r>
      <w:r>
        <w:rPr>
          <w:rFonts w:ascii="Arial" w:hAnsi="Arial" w:eastAsia="Arial" w:cs="Arial"/>
          <w:color w:val="B8BFC6"/>
        </w:rPr>
        <w:t>GT</w:t>
      </w:r>
      <w:r>
        <w:rPr>
          <w:color w:val="B8BFC6"/>
        </w:rPr>
        <w:t>均被定位，五组均有</w:t>
      </w:r>
      <w:r>
        <w:rPr>
          <w:rFonts w:ascii="Arial" w:hAnsi="Arial" w:eastAsia="Arial" w:cs="Arial"/>
          <w:color w:val="B8BFC6"/>
        </w:rPr>
        <w:t>2</w:t>
      </w:r>
      <w:r>
        <w:rPr>
          <w:color w:val="B8BFC6"/>
        </w:rPr>
        <w:t>个匹配漏放、</w:t>
      </w:r>
      <w:r>
        <w:rPr>
          <w:rFonts w:ascii="Arial" w:hAnsi="Arial" w:eastAsia="Arial" w:cs="Arial"/>
          <w:color w:val="B8BFC6"/>
        </w:rPr>
        <w:t>3</w:t>
      </w:r>
      <w:r>
        <w:rPr>
          <w:color w:val="B8BFC6"/>
        </w:rPr>
        <w:t>个不合格</w:t>
      </w:r>
      <w:r>
        <w:rPr>
          <w:rFonts w:ascii="Arial" w:hAnsi="Arial" w:eastAsia="Arial" w:cs="Arial"/>
          <w:color w:val="B8BFC6"/>
        </w:rPr>
        <w:t>GT</w:t>
      </w:r>
      <w:r>
        <w:rPr>
          <w:color w:val="B8BFC6"/>
        </w:rPr>
        <w:t>与至少一个保留合格输</w:t>
      </w:r>
      <w:r>
        <w:rPr>
          <w:color w:val="B8BFC6"/>
          <w:spacing w:val="-1"/>
        </w:rPr>
        <w:t>出重叠。主</w:t>
      </w:r>
      <w:r>
        <w:rPr>
          <w:color w:val="B8BFC6"/>
        </w:rPr>
        <w:t>方案与原</w:t>
      </w:r>
      <w:r>
        <w:rPr>
          <w:rFonts w:ascii="Arial" w:hAnsi="Arial" w:eastAsia="Arial" w:cs="Arial"/>
          <w:color w:val="B8BFC6"/>
        </w:rPr>
        <w:t>YOLO</w:t>
      </w:r>
      <w:r>
        <w:rPr>
          <w:color w:val="B8BFC6"/>
        </w:rPr>
        <w:t>均误拒</w:t>
      </w:r>
      <w:r>
        <w:rPr>
          <w:rFonts w:ascii="Arial" w:hAnsi="Arial" w:eastAsia="Arial" w:cs="Arial"/>
          <w:color w:val="B8BFC6"/>
        </w:rPr>
        <w:t>37</w:t>
      </w:r>
      <w:r>
        <w:rPr>
          <w:color w:val="B8BFC6"/>
        </w:rPr>
        <w:t>个已定位合格果，输出细化为</w:t>
      </w:r>
      <w:r>
        <w:rPr>
          <w:rFonts w:ascii="Arial" w:hAnsi="Arial" w:eastAsia="Arial" w:cs="Arial"/>
          <w:color w:val="B8BFC6"/>
        </w:rPr>
        <w:t>38</w:t>
      </w:r>
      <w:r>
        <w:rPr>
          <w:color w:val="B8BFC6"/>
        </w:rPr>
        <w:t>个；相对</w:t>
      </w:r>
      <w:r>
        <w:rPr>
          <w:rFonts w:ascii="Arial" w:hAnsi="Arial" w:eastAsia="Arial" w:cs="Arial"/>
          <w:color w:val="B8BFC6"/>
        </w:rPr>
        <w:t>RR22</w:t>
      </w:r>
      <w:r>
        <w:rPr>
          <w:color w:val="B8BFC6"/>
        </w:rPr>
        <w:t>新增不合格漏放为</w:t>
      </w:r>
      <w:r>
        <w:rPr>
          <w:rFonts w:ascii="Arial" w:hAnsi="Arial" w:eastAsia="Arial" w:cs="Arial"/>
          <w:color w:val="B8BFC6"/>
          <w:spacing w:val="-1"/>
        </w:rPr>
        <w:t>0</w:t>
      </w:r>
      <w:r>
        <w:rPr>
          <w:color w:val="B8BFC6"/>
          <w:spacing w:val="-1"/>
        </w:rPr>
        <w:t>。匹配漏放</w:t>
      </w:r>
      <w:r>
        <w:rPr>
          <w:rFonts w:ascii="Arial" w:hAnsi="Arial" w:eastAsia="Arial" w:cs="Arial"/>
          <w:color w:val="B8BFC6"/>
        </w:rPr>
        <w:t>2/25</w:t>
      </w:r>
      <w:r>
        <w:rPr>
          <w:color w:val="B8BFC6"/>
        </w:rPr>
        <w:t>为</w:t>
      </w:r>
      <w:r>
        <w:rPr>
          <w:rFonts w:ascii="Arial" w:hAnsi="Arial" w:eastAsia="Arial" w:cs="Arial"/>
          <w:color w:val="B8BFC6"/>
        </w:rPr>
        <w:t>8%</w:t>
      </w:r>
      <w:r>
        <w:rPr>
          <w:color w:val="B8BFC6"/>
        </w:rPr>
        <w:t>，同样本上的零新增差值不能解释为零绝对风险或总体等效。不合格类别</w:t>
      </w:r>
      <w:r>
        <w:rPr>
          <w:rFonts w:ascii="Arial" w:hAnsi="Arial" w:eastAsia="Arial" w:cs="Arial"/>
          <w:color w:val="B8BFC6"/>
        </w:rPr>
        <w:t>AP</w:t>
      </w:r>
      <w:r>
        <w:rPr>
          <w:color w:val="B8BFC6"/>
        </w:rPr>
        <w:t>仍明显</w:t>
      </w:r>
      <w:r>
        <w:rPr>
          <w:color w:val="B8BFC6"/>
          <w:spacing w:val="-1"/>
        </w:rPr>
        <w:t>低于各合</w:t>
      </w:r>
      <w:r>
        <w:rPr>
          <w:color w:val="B8BFC6"/>
          <w:spacing w:val="-3"/>
        </w:rPr>
        <w:t>格等级（附录表</w:t>
      </w:r>
      <w:r>
        <w:rPr>
          <w:rFonts w:ascii="Arial" w:hAnsi="Arial" w:eastAsia="Arial" w:cs="Arial"/>
          <w:color w:val="B8BFC6"/>
          <w:spacing w:val="-3"/>
        </w:rPr>
        <w:t>A4</w:t>
      </w:r>
      <w:r>
        <w:rPr>
          <w:color w:val="B8BFC6"/>
          <w:spacing w:val="-3"/>
        </w:rPr>
        <w:t>）。</w:t>
      </w:r>
    </w:p>
    <w:p>
      <w:pPr>
        <w:pStyle w:val="BodyText"/>
        <w:ind w:left="497"/>
        <w:spacing w:before="326" w:line="214" w:lineRule="auto"/>
        <w:outlineLvl w:val="1"/>
        <w:rPr>
          <w:sz w:val="39"/>
          <w:szCs w:val="39"/>
        </w:rPr>
      </w:pPr>
      <w:r>
        <w:rPr>
          <w:rFonts w:ascii="Corbel" w:hAnsi="Corbel" w:eastAsia="Corbel" w:cs="Corbel"/>
          <w:sz w:val="39"/>
          <w:szCs w:val="39"/>
          <w:b/>
          <w:bCs/>
          <w:color w:val="DEDEDE"/>
          <w:spacing w:val="-8"/>
        </w:rPr>
        <w:t>6</w:t>
      </w:r>
      <w:r>
        <w:rPr>
          <w:rFonts w:ascii="Corbel" w:hAnsi="Corbel" w:eastAsia="Corbel" w:cs="Corbel"/>
          <w:sz w:val="39"/>
          <w:szCs w:val="39"/>
          <w:b/>
          <w:bCs/>
          <w:color w:val="DEDEDE"/>
          <w:spacing w:val="-23"/>
        </w:rPr>
        <w:t xml:space="preserve"> </w:t>
      </w:r>
      <w:r>
        <w:rPr>
          <w:sz w:val="39"/>
          <w:szCs w:val="39"/>
          <w:b/>
          <w:bCs/>
          <w:color w:val="DEDEDE"/>
          <w:spacing w:val="-8"/>
        </w:rPr>
        <w:t>讨论</w:t>
      </w:r>
    </w:p>
    <w:p>
      <w:pPr>
        <w:pStyle w:val="BodyText"/>
        <w:ind w:left="492"/>
        <w:spacing w:before="229" w:line="212" w:lineRule="auto"/>
        <w:outlineLvl w:val="2"/>
        <w:rPr>
          <w:sz w:val="28"/>
          <w:szCs w:val="28"/>
        </w:rPr>
      </w:pP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3"/>
        </w:rPr>
        <w:t>6.1</w:t>
      </w: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7"/>
        </w:rPr>
        <w:t xml:space="preserve"> </w:t>
      </w:r>
      <w:r>
        <w:rPr>
          <w:sz w:val="28"/>
          <w:szCs w:val="28"/>
          <w:b/>
          <w:bCs/>
          <w:color w:val="DEDEDE"/>
          <w:spacing w:val="-13"/>
        </w:rPr>
        <w:t>累计改善的正确归因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482" w:right="558" w:firstLine="2"/>
        <w:spacing w:before="103" w:line="233" w:lineRule="auto"/>
        <w:jc w:val="both"/>
        <w:rPr/>
      </w:pPr>
      <w:r>
        <w:rPr>
          <w:color w:val="B8BFC6"/>
        </w:rPr>
        <w:t>单一</w:t>
      </w:r>
      <w:r>
        <w:rPr>
          <w:rFonts w:ascii="Arial" w:hAnsi="Arial" w:eastAsia="Arial" w:cs="Arial"/>
          <w:color w:val="B8BFC6"/>
        </w:rPr>
        <w:t>AP</w:t>
      </w:r>
      <w:r>
        <w:rPr>
          <w:color w:val="B8BFC6"/>
        </w:rPr>
        <w:t>数值会混合三个机制：分层决策改变等级，质量排序改变候选顺序及竞争，输出细</w:t>
      </w:r>
      <w:r>
        <w:rPr>
          <w:color w:val="B8BFC6"/>
          <w:spacing w:val="-1"/>
        </w:rPr>
        <w:t>化改变轮廓几</w:t>
      </w:r>
      <w:r>
        <w:rPr>
          <w:color w:val="B8BFC6"/>
        </w:rPr>
        <w:t>何。当前开发集上，最近排序改善</w:t>
      </w:r>
      <w:r>
        <w:rPr>
          <w:rFonts w:ascii="Arial" w:hAnsi="Arial" w:eastAsia="Arial" w:cs="Arial"/>
          <w:color w:val="B8BFC6"/>
        </w:rPr>
        <w:t>AP</w:t>
      </w:r>
      <w:r>
        <w:rPr>
          <w:color w:val="B8BFC6"/>
        </w:rPr>
        <w:t>而未改变分级准确率，更大范围的累计流程则相对直接检</w:t>
      </w:r>
      <w:r>
        <w:rPr>
          <w:color w:val="B8BFC6"/>
          <w:spacing w:val="-1"/>
        </w:rPr>
        <w:t>测器同时</w:t>
      </w:r>
      <w:r>
        <w:rPr>
          <w:color w:val="B8BFC6"/>
        </w:rPr>
        <w:t>改善分级与</w:t>
      </w:r>
      <w:r>
        <w:rPr>
          <w:rFonts w:ascii="Arial" w:hAnsi="Arial" w:eastAsia="Arial" w:cs="Arial"/>
          <w:color w:val="B8BFC6"/>
        </w:rPr>
        <w:t>AP</w:t>
      </w:r>
      <w:r>
        <w:rPr>
          <w:color w:val="B8BFC6"/>
        </w:rPr>
        <w:t>。相同</w:t>
      </w:r>
      <w:r>
        <w:rPr>
          <w:rFonts w:ascii="Arial" w:hAnsi="Arial" w:eastAsia="Arial" w:cs="Arial"/>
          <w:color w:val="B8BFC6"/>
        </w:rPr>
        <w:t>NMS</w:t>
      </w:r>
      <w:r>
        <w:rPr>
          <w:color w:val="B8BFC6"/>
        </w:rPr>
        <w:t>的原</w:t>
      </w:r>
      <w:r>
        <w:rPr>
          <w:rFonts w:ascii="Arial" w:hAnsi="Arial" w:eastAsia="Arial" w:cs="Arial"/>
          <w:color w:val="B8BFC6"/>
        </w:rPr>
        <w:t>YOLO</w:t>
      </w:r>
      <w:r>
        <w:rPr>
          <w:color w:val="B8BFC6"/>
        </w:rPr>
        <w:t>对照进一步显示了重复删除的作用。因此，各组件应依据</w:t>
      </w:r>
      <w:r>
        <w:rPr>
          <w:color w:val="B8BFC6"/>
          <w:spacing w:val="-1"/>
        </w:rPr>
        <w:t>其匹配对</w:t>
      </w:r>
      <w:r>
        <w:rPr>
          <w:color w:val="B8BFC6"/>
          <w:spacing w:val="-7"/>
        </w:rPr>
        <w:t>照分别归因。</w:t>
      </w:r>
    </w:p>
    <w:p>
      <w:pPr>
        <w:pStyle w:val="BodyText"/>
        <w:ind w:left="481" w:right="655" w:firstLine="1"/>
        <w:spacing w:before="281" w:line="237" w:lineRule="auto"/>
        <w:rPr/>
      </w:pPr>
      <w:r>
        <w:rPr>
          <w:color w:val="B8BFC6"/>
        </w:rPr>
        <w:t>排序贡献的定位应窄于一个全新的通用评分范式。质量感知掩膜评分和检测已经存在相应</w:t>
      </w:r>
      <w:r>
        <w:rPr>
          <w:color w:val="B8BFC6"/>
          <w:spacing w:val="-1"/>
        </w:rPr>
        <w:t>研究</w:t>
      </w:r>
      <w:r>
        <w:rPr>
          <w:rFonts w:ascii="Arial" w:hAnsi="Arial" w:eastAsia="Arial" w:cs="Arial"/>
          <w:color w:val="B8BFC6"/>
          <w:spacing w:val="-1"/>
        </w:rPr>
        <w:t>[</w:t>
      </w:r>
      <w:hyperlink w:history="true" w:anchor="bookmark27">
        <w:r>
          <w:rPr>
            <w:rFonts w:ascii="Arial" w:hAnsi="Arial" w:eastAsia="Arial" w:cs="Arial"/>
            <w:color w:val="B8BFC6"/>
            <w:spacing w:val="-1"/>
          </w:rPr>
          <w:t>8</w:t>
        </w:r>
      </w:hyperlink>
      <w:r>
        <w:rPr>
          <w:rFonts w:ascii="Arial" w:hAnsi="Arial" w:eastAsia="Arial" w:cs="Arial"/>
          <w:color w:val="B8BFC6"/>
          <w:spacing w:val="-1"/>
        </w:rPr>
        <w:t>,</w:t>
      </w:r>
      <w:hyperlink w:history="true" w:anchor="bookmark28">
        <w:r>
          <w:rPr>
            <w:rFonts w:ascii="Arial" w:hAnsi="Arial" w:eastAsia="Arial" w:cs="Arial"/>
            <w:color w:val="B8BFC6"/>
            <w:spacing w:val="-1"/>
          </w:rPr>
          <w:t>9</w:t>
        </w:r>
      </w:hyperlink>
      <w:r>
        <w:rPr>
          <w:rFonts w:ascii="Arial" w:hAnsi="Arial" w:eastAsia="Arial" w:cs="Arial"/>
          <w:color w:val="B8BFC6"/>
          <w:spacing w:val="-1"/>
        </w:rPr>
        <w:t>]</w:t>
      </w:r>
      <w:r>
        <w:rPr>
          <w:color w:val="B8BFC6"/>
          <w:spacing w:val="-1"/>
        </w:rPr>
        <w:t>。本</w:t>
      </w:r>
      <w:r>
        <w:rPr>
          <w:color w:val="B8BFC6"/>
        </w:rPr>
        <w:t>项目有价值的发现是，分级表示中已经存在的原缺陷信息，可通过较小附加头支持重分类后的</w:t>
      </w:r>
      <w:r>
        <w:rPr>
          <w:color w:val="B8BFC6"/>
          <w:spacing w:val="-1"/>
        </w:rPr>
        <w:t>质量排</w:t>
      </w:r>
    </w:p>
    <w:p>
      <w:pPr>
        <w:pStyle w:val="BodyText"/>
        <w:ind w:left="483" w:right="558" w:hanging="2"/>
        <w:spacing w:before="10" w:line="231" w:lineRule="auto"/>
        <w:rPr/>
      </w:pPr>
      <w:r>
        <w:rPr>
          <w:color w:val="B8BFC6"/>
        </w:rPr>
        <w:t>序。这不能说明新视觉训练在所有任务中都不必要，只说明当前配置的正常开发集</w:t>
      </w:r>
      <w:r>
        <w:rPr>
          <w:rFonts w:ascii="Arial" w:hAnsi="Arial" w:eastAsia="Arial" w:cs="Arial"/>
          <w:color w:val="B8BFC6"/>
        </w:rPr>
        <w:t>AP</w:t>
      </w:r>
      <w:r>
        <w:rPr>
          <w:color w:val="B8BFC6"/>
        </w:rPr>
        <w:t>增量不要求</w:t>
      </w:r>
      <w:r>
        <w:rPr>
          <w:color w:val="B8BFC6"/>
          <w:spacing w:val="-1"/>
        </w:rPr>
        <w:t>新增视</w:t>
      </w:r>
      <w:r>
        <w:rPr>
          <w:color w:val="B8BFC6"/>
        </w:rPr>
        <w:t>觉适配；它也不证明输出已满足预测概率与正确频率一致的校准</w:t>
      </w:r>
      <w:r>
        <w:rPr>
          <w:color w:val="B8BFC6"/>
          <w:spacing w:val="-1"/>
        </w:rPr>
        <w:t>含义</w:t>
      </w:r>
      <w:r>
        <w:rPr>
          <w:rFonts w:ascii="Arial" w:hAnsi="Arial" w:eastAsia="Arial" w:cs="Arial"/>
          <w:color w:val="B8BFC6"/>
          <w:spacing w:val="-1"/>
        </w:rPr>
        <w:t>[</w:t>
      </w:r>
      <w:hyperlink w:history="true" w:anchor="bookmark29">
        <w:r>
          <w:rPr>
            <w:rFonts w:ascii="Arial" w:hAnsi="Arial" w:eastAsia="Arial" w:cs="Arial"/>
            <w:color w:val="B8BFC6"/>
            <w:spacing w:val="-1"/>
          </w:rPr>
          <w:t>12</w:t>
        </w:r>
      </w:hyperlink>
      <w:r>
        <w:rPr>
          <w:rFonts w:ascii="Arial" w:hAnsi="Arial" w:eastAsia="Arial" w:cs="Arial"/>
          <w:color w:val="B8BFC6"/>
          <w:spacing w:val="-1"/>
        </w:rPr>
        <w:t>]</w:t>
      </w:r>
      <w:r>
        <w:rPr>
          <w:color w:val="B8BFC6"/>
          <w:spacing w:val="-1"/>
        </w:rPr>
        <w:t>。</w:t>
      </w:r>
    </w:p>
    <w:p>
      <w:pPr>
        <w:spacing w:line="231" w:lineRule="auto"/>
        <w:sectPr>
          <w:headerReference w:type="default" r:id="rId58"/>
          <w:pgSz w:w="11919" w:h="16858"/>
          <w:pgMar w:top="400" w:right="0" w:bottom="921" w:left="0" w:header="0" w:footer="6" w:gutter="0"/>
        </w:sectPr>
        <w:rPr/>
      </w:pP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492"/>
        <w:spacing w:before="120" w:line="211" w:lineRule="auto"/>
        <w:outlineLvl w:val="2"/>
        <w:rPr>
          <w:sz w:val="28"/>
          <w:szCs w:val="28"/>
        </w:rPr>
      </w:pP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9"/>
          <w:w w:val="98"/>
        </w:rPr>
        <w:t>6.2</w:t>
      </w: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5"/>
        </w:rPr>
        <w:t xml:space="preserve"> </w:t>
      </w:r>
      <w:r>
        <w:rPr>
          <w:sz w:val="28"/>
          <w:szCs w:val="28"/>
          <w:b/>
          <w:bCs/>
          <w:color w:val="DEDEDE"/>
          <w:spacing w:val="-9"/>
          <w:w w:val="98"/>
        </w:rPr>
        <w:t>更准确的掩膜为什么还需要兼容性检验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483" w:right="638" w:firstLine="19"/>
        <w:spacing w:before="103" w:line="233" w:lineRule="auto"/>
        <w:jc w:val="both"/>
        <w:rPr/>
      </w:pPr>
      <w:r>
        <w:rPr>
          <w:color w:val="B8BFC6"/>
        </w:rPr>
        <w:t>旧评分器依赖掩膜几何和裁剪统计，更换掩膜</w:t>
      </w:r>
      <w:r>
        <w:rPr>
          <w:color w:val="B8BFC6"/>
          <w:spacing w:val="-1"/>
        </w:rPr>
        <w:t>即改变其输入分布，即使掩膜重叠更高也可能如此。观察</w:t>
      </w:r>
      <w:r>
        <w:rPr>
          <w:color w:val="B8BFC6"/>
        </w:rPr>
        <w:t>到的重新评分退步与这一兼容性解释一致。将原掩膜留给分级、细化掩膜用于输出，可以避</w:t>
      </w:r>
      <w:r>
        <w:rPr>
          <w:color w:val="B8BFC6"/>
          <w:spacing w:val="-1"/>
        </w:rPr>
        <w:t>免把新表示</w:t>
      </w:r>
      <w:r>
        <w:rPr>
          <w:color w:val="B8BFC6"/>
        </w:rPr>
        <w:t>直接强加给尚未适配的旧评分器。双掩膜因此是一项显式系统接口选择，而不是分割与分级</w:t>
      </w:r>
      <w:r>
        <w:rPr>
          <w:color w:val="B8BFC6"/>
          <w:spacing w:val="-1"/>
        </w:rPr>
        <w:t>互不相关的</w:t>
      </w:r>
      <w:r>
        <w:rPr>
          <w:color w:val="B8BFC6"/>
          <w:spacing w:val="-11"/>
        </w:rPr>
        <w:t>证据。</w:t>
      </w:r>
    </w:p>
    <w:p>
      <w:pPr>
        <w:pStyle w:val="BodyText"/>
        <w:ind w:left="485" w:right="638" w:hanging="2"/>
        <w:spacing w:before="325" w:line="234" w:lineRule="auto"/>
        <w:jc w:val="both"/>
        <w:rPr/>
      </w:pPr>
      <w:r>
        <w:rPr>
          <w:color w:val="B8BFC6"/>
        </w:rPr>
        <w:t>该设计的代价是额外掩膜处理，以及必须按候选索引保持对齐的两套表示。历史细化器在若</w:t>
      </w:r>
      <w:r>
        <w:rPr>
          <w:color w:val="B8BFC6"/>
          <w:spacing w:val="-1"/>
        </w:rPr>
        <w:t>干轮廓指标</w:t>
      </w:r>
      <w:r>
        <w:rPr>
          <w:color w:val="B8BFC6"/>
        </w:rPr>
        <w:t>上仍有竞争力。未来可以检验针对细化几何重新训练评分器，但现有数据没有证明该扩</w:t>
      </w:r>
      <w:r>
        <w:rPr>
          <w:color w:val="B8BFC6"/>
          <w:spacing w:val="-1"/>
        </w:rPr>
        <w:t>展有效。本文当</w:t>
      </w:r>
      <w:r>
        <w:rPr>
          <w:color w:val="B8BFC6"/>
          <w:spacing w:val="-3"/>
        </w:rPr>
        <w:t>前贡献是对既有冻结组件下兼容策略的评价。</w:t>
      </w:r>
    </w:p>
    <w:p>
      <w:pPr>
        <w:pStyle w:val="BodyText"/>
        <w:ind w:left="492"/>
        <w:spacing w:before="262" w:line="203" w:lineRule="auto"/>
        <w:outlineLvl w:val="2"/>
        <w:rPr>
          <w:sz w:val="28"/>
          <w:szCs w:val="28"/>
        </w:rPr>
      </w:pP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3"/>
        </w:rPr>
        <w:t>6.3</w:t>
      </w: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7"/>
        </w:rPr>
        <w:t xml:space="preserve"> </w:t>
      </w:r>
      <w:r>
        <w:rPr>
          <w:sz w:val="28"/>
          <w:szCs w:val="28"/>
          <w:b/>
          <w:bCs/>
          <w:color w:val="DEDEDE"/>
          <w:spacing w:val="-13"/>
        </w:rPr>
        <w:t>标签效度与泛化边界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482" w:right="638" w:firstLine="1"/>
        <w:spacing w:before="103" w:line="228" w:lineRule="auto"/>
        <w:rPr/>
      </w:pPr>
      <w:r>
        <w:rPr>
          <w:color w:val="B8BFC6"/>
        </w:rPr>
        <w:t>部分参考等级来自与直接规则预测同族的可解释测量，因此高一致率在一定程度上衡量对</w:t>
      </w:r>
      <w:r>
        <w:rPr>
          <w:color w:val="B8BFC6"/>
          <w:spacing w:val="-1"/>
        </w:rPr>
        <w:t>预定义流程的</w:t>
      </w:r>
      <w:r>
        <w:rPr>
          <w:color w:val="B8BFC6"/>
        </w:rPr>
        <w:t>复现，不能直接验证营养品质、市场价值、独立专家共识或国家商业等级。人工轮廓和属性复</w:t>
      </w:r>
      <w:r>
        <w:rPr>
          <w:color w:val="B8BFC6"/>
          <w:spacing w:val="-1"/>
        </w:rPr>
        <w:t>核加强了</w:t>
      </w:r>
      <w:r>
        <w:rPr>
          <w:color w:val="B8BFC6"/>
        </w:rPr>
        <w:t>标注依据，但不消除这一性质差别。若要评价独立商业品质，需要独立定义的目标；若要报</w:t>
      </w:r>
      <w:r>
        <w:rPr>
          <w:color w:val="B8BFC6"/>
          <w:spacing w:val="-1"/>
        </w:rPr>
        <w:t>告物理尺</w:t>
      </w:r>
    </w:p>
    <w:p>
      <w:pPr>
        <w:pStyle w:val="BodyText"/>
        <w:ind w:left="487"/>
        <w:spacing w:before="1" w:line="182" w:lineRule="auto"/>
        <w:rPr/>
      </w:pPr>
      <w:r>
        <w:rPr>
          <w:color w:val="B8BFC6"/>
          <w:spacing w:val="-5"/>
        </w:rPr>
        <w:t>寸，还需要完整标定。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484" w:right="491"/>
        <w:spacing w:before="103" w:line="219" w:lineRule="auto"/>
        <w:rPr/>
      </w:pPr>
      <w:r>
        <w:rPr>
          <w:color w:val="B8BFC6"/>
        </w:rPr>
        <w:t>开发集反复使用与历史</w:t>
      </w:r>
      <w:r>
        <w:rPr>
          <w:rFonts w:ascii="Arial" w:hAnsi="Arial" w:eastAsia="Arial" w:cs="Arial"/>
          <w:color w:val="B8BFC6"/>
        </w:rPr>
        <w:t>test</w:t>
      </w:r>
      <w:r>
        <w:rPr>
          <w:color w:val="B8BFC6"/>
        </w:rPr>
        <w:t>使用共同限制统计解释。原缺陷排序是在适应性机制对照后冻结</w:t>
      </w:r>
      <w:r>
        <w:rPr>
          <w:color w:val="B8BFC6"/>
          <w:spacing w:val="-1"/>
        </w:rPr>
        <w:t>的方案，逐项</w:t>
      </w:r>
      <w:r>
        <w:rPr>
          <w:rFonts w:ascii="Arial" w:hAnsi="Arial" w:eastAsia="Arial" w:cs="Arial"/>
          <w:color w:val="B8BFC6"/>
        </w:rPr>
        <w:t>bootstrap</w:t>
      </w:r>
      <w:r>
        <w:rPr>
          <w:color w:val="B8BFC6"/>
        </w:rPr>
        <w:t>无法消除这一选择历史；本次锁定后</w:t>
      </w:r>
      <w:r>
        <w:rPr>
          <w:rFonts w:ascii="Arial" w:hAnsi="Arial" w:eastAsia="Arial" w:cs="Arial"/>
          <w:color w:val="B8BFC6"/>
        </w:rPr>
        <w:t>test</w:t>
      </w:r>
      <w:r>
        <w:rPr>
          <w:color w:val="B8BFC6"/>
        </w:rPr>
        <w:t>结果提供现有划分上的补充证据，但不</w:t>
      </w:r>
      <w:r>
        <w:rPr>
          <w:color w:val="B8BFC6"/>
          <w:spacing w:val="-1"/>
        </w:rPr>
        <w:t>等同新采集外</w:t>
      </w:r>
      <w:r>
        <w:rPr>
          <w:color w:val="B8BFC6"/>
        </w:rPr>
        <w:t>部验证。冻结检测器来自单条历史训练运行，新增模块的三个种子不能估计整个系统</w:t>
      </w:r>
      <w:r>
        <w:rPr>
          <w:color w:val="B8BFC6"/>
          <w:spacing w:val="-1"/>
        </w:rPr>
        <w:t>训练变异。跨</w:t>
      </w:r>
    </w:p>
    <w:p>
      <w:pPr>
        <w:pStyle w:val="BodyText"/>
        <w:ind w:left="486" w:right="784" w:hanging="2"/>
        <w:spacing w:before="3" w:line="233" w:lineRule="auto"/>
        <w:rPr/>
      </w:pPr>
      <w:r>
        <w:rPr>
          <w:rFonts w:ascii="Arial" w:hAnsi="Arial" w:eastAsia="Arial" w:cs="Arial"/>
          <w:color w:val="B8BFC6"/>
        </w:rPr>
        <w:t>train/val/test</w:t>
      </w:r>
      <w:r>
        <w:rPr>
          <w:color w:val="B8BFC6"/>
        </w:rPr>
        <w:t>未见字节完全相同的图像，也不能排除同一实物果、相邻帧或采集批次共享</w:t>
      </w:r>
      <w:r>
        <w:rPr>
          <w:color w:val="B8BFC6"/>
          <w:spacing w:val="-1"/>
        </w:rPr>
        <w:t>。测试标签中</w:t>
      </w:r>
      <w:r>
        <w:rPr>
          <w:rFonts w:ascii="Arial" w:hAnsi="Arial" w:eastAsia="Arial" w:cs="Arial"/>
          <w:color w:val="B8BFC6"/>
          <w:spacing w:val="-1"/>
        </w:rPr>
        <w:t>223/576</w:t>
      </w:r>
      <w:r>
        <w:rPr>
          <w:color w:val="B8BFC6"/>
          <w:spacing w:val="-1"/>
        </w:rPr>
        <w:t>沿用冻结规则，且不合格实例仅</w:t>
      </w:r>
      <w:r>
        <w:rPr>
          <w:rFonts w:ascii="Arial" w:hAnsi="Arial" w:eastAsia="Arial" w:cs="Arial"/>
          <w:color w:val="B8BFC6"/>
          <w:spacing w:val="-1"/>
        </w:rPr>
        <w:t>25</w:t>
      </w:r>
      <w:r>
        <w:rPr>
          <w:color w:val="B8BFC6"/>
          <w:spacing w:val="-1"/>
        </w:rPr>
        <w:t>个；这些因素限制独立品质目标及</w:t>
      </w:r>
      <w:r>
        <w:rPr>
          <w:color w:val="B8BFC6"/>
          <w:spacing w:val="-2"/>
        </w:rPr>
        <w:t>风险估计精度。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481" w:right="571"/>
        <w:spacing w:before="103" w:line="222" w:lineRule="auto"/>
        <w:jc w:val="both"/>
        <w:rPr/>
      </w:pPr>
      <w:r>
        <w:rPr>
          <w:color w:val="B8BFC6"/>
        </w:rPr>
        <w:t>光照失败进一步限制部署表述。在定位仍相对较高时，合成测试已暴露出明显分级敏感性。本文</w:t>
      </w:r>
      <w:r>
        <w:rPr>
          <w:color w:val="B8BFC6"/>
          <w:spacing w:val="-1"/>
        </w:rPr>
        <w:t>不包含</w:t>
      </w:r>
      <w:r>
        <w:rPr>
          <w:color w:val="B8BFC6"/>
        </w:rPr>
        <w:t>完成的水流装置试验、在线自动分选验证或多地点独立评价。匹配口径误拒</w:t>
      </w:r>
      <w:r>
        <w:rPr>
          <w:rFonts w:ascii="Arial" w:hAnsi="Arial" w:eastAsia="Arial" w:cs="Arial"/>
          <w:color w:val="B8BFC6"/>
        </w:rPr>
        <w:t>/</w:t>
      </w:r>
      <w:r>
        <w:rPr>
          <w:color w:val="B8BFC6"/>
        </w:rPr>
        <w:t>误放也未解决多个</w:t>
      </w:r>
      <w:r>
        <w:rPr>
          <w:color w:val="B8BFC6"/>
          <w:spacing w:val="-1"/>
        </w:rPr>
        <w:t>跨类候选</w:t>
      </w:r>
      <w:r>
        <w:rPr>
          <w:color w:val="B8BFC6"/>
        </w:rPr>
        <w:t>如何形成唯一物理单果动作的问题。较低</w:t>
      </w:r>
      <w:r>
        <w:rPr>
          <w:rFonts w:ascii="Arial" w:hAnsi="Arial" w:eastAsia="Arial" w:cs="Arial"/>
          <w:color w:val="B8BFC6"/>
        </w:rPr>
        <w:t>AP</w:t>
      </w:r>
      <w:r>
        <w:rPr>
          <w:color w:val="B8BFC6"/>
        </w:rPr>
        <w:t>错误或本</w:t>
      </w:r>
      <w:r>
        <w:rPr>
          <w:rFonts w:ascii="Arial" w:hAnsi="Arial" w:eastAsia="Arial" w:cs="Arial"/>
          <w:color w:val="B8BFC6"/>
        </w:rPr>
        <w:t>val</w:t>
      </w:r>
      <w:r>
        <w:rPr>
          <w:color w:val="B8BFC6"/>
        </w:rPr>
        <w:t>新增误放为</w:t>
      </w:r>
      <w:r>
        <w:rPr>
          <w:rFonts w:ascii="Arial" w:hAnsi="Arial" w:eastAsia="Arial" w:cs="Arial"/>
          <w:color w:val="B8BFC6"/>
        </w:rPr>
        <w:t>0</w:t>
      </w:r>
      <w:r>
        <w:rPr>
          <w:color w:val="B8BFC6"/>
        </w:rPr>
        <w:t>，不能替代明确</w:t>
      </w:r>
      <w:r>
        <w:rPr>
          <w:color w:val="B8BFC6"/>
          <w:spacing w:val="-1"/>
        </w:rPr>
        <w:t>的物理输出与拒绝</w:t>
      </w:r>
      <w:r>
        <w:rPr>
          <w:color w:val="B8BFC6"/>
          <w:spacing w:val="-11"/>
        </w:rPr>
        <w:t>策略。</w:t>
      </w:r>
    </w:p>
    <w:p>
      <w:pPr>
        <w:pStyle w:val="BodyText"/>
        <w:ind w:left="492"/>
        <w:spacing w:before="336" w:line="205" w:lineRule="auto"/>
        <w:outlineLvl w:val="2"/>
        <w:rPr>
          <w:sz w:val="28"/>
          <w:szCs w:val="28"/>
        </w:rPr>
      </w:pP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13"/>
        </w:rPr>
        <w:t>6.4</w:t>
      </w:r>
      <w:r>
        <w:rPr>
          <w:rFonts w:ascii="Corbel" w:hAnsi="Corbel" w:eastAsia="Corbel" w:cs="Corbel"/>
          <w:sz w:val="28"/>
          <w:szCs w:val="28"/>
          <w:b/>
          <w:bCs/>
          <w:color w:val="DEDEDE"/>
          <w:spacing w:val="-23"/>
        </w:rPr>
        <w:t xml:space="preserve"> </w:t>
      </w:r>
      <w:r>
        <w:rPr>
          <w:sz w:val="28"/>
          <w:szCs w:val="28"/>
          <w:b/>
          <w:bCs/>
          <w:color w:val="DEDEDE"/>
          <w:spacing w:val="-13"/>
        </w:rPr>
        <w:t>锁定测试后的解释与后续边界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483" w:right="588" w:firstLine="15"/>
        <w:spacing w:before="104" w:line="232" w:lineRule="auto"/>
        <w:rPr/>
      </w:pPr>
      <w:r>
        <w:rPr>
          <w:color w:val="B8BFC6"/>
        </w:rPr>
        <w:t>已在统一冻结标注和指标协议下完成五组方案的最</w:t>
      </w:r>
      <w:r>
        <w:rPr>
          <w:color w:val="B8BFC6"/>
          <w:spacing w:val="-1"/>
        </w:rPr>
        <w:t>终测试，保留报告种子、置信范围、</w:t>
      </w:r>
      <w:r>
        <w:rPr>
          <w:rFonts w:ascii="Arial" w:hAnsi="Arial" w:eastAsia="Arial" w:cs="Arial"/>
          <w:color w:val="B8BFC6"/>
          <w:spacing w:val="-1"/>
        </w:rPr>
        <w:t>NMS</w:t>
      </w:r>
      <w:r>
        <w:rPr>
          <w:color w:val="B8BFC6"/>
          <w:spacing w:val="-1"/>
        </w:rPr>
        <w:t>、等级阈值</w:t>
      </w:r>
      <w:r>
        <w:rPr>
          <w:color w:val="B8BFC6"/>
        </w:rPr>
        <w:t>及排序公式。主方案相对原</w:t>
      </w:r>
      <w:r>
        <w:rPr>
          <w:rFonts w:ascii="Arial" w:hAnsi="Arial" w:eastAsia="Arial" w:cs="Arial"/>
          <w:color w:val="B8BFC6"/>
        </w:rPr>
        <w:t>YOLO</w:t>
      </w:r>
      <w:r>
        <w:rPr>
          <w:color w:val="B8BFC6"/>
        </w:rPr>
        <w:t>和</w:t>
      </w:r>
      <w:r>
        <w:rPr>
          <w:rFonts w:ascii="Arial" w:hAnsi="Arial" w:eastAsia="Arial" w:cs="Arial"/>
          <w:color w:val="B8BFC6"/>
        </w:rPr>
        <w:t>RR22</w:t>
      </w:r>
      <w:r>
        <w:rPr>
          <w:color w:val="B8BFC6"/>
        </w:rPr>
        <w:t>的</w:t>
      </w:r>
      <w:r>
        <w:rPr>
          <w:rFonts w:ascii="Arial" w:hAnsi="Arial" w:eastAsia="Arial" w:cs="Arial"/>
          <w:color w:val="B8BFC6"/>
        </w:rPr>
        <w:t>AP50</w:t>
      </w:r>
      <w:r>
        <w:rPr>
          <w:color w:val="B8BFC6"/>
        </w:rPr>
        <w:t>差值区间均位于零以上，但区间是对本划</w:t>
      </w:r>
      <w:r>
        <w:rPr>
          <w:color w:val="B8BFC6"/>
          <w:spacing w:val="-1"/>
        </w:rPr>
        <w:t>分的逐项描</w:t>
      </w:r>
      <w:r>
        <w:rPr>
          <w:color w:val="B8BFC6"/>
        </w:rPr>
        <w:t>述，不能据此消除标签同源、历史测试使用或实物果关联。输出细化增加严格</w:t>
      </w:r>
      <w:r>
        <w:rPr>
          <w:rFonts w:ascii="Arial" w:hAnsi="Arial" w:eastAsia="Arial" w:cs="Arial"/>
          <w:color w:val="B8BFC6"/>
        </w:rPr>
        <w:t>IoU</w:t>
      </w:r>
      <w:r>
        <w:rPr>
          <w:color w:val="B8BFC6"/>
        </w:rPr>
        <w:t>平均</w:t>
      </w:r>
      <w:r>
        <w:rPr>
          <w:rFonts w:ascii="Arial" w:hAnsi="Arial" w:eastAsia="Arial" w:cs="Arial"/>
          <w:color w:val="B8BFC6"/>
        </w:rPr>
        <w:t>AP</w:t>
      </w:r>
      <w:r>
        <w:rPr>
          <w:color w:val="B8BFC6"/>
        </w:rPr>
        <w:t>，</w:t>
      </w:r>
      <w:r>
        <w:rPr>
          <w:color w:val="B8BFC6"/>
          <w:spacing w:val="-1"/>
        </w:rPr>
        <w:t>同时出现一</w:t>
      </w:r>
      <w:r>
        <w:rPr>
          <w:color w:val="B8BFC6"/>
        </w:rPr>
        <w:t>个匹配分级错误增量，应将该权衡作为兼容性分析的一部分。现有</w:t>
      </w:r>
      <w:r>
        <w:rPr>
          <w:rFonts w:ascii="Arial" w:hAnsi="Arial" w:eastAsia="Arial" w:cs="Arial"/>
          <w:color w:val="B8BFC6"/>
        </w:rPr>
        <w:t>test</w:t>
      </w:r>
      <w:r>
        <w:rPr>
          <w:color w:val="B8BFC6"/>
        </w:rPr>
        <w:t>完成后不继续依据该</w:t>
      </w:r>
      <w:r>
        <w:rPr>
          <w:color w:val="B8BFC6"/>
          <w:spacing w:val="-1"/>
        </w:rPr>
        <w:t>集选择新方</w:t>
      </w:r>
      <w:r>
        <w:rPr>
          <w:color w:val="B8BFC6"/>
          <w:spacing w:val="-3"/>
        </w:rPr>
        <w:t>案；额外独立采集组属于未来外部效度工作。</w:t>
      </w:r>
    </w:p>
    <w:p>
      <w:pPr>
        <w:spacing w:line="232" w:lineRule="auto"/>
        <w:sectPr>
          <w:headerReference w:type="default" r:id="rId59"/>
          <w:pgSz w:w="11919" w:h="16858"/>
          <w:pgMar w:top="400" w:right="0" w:bottom="921" w:left="0" w:header="0" w:footer="6" w:gutter="0"/>
        </w:sectPr>
        <w:rPr/>
      </w:pPr>
    </w:p>
    <w:p>
      <w:pPr>
        <w:spacing w:line="414" w:lineRule="auto"/>
        <w:rPr>
          <w:rFonts w:ascii="Arial"/>
          <w:sz w:val="21"/>
        </w:rPr>
      </w:pPr>
      <w:r/>
    </w:p>
    <w:p>
      <w:pPr>
        <w:pStyle w:val="BodyText"/>
        <w:ind w:left="482" w:right="571" w:hanging="1"/>
        <w:spacing w:before="103"/>
        <w:jc w:val="both"/>
        <w:rPr/>
      </w:pPr>
      <w:r>
        <w:rPr>
          <w:color w:val="B8BFC6"/>
        </w:rPr>
        <w:t>后续方法研究应直接针对已观察到的失败：真实光照条件下可靠的果梗</w:t>
      </w:r>
      <w:r>
        <w:rPr>
          <w:rFonts w:ascii="Arial" w:hAnsi="Arial" w:eastAsia="Arial" w:cs="Arial"/>
          <w:color w:val="B8BFC6"/>
        </w:rPr>
        <w:t>/</w:t>
      </w:r>
      <w:r>
        <w:rPr>
          <w:color w:val="B8BFC6"/>
        </w:rPr>
        <w:t>缺陷证据、证据冲突时可</w:t>
      </w:r>
      <w:r>
        <w:rPr>
          <w:color w:val="B8BFC6"/>
          <w:spacing w:val="-1"/>
        </w:rPr>
        <w:t>暂缓融</w:t>
      </w:r>
      <w:r>
        <w:rPr>
          <w:color w:val="B8BFC6"/>
        </w:rPr>
        <w:t>合的边界策略，以及考虑竞争等级的物理单果输出规则。这些属于建议开展的后续工作，不</w:t>
      </w:r>
      <w:r>
        <w:rPr>
          <w:color w:val="B8BFC6"/>
          <w:spacing w:val="-1"/>
        </w:rPr>
        <w:t>作为本文已</w:t>
      </w:r>
      <w:r>
        <w:rPr>
          <w:color w:val="B8BFC6"/>
          <w:spacing w:val="-5"/>
        </w:rPr>
        <w:t>经完成的效果改善。</w:t>
      </w:r>
    </w:p>
    <w:p>
      <w:pPr>
        <w:pStyle w:val="BodyText"/>
        <w:ind w:left="491"/>
        <w:spacing w:before="300" w:line="184" w:lineRule="auto"/>
        <w:outlineLvl w:val="1"/>
        <w:rPr>
          <w:sz w:val="39"/>
          <w:szCs w:val="39"/>
        </w:rPr>
      </w:pPr>
      <w:r>
        <w:rPr>
          <w:rFonts w:ascii="Corbel" w:hAnsi="Corbel" w:eastAsia="Corbel" w:cs="Corbel"/>
          <w:sz w:val="39"/>
          <w:szCs w:val="39"/>
          <w:b/>
          <w:bCs/>
          <w:color w:val="DEDEDE"/>
          <w:spacing w:val="-5"/>
        </w:rPr>
        <w:t>7</w:t>
      </w:r>
      <w:r>
        <w:rPr>
          <w:rFonts w:ascii="Corbel" w:hAnsi="Corbel" w:eastAsia="Corbel" w:cs="Corbel"/>
          <w:sz w:val="39"/>
          <w:szCs w:val="39"/>
          <w:b/>
          <w:bCs/>
          <w:color w:val="DEDEDE"/>
          <w:spacing w:val="-26"/>
        </w:rPr>
        <w:t xml:space="preserve"> </w:t>
      </w:r>
      <w:r>
        <w:rPr>
          <w:sz w:val="39"/>
          <w:szCs w:val="39"/>
          <w:b/>
          <w:bCs/>
          <w:color w:val="DEDEDE"/>
          <w:spacing w:val="-5"/>
        </w:rPr>
        <w:t>结论</w:t>
      </w:r>
    </w:p>
    <w:p>
      <w:pPr>
        <w:pStyle w:val="BodyText"/>
        <w:ind w:left="486" w:right="638" w:hanging="3"/>
        <w:spacing w:before="332" w:line="235" w:lineRule="auto"/>
        <w:jc w:val="both"/>
        <w:rPr/>
      </w:pPr>
      <w:r>
        <w:rPr>
          <w:color w:val="B8BFC6"/>
        </w:rPr>
        <w:t>本文构建并评价了符合缺陷、果梗及尺寸候选规则优先关系的模块化枸杞外观分级流程。方</w:t>
      </w:r>
      <w:r>
        <w:rPr>
          <w:color w:val="B8BFC6"/>
          <w:spacing w:val="-1"/>
        </w:rPr>
        <w:t>法重点是分</w:t>
      </w:r>
      <w:r>
        <w:rPr>
          <w:color w:val="B8BFC6"/>
        </w:rPr>
        <w:t>离等级赋值、预测质量排序与输出掩膜几何，并显式检查各环节之间的兼容性。复</w:t>
      </w:r>
      <w:r>
        <w:rPr>
          <w:color w:val="B8BFC6"/>
          <w:spacing w:val="-1"/>
        </w:rPr>
        <w:t>用原缺陷证据提供了</w:t>
      </w:r>
      <w:r>
        <w:rPr>
          <w:color w:val="B8BFC6"/>
          <w:spacing w:val="-2"/>
        </w:rPr>
        <w:t>附加成本较小的排序选择，输出细化支路则保留了既有分级输入。</w:t>
      </w:r>
    </w:p>
    <w:p>
      <w:pPr>
        <w:pStyle w:val="BodyText"/>
        <w:ind w:left="503" w:right="676" w:hanging="21"/>
        <w:spacing w:before="280" w:line="227" w:lineRule="auto"/>
        <w:rPr/>
      </w:pPr>
      <w:r>
        <w:rPr>
          <w:color w:val="B8BFC6"/>
        </w:rPr>
        <w:t>在</w:t>
      </w:r>
      <w:r>
        <w:rPr>
          <w:rFonts w:ascii="Arial" w:hAnsi="Arial" w:eastAsia="Arial" w:cs="Arial"/>
          <w:color w:val="B8BFC6"/>
        </w:rPr>
        <w:t>129</w:t>
      </w:r>
      <w:r>
        <w:rPr>
          <w:color w:val="B8BFC6"/>
        </w:rPr>
        <w:t>张测试图像上，主方案取得</w:t>
      </w:r>
      <w:r>
        <w:rPr>
          <w:rFonts w:ascii="Arial" w:hAnsi="Arial" w:eastAsia="Arial" w:cs="Arial"/>
          <w:color w:val="B8BFC6"/>
        </w:rPr>
        <w:t>80.72%</w:t>
      </w:r>
      <w:r>
        <w:rPr>
          <w:color w:val="B8BFC6"/>
        </w:rPr>
        <w:t>的</w:t>
      </w:r>
      <w:r>
        <w:rPr>
          <w:rFonts w:ascii="Arial" w:hAnsi="Arial" w:eastAsia="Arial" w:cs="Arial"/>
          <w:color w:val="B8BFC6"/>
        </w:rPr>
        <w:t>Mask</w:t>
      </w:r>
      <w:r>
        <w:rPr>
          <w:rFonts w:ascii="Arial" w:hAnsi="Arial" w:eastAsia="Arial" w:cs="Arial"/>
          <w:color w:val="B8BFC6"/>
          <w:spacing w:val="-14"/>
        </w:rPr>
        <w:t xml:space="preserve"> </w:t>
      </w:r>
      <w:r>
        <w:rPr>
          <w:rFonts w:ascii="Arial" w:hAnsi="Arial" w:eastAsia="Arial" w:cs="Arial"/>
          <w:color w:val="B8BFC6"/>
        </w:rPr>
        <w:t>AP50</w:t>
      </w:r>
      <w:r>
        <w:rPr>
          <w:color w:val="B8BFC6"/>
        </w:rPr>
        <w:t>，相对原</w:t>
      </w:r>
      <w:r>
        <w:rPr>
          <w:rFonts w:ascii="Arial" w:hAnsi="Arial" w:eastAsia="Arial" w:cs="Arial"/>
          <w:color w:val="B8BFC6"/>
        </w:rPr>
        <w:t>YOLO</w:t>
      </w:r>
      <w:r>
        <w:rPr>
          <w:color w:val="B8BFC6"/>
        </w:rPr>
        <w:t>提高</w:t>
      </w:r>
      <w:r>
        <w:rPr>
          <w:rFonts w:ascii="Arial" w:hAnsi="Arial" w:eastAsia="Arial" w:cs="Arial"/>
          <w:color w:val="B8BFC6"/>
        </w:rPr>
        <w:t>2.68</w:t>
      </w:r>
      <w:r>
        <w:rPr>
          <w:color w:val="B8BFC6"/>
        </w:rPr>
        <w:t>个百分点；分</w:t>
      </w:r>
      <w:r>
        <w:rPr>
          <w:color w:val="B8BFC6"/>
          <w:spacing w:val="-1"/>
        </w:rPr>
        <w:t>级正确数</w:t>
      </w:r>
      <w:r>
        <w:rPr>
          <w:color w:val="B8BFC6"/>
          <w:spacing w:val="-1"/>
        </w:rPr>
        <w:t>由</w:t>
      </w:r>
      <w:r>
        <w:rPr>
          <w:rFonts w:ascii="Arial" w:hAnsi="Arial" w:eastAsia="Arial" w:cs="Arial"/>
          <w:color w:val="B8BFC6"/>
          <w:spacing w:val="-1"/>
        </w:rPr>
        <w:t>456/560</w:t>
      </w:r>
      <w:r>
        <w:rPr>
          <w:color w:val="B8BFC6"/>
          <w:spacing w:val="-1"/>
        </w:rPr>
        <w:t>提高至</w:t>
      </w:r>
      <w:r>
        <w:rPr>
          <w:rFonts w:ascii="Arial" w:hAnsi="Arial" w:eastAsia="Arial" w:cs="Arial"/>
          <w:color w:val="B8BFC6"/>
          <w:spacing w:val="-1"/>
        </w:rPr>
        <w:t>481/560</w:t>
      </w:r>
      <w:r>
        <w:rPr>
          <w:color w:val="B8BFC6"/>
          <w:spacing w:val="-1"/>
        </w:rPr>
        <w:t>。输出细化将</w:t>
      </w:r>
      <w:r>
        <w:rPr>
          <w:rFonts w:ascii="Arial" w:hAnsi="Arial" w:eastAsia="Arial" w:cs="Arial"/>
          <w:color w:val="B8BFC6"/>
          <w:spacing w:val="-1"/>
        </w:rPr>
        <w:t>Mask</w:t>
      </w:r>
      <w:r>
        <w:rPr>
          <w:rFonts w:ascii="Arial" w:hAnsi="Arial" w:eastAsia="Arial" w:cs="Arial"/>
          <w:color w:val="B8BFC6"/>
        </w:rPr>
        <w:t xml:space="preserve"> </w:t>
      </w:r>
      <w:r>
        <w:rPr>
          <w:rFonts w:ascii="Arial" w:hAnsi="Arial" w:eastAsia="Arial" w:cs="Arial"/>
          <w:color w:val="B8BFC6"/>
          <w:spacing w:val="-1"/>
        </w:rPr>
        <w:t>AP50–95</w:t>
      </w:r>
      <w:r>
        <w:rPr>
          <w:color w:val="B8BFC6"/>
          <w:spacing w:val="-1"/>
        </w:rPr>
        <w:t>提高至</w:t>
      </w:r>
      <w:r>
        <w:rPr>
          <w:rFonts w:ascii="Arial" w:hAnsi="Arial" w:eastAsia="Arial" w:cs="Arial"/>
          <w:color w:val="B8BFC6"/>
          <w:spacing w:val="-1"/>
        </w:rPr>
        <w:t>69.12%</w:t>
      </w:r>
      <w:r>
        <w:rPr>
          <w:color w:val="B8BFC6"/>
          <w:spacing w:val="-1"/>
        </w:rPr>
        <w:t>，但重新匹配后的正确数为</w:t>
      </w:r>
    </w:p>
    <w:p>
      <w:pPr>
        <w:pStyle w:val="BodyText"/>
        <w:ind w:left="482" w:right="664"/>
        <w:spacing w:before="3" w:line="229" w:lineRule="auto"/>
        <w:rPr/>
      </w:pPr>
      <w:r>
        <w:rPr>
          <w:rFonts w:ascii="Arial" w:hAnsi="Arial" w:eastAsia="Arial" w:cs="Arial"/>
          <w:color w:val="B8BFC6"/>
        </w:rPr>
        <w:t>480/560</w:t>
      </w:r>
      <w:r>
        <w:rPr>
          <w:color w:val="B8BFC6"/>
        </w:rPr>
        <w:t>。开发消融与锁定测试共同支持分层决策、缺陷证据复用排序及输出掩膜兼</w:t>
      </w:r>
      <w:r>
        <w:rPr>
          <w:color w:val="B8BFC6"/>
          <w:spacing w:val="-1"/>
        </w:rPr>
        <w:t>容性检查的应用价</w:t>
      </w:r>
      <w:r>
        <w:rPr>
          <w:color w:val="B8BFC6"/>
        </w:rPr>
        <w:t>值。标签来源、早期</w:t>
      </w:r>
      <w:r>
        <w:rPr>
          <w:rFonts w:ascii="Arial" w:hAnsi="Arial" w:eastAsia="Arial" w:cs="Arial"/>
          <w:color w:val="B8BFC6"/>
        </w:rPr>
        <w:t>test</w:t>
      </w:r>
      <w:r>
        <w:rPr>
          <w:color w:val="B8BFC6"/>
        </w:rPr>
        <w:t>使用、不合格样本数量和光照</w:t>
      </w:r>
      <w:r>
        <w:rPr>
          <w:rFonts w:ascii="Arial" w:hAnsi="Arial" w:eastAsia="Arial" w:cs="Arial"/>
          <w:color w:val="B8BFC6"/>
        </w:rPr>
        <w:t>/</w:t>
      </w:r>
      <w:r>
        <w:rPr>
          <w:color w:val="B8BFC6"/>
        </w:rPr>
        <w:t>物理输出失败模式仍限制结论，现有证</w:t>
      </w:r>
      <w:r>
        <w:rPr>
          <w:color w:val="B8BFC6"/>
          <w:spacing w:val="-1"/>
        </w:rPr>
        <w:t>据不足以</w:t>
      </w:r>
      <w:r>
        <w:rPr>
          <w:color w:val="B8BFC6"/>
          <w:spacing w:val="-4"/>
        </w:rPr>
        <w:t>宣称自动商业分选可靠性。</w:t>
      </w:r>
    </w:p>
    <w:p>
      <w:pPr>
        <w:pStyle w:val="BodyText"/>
        <w:ind w:left="503"/>
        <w:spacing w:before="356" w:line="183" w:lineRule="auto"/>
        <w:outlineLvl w:val="1"/>
        <w:rPr>
          <w:sz w:val="39"/>
          <w:szCs w:val="39"/>
        </w:rPr>
      </w:pPr>
      <w:r>
        <w:rPr>
          <w:sz w:val="39"/>
          <w:szCs w:val="39"/>
          <w:b/>
          <w:bCs/>
          <w:color w:val="DEDEDE"/>
          <w:spacing w:val="-13"/>
        </w:rPr>
        <w:t>附录</w:t>
      </w:r>
      <w:r>
        <w:rPr>
          <w:rFonts w:ascii="Corbel" w:hAnsi="Corbel" w:eastAsia="Corbel" w:cs="Corbel"/>
          <w:sz w:val="39"/>
          <w:szCs w:val="39"/>
          <w:b/>
          <w:bCs/>
          <w:color w:val="DEDEDE"/>
          <w:spacing w:val="-13"/>
        </w:rPr>
        <w:t>A</w:t>
      </w:r>
      <w:r>
        <w:rPr>
          <w:rFonts w:ascii="Corbel" w:hAnsi="Corbel" w:eastAsia="Corbel" w:cs="Corbel"/>
          <w:sz w:val="39"/>
          <w:szCs w:val="39"/>
          <w:b/>
          <w:bCs/>
          <w:color w:val="DEDEDE"/>
          <w:spacing w:val="-19"/>
        </w:rPr>
        <w:t xml:space="preserve"> </w:t>
      </w:r>
      <w:r>
        <w:rPr>
          <w:sz w:val="39"/>
          <w:szCs w:val="39"/>
          <w:b/>
          <w:bCs/>
          <w:color w:val="DEDEDE"/>
          <w:spacing w:val="-13"/>
        </w:rPr>
        <w:t>特征与报告细节</w:t>
      </w:r>
    </w:p>
    <w:p>
      <w:pPr>
        <w:pStyle w:val="BodyText"/>
        <w:ind w:left="483"/>
        <w:spacing w:before="291" w:line="235" w:lineRule="auto"/>
        <w:rPr/>
      </w:pPr>
      <w:r>
        <w:rPr>
          <w:color w:val="B8BFC6"/>
          <w:spacing w:val="1"/>
        </w:rPr>
        <w:t>表</w:t>
      </w:r>
      <w:r>
        <w:rPr>
          <w:rFonts w:ascii="Arial" w:hAnsi="Arial" w:eastAsia="Arial" w:cs="Arial"/>
          <w:color w:val="B8BFC6"/>
          <w:spacing w:val="1"/>
        </w:rPr>
        <w:t>A1</w:t>
      </w:r>
      <w:r>
        <w:rPr>
          <w:color w:val="B8BFC6"/>
          <w:spacing w:val="1"/>
        </w:rPr>
        <w:t>项目保留的</w:t>
      </w:r>
      <w:r>
        <w:rPr>
          <w:rFonts w:ascii="Arial" w:hAnsi="Arial" w:eastAsia="Arial" w:cs="Arial"/>
          <w:color w:val="B8BFC6"/>
          <w:spacing w:val="1"/>
        </w:rPr>
        <w:t>18</w:t>
      </w:r>
      <w:r>
        <w:rPr>
          <w:color w:val="B8BFC6"/>
          <w:spacing w:val="1"/>
        </w:rPr>
        <w:t>项可解释描述特征。它们不同于原分级器的六项</w:t>
      </w:r>
      <w:r>
        <w:rPr>
          <w:color w:val="B8BFC6"/>
        </w:rPr>
        <w:t>几何输入及排序器的</w:t>
      </w:r>
      <w:r>
        <w:rPr>
          <w:rFonts w:ascii="Arial" w:hAnsi="Arial" w:eastAsia="Arial" w:cs="Arial"/>
          <w:color w:val="B8BFC6"/>
        </w:rPr>
        <w:t>22</w:t>
      </w:r>
      <w:r>
        <w:rPr>
          <w:color w:val="B8BFC6"/>
        </w:rPr>
        <w:t>通道。</w:t>
      </w:r>
    </w:p>
    <w:p>
      <w:pPr>
        <w:spacing w:before="85"/>
        <w:rPr/>
      </w:pPr>
      <w:r/>
    </w:p>
    <w:tbl>
      <w:tblPr>
        <w:tblStyle w:val="TableNormal"/>
        <w:tblW w:w="10949" w:type="dxa"/>
        <w:tblInd w:w="487" w:type="dxa"/>
        <w:tblLayout w:type="fixed"/>
        <w:tblBorders>
          <w:top w:val="single" w:color="474D54" w:sz="6" w:space="0"/>
          <w:left w:val="single" w:color="474D54" w:sz="6" w:space="0"/>
          <w:bottom w:val="single" w:color="474D54" w:sz="6" w:space="0"/>
          <w:right w:val="single" w:color="474D54" w:sz="6" w:space="0"/>
          <w:insideH w:val="single" w:color="474D54" w:sz="6" w:space="0"/>
          <w:insideV w:val="single" w:color="474D54" w:sz="6" w:space="0"/>
        </w:tblBorders>
      </w:tblPr>
      <w:tblGrid>
        <w:gridCol w:w="1220"/>
        <w:gridCol w:w="5617"/>
        <w:gridCol w:w="4112"/>
      </w:tblGrid>
      <w:tr>
        <w:trPr>
          <w:trHeight w:val="545" w:hRule="atLeast"/>
        </w:trPr>
        <w:tc>
          <w:tcPr>
            <w:tcW w:w="1220" w:type="dxa"/>
            <w:vAlign w:val="top"/>
          </w:tcPr>
          <w:p>
            <w:pPr>
              <w:ind w:left="153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1"/>
              </w:rPr>
              <w:t>特征组</w:t>
            </w:r>
          </w:p>
        </w:tc>
        <w:tc>
          <w:tcPr>
            <w:tcW w:w="5617" w:type="dxa"/>
            <w:vAlign w:val="top"/>
          </w:tcPr>
          <w:p>
            <w:pPr>
              <w:ind w:left="154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2"/>
              </w:rPr>
              <w:t>字段</w:t>
            </w:r>
          </w:p>
        </w:tc>
        <w:tc>
          <w:tcPr>
            <w:tcW w:w="4112" w:type="dxa"/>
            <w:vAlign w:val="top"/>
          </w:tcPr>
          <w:p>
            <w:pPr>
              <w:ind w:left="161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2"/>
              </w:rPr>
              <w:t>单位</w:t>
            </w:r>
          </w:p>
        </w:tc>
      </w:tr>
      <w:tr>
        <w:trPr>
          <w:trHeight w:val="926" w:hRule="atLeast"/>
        </w:trPr>
        <w:tc>
          <w:tcPr>
            <w:tcW w:w="1220" w:type="dxa"/>
            <w:vAlign w:val="top"/>
          </w:tcPr>
          <w:p>
            <w:pPr>
              <w:ind w:left="152" w:right="335"/>
              <w:spacing w:before="137" w:line="22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尺寸与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形态</w:t>
            </w:r>
          </w:p>
        </w:tc>
        <w:tc>
          <w:tcPr>
            <w:tcW w:w="5617" w:type="dxa"/>
            <w:vAlign w:val="top"/>
          </w:tcPr>
          <w:p>
            <w:pPr>
              <w:ind w:left="153" w:right="173"/>
              <w:spacing w:before="133" w:line="22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长轴、短轴、面积、长宽比、圆度、实心度、偏心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</w:rPr>
              <w:t>率</w:t>
            </w:r>
          </w:p>
        </w:tc>
        <w:tc>
          <w:tcPr>
            <w:tcW w:w="4112" w:type="dxa"/>
            <w:vAlign w:val="top"/>
          </w:tcPr>
          <w:p>
            <w:pPr>
              <w:pStyle w:val="TableText"/>
              <w:ind w:left="172"/>
              <w:spacing w:before="136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B8BFC6"/>
              </w:rPr>
              <w:t>px</w:t>
            </w:r>
            <w:r>
              <w:rPr>
                <w:rFonts w:ascii="Microsoft YaHei" w:hAnsi="Microsoft YaHei" w:eastAsia="Microsoft YaHei" w:cs="Microsoft YaHei"/>
                <w:color w:val="B8BFC6"/>
                <w:spacing w:val="12"/>
              </w:rPr>
              <w:t>、</w:t>
            </w:r>
            <w:r>
              <w:rPr>
                <w:color w:val="B8BFC6"/>
              </w:rPr>
              <w:t>px</w:t>
            </w:r>
            <w:r>
              <w:rPr>
                <w:rFonts w:ascii="Microsoft YaHei" w:hAnsi="Microsoft YaHei" w:eastAsia="Microsoft YaHei" w:cs="Microsoft YaHei"/>
                <w:color w:val="B8BFC6"/>
                <w:spacing w:val="12"/>
              </w:rPr>
              <w:t>、</w:t>
            </w:r>
            <w:r>
              <w:rPr>
                <w:color w:val="B8BFC6"/>
              </w:rPr>
              <w:t>px</w:t>
            </w:r>
            <w:r>
              <w:rPr>
                <w:color w:val="B8BFC6"/>
                <w:spacing w:val="12"/>
              </w:rPr>
              <w:t>²</w:t>
            </w:r>
            <w:r>
              <w:rPr>
                <w:color w:val="B8BFC6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B8BFC6"/>
                <w:spacing w:val="12"/>
              </w:rPr>
              <w:t>,其余无量纲</w:t>
            </w:r>
          </w:p>
        </w:tc>
      </w:tr>
      <w:tr>
        <w:trPr>
          <w:trHeight w:val="926" w:hRule="atLeast"/>
        </w:trPr>
        <w:tc>
          <w:tcPr>
            <w:tcW w:w="1220" w:type="dxa"/>
            <w:vAlign w:val="top"/>
          </w:tcPr>
          <w:p>
            <w:pPr>
              <w:ind w:left="152"/>
              <w:spacing w:before="138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颜色</w:t>
            </w:r>
          </w:p>
        </w:tc>
        <w:tc>
          <w:tcPr>
            <w:tcW w:w="5617" w:type="dxa"/>
            <w:vAlign w:val="top"/>
          </w:tcPr>
          <w:p>
            <w:pPr>
              <w:pStyle w:val="TableText"/>
              <w:ind w:left="149" w:right="546" w:firstLine="16"/>
              <w:spacing w:before="94" w:line="23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B8BFC6"/>
                <w:spacing w:val="-2"/>
              </w:rPr>
              <w:t>Lab</w:t>
            </w:r>
            <w:r>
              <w:rPr>
                <w:color w:val="B8BFC6"/>
                <w:spacing w:val="31"/>
              </w:rPr>
              <w:t xml:space="preserve"> </w:t>
            </w:r>
            <w:r>
              <w:rPr>
                <w:color w:val="B8BFC6"/>
                <w:spacing w:val="-2"/>
              </w:rPr>
              <w:t>L</w:t>
            </w:r>
            <w:r>
              <w:rPr>
                <w:rFonts w:ascii="Microsoft YaHei" w:hAnsi="Microsoft YaHei" w:eastAsia="Microsoft YaHei" w:cs="Microsoft YaHei"/>
                <w:color w:val="B8BFC6"/>
                <w:spacing w:val="-2"/>
              </w:rPr>
              <w:t>均值</w:t>
            </w:r>
            <w:r>
              <w:rPr>
                <w:color w:val="B8BFC6"/>
                <w:spacing w:val="-2"/>
              </w:rPr>
              <w:t>/</w:t>
            </w:r>
            <w:r>
              <w:rPr>
                <w:rFonts w:ascii="Microsoft YaHei" w:hAnsi="Microsoft YaHei" w:eastAsia="Microsoft YaHei" w:cs="Microsoft YaHei"/>
                <w:color w:val="B8BFC6"/>
                <w:spacing w:val="-2"/>
              </w:rPr>
              <w:t>标准差、</w:t>
            </w:r>
            <w:r>
              <w:rPr>
                <w:color w:val="B8BFC6"/>
                <w:spacing w:val="-2"/>
              </w:rPr>
              <w:t>a</w:t>
            </w:r>
            <w:r>
              <w:rPr>
                <w:rFonts w:ascii="Microsoft YaHei" w:hAnsi="Microsoft YaHei" w:eastAsia="Microsoft YaHei" w:cs="Microsoft YaHei"/>
                <w:color w:val="B8BFC6"/>
                <w:spacing w:val="-2"/>
              </w:rPr>
              <w:t>均值</w:t>
            </w:r>
            <w:r>
              <w:rPr>
                <w:color w:val="B8BFC6"/>
                <w:spacing w:val="-2"/>
              </w:rPr>
              <w:t>/</w:t>
            </w:r>
            <w:r>
              <w:rPr>
                <w:rFonts w:ascii="Microsoft YaHei" w:hAnsi="Microsoft YaHei" w:eastAsia="Microsoft YaHei" w:cs="Microsoft YaHei"/>
                <w:color w:val="B8BFC6"/>
                <w:spacing w:val="-2"/>
              </w:rPr>
              <w:t>标准差、</w:t>
            </w:r>
            <w:r>
              <w:rPr>
                <w:color w:val="B8BFC6"/>
                <w:spacing w:val="-2"/>
              </w:rPr>
              <w:t>b</w:t>
            </w:r>
            <w:r>
              <w:rPr>
                <w:rFonts w:ascii="Microsoft YaHei" w:hAnsi="Microsoft YaHei" w:eastAsia="Microsoft YaHei" w:cs="Microsoft YaHei"/>
                <w:color w:val="B8BFC6"/>
                <w:spacing w:val="-2"/>
              </w:rPr>
              <w:t>均值</w:t>
            </w:r>
            <w:r>
              <w:rPr>
                <w:color w:val="B8BFC6"/>
                <w:spacing w:val="-2"/>
              </w:rPr>
              <w:t>/</w:t>
            </w:r>
            <w:r>
              <w:rPr>
                <w:rFonts w:ascii="Microsoft YaHei" w:hAnsi="Microsoft YaHei" w:eastAsia="Microsoft YaHei" w:cs="Microsoft YaHei"/>
                <w:color w:val="B8BFC6"/>
                <w:spacing w:val="-2"/>
              </w:rPr>
              <w:t>标准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差，</w:t>
            </w:r>
            <w:r>
              <w:rPr>
                <w:color w:val="B8BFC6"/>
                <w:spacing w:val="-1"/>
              </w:rPr>
              <w:t>HSV S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均值、</w:t>
            </w:r>
            <w:r>
              <w:rPr>
                <w:color w:val="B8BFC6"/>
                <w:spacing w:val="-1"/>
              </w:rPr>
              <w:t>V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均值</w:t>
            </w:r>
          </w:p>
        </w:tc>
        <w:tc>
          <w:tcPr>
            <w:tcW w:w="4112" w:type="dxa"/>
            <w:vAlign w:val="top"/>
          </w:tcPr>
          <w:p>
            <w:pPr>
              <w:pStyle w:val="TableText"/>
              <w:ind w:left="158" w:right="245" w:firstLine="16"/>
              <w:spacing w:before="93" w:line="234" w:lineRule="auto"/>
              <w:rPr/>
            </w:pPr>
            <w:r>
              <w:rPr>
                <w:color w:val="B8BFC6"/>
                <w:spacing w:val="-1"/>
              </w:rPr>
              <w:t>L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为</w:t>
            </w:r>
            <w:r>
              <w:rPr>
                <w:color w:val="B8BFC6"/>
                <w:spacing w:val="-1"/>
              </w:rPr>
              <w:t>0–100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；</w:t>
            </w:r>
            <w:r>
              <w:rPr>
                <w:color w:val="B8BFC6"/>
                <w:spacing w:val="-1"/>
              </w:rPr>
              <w:t>a/b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为近似有符号</w:t>
            </w:r>
            <w:r>
              <w:rPr>
                <w:color w:val="B8BFC6"/>
                <w:spacing w:val="-1"/>
              </w:rPr>
              <w:t>Lab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尺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度；</w:t>
            </w:r>
            <w:r>
              <w:rPr>
                <w:color w:val="B8BFC6"/>
                <w:spacing w:val="-1"/>
              </w:rPr>
              <w:t>S/V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为</w:t>
            </w:r>
            <w:r>
              <w:rPr>
                <w:color w:val="B8BFC6"/>
                <w:spacing w:val="-1"/>
              </w:rPr>
              <w:t>0–1</w:t>
            </w:r>
          </w:p>
        </w:tc>
      </w:tr>
      <w:tr>
        <w:trPr>
          <w:trHeight w:val="933" w:hRule="atLeast"/>
        </w:trPr>
        <w:tc>
          <w:tcPr>
            <w:tcW w:w="1220" w:type="dxa"/>
            <w:vAlign w:val="top"/>
          </w:tcPr>
          <w:p>
            <w:pPr>
              <w:ind w:left="152" w:right="335" w:hanging="1"/>
              <w:spacing w:before="144" w:line="22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候选损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</w:rPr>
              <w:t>伤</w:t>
            </w:r>
          </w:p>
        </w:tc>
        <w:tc>
          <w:tcPr>
            <w:tcW w:w="5617" w:type="dxa"/>
            <w:vAlign w:val="top"/>
          </w:tcPr>
          <w:p>
            <w:pPr>
              <w:ind w:left="163"/>
              <w:spacing w:before="142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暗区比例、异常色比例、最大连通损伤比例</w:t>
            </w:r>
          </w:p>
        </w:tc>
        <w:tc>
          <w:tcPr>
            <w:tcW w:w="4112" w:type="dxa"/>
            <w:vAlign w:val="top"/>
          </w:tcPr>
          <w:p>
            <w:pPr>
              <w:ind w:left="161"/>
              <w:spacing w:before="145" w:line="18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无量纲</w:t>
            </w:r>
          </w:p>
        </w:tc>
      </w:tr>
    </w:tbl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481" w:right="638" w:firstLine="1"/>
        <w:spacing w:before="103" w:line="238" w:lineRule="auto"/>
        <w:rPr/>
      </w:pPr>
      <w:r>
        <w:rPr>
          <w:color w:val="B8BFC6"/>
        </w:rPr>
        <w:t>损伤字段描述图像候选区域，不是独立微生物或理化腐烂测量。原项目定义中，前两项与最</w:t>
      </w:r>
      <w:r>
        <w:rPr>
          <w:color w:val="B8BFC6"/>
          <w:spacing w:val="-1"/>
        </w:rPr>
        <w:t>大连通损伤</w:t>
      </w:r>
      <w:r>
        <w:rPr>
          <w:color w:val="B8BFC6"/>
          <w:spacing w:val="-2"/>
        </w:rPr>
        <w:t>项采用不同有效区域分母，不能无声统一或互换。</w:t>
      </w:r>
    </w:p>
    <w:p>
      <w:pPr>
        <w:pStyle w:val="BodyText"/>
        <w:ind w:left="483"/>
        <w:spacing w:before="324" w:line="184" w:lineRule="auto"/>
        <w:rPr/>
      </w:pPr>
      <w:r>
        <w:rPr>
          <w:color w:val="B8BFC6"/>
          <w:spacing w:val="-4"/>
        </w:rPr>
        <w:t>表</w:t>
      </w:r>
      <w:r>
        <w:rPr>
          <w:rFonts w:ascii="Arial" w:hAnsi="Arial" w:eastAsia="Arial" w:cs="Arial"/>
          <w:color w:val="B8BFC6"/>
          <w:spacing w:val="-4"/>
        </w:rPr>
        <w:t>A2 </w:t>
      </w:r>
      <w:r>
        <w:rPr>
          <w:color w:val="B8BFC6"/>
          <w:spacing w:val="-4"/>
        </w:rPr>
        <w:t>排序输入通道分配。</w:t>
      </w:r>
    </w:p>
    <w:p>
      <w:pPr>
        <w:spacing w:before="129"/>
        <w:rPr/>
      </w:pPr>
      <w:r/>
    </w:p>
    <w:tbl>
      <w:tblPr>
        <w:tblStyle w:val="TableNormal"/>
        <w:tblW w:w="10949" w:type="dxa"/>
        <w:tblInd w:w="487" w:type="dxa"/>
        <w:tblLayout w:type="fixed"/>
        <w:tblBorders>
          <w:top w:val="single" w:color="474D54" w:sz="6" w:space="0"/>
          <w:left w:val="single" w:color="474D54" w:sz="6" w:space="0"/>
          <w:bottom w:val="single" w:color="474D54" w:sz="6" w:space="0"/>
          <w:right w:val="single" w:color="474D54" w:sz="6" w:space="0"/>
          <w:insideH w:val="single" w:color="474D54" w:sz="6" w:space="0"/>
          <w:insideV w:val="single" w:color="474D54" w:sz="6" w:space="0"/>
        </w:tblBorders>
      </w:tblPr>
      <w:tblGrid>
        <w:gridCol w:w="1760"/>
        <w:gridCol w:w="9189"/>
      </w:tblGrid>
      <w:tr>
        <w:trPr>
          <w:trHeight w:val="542" w:hRule="atLeast"/>
        </w:trPr>
        <w:tc>
          <w:tcPr>
            <w:tcW w:w="1760" w:type="dxa"/>
            <w:vAlign w:val="top"/>
          </w:tcPr>
          <w:p>
            <w:pPr>
              <w:ind w:left="153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1"/>
              </w:rPr>
              <w:t>通道</w:t>
            </w:r>
          </w:p>
        </w:tc>
        <w:tc>
          <w:tcPr>
            <w:tcW w:w="9189" w:type="dxa"/>
            <w:vAlign w:val="top"/>
          </w:tcPr>
          <w:p>
            <w:pPr>
              <w:ind w:left="141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1"/>
              </w:rPr>
              <w:t>输入内容</w:t>
            </w:r>
          </w:p>
        </w:tc>
      </w:tr>
      <w:tr>
        <w:trPr>
          <w:trHeight w:val="928" w:hRule="atLeast"/>
        </w:trPr>
        <w:tc>
          <w:tcPr>
            <w:tcW w:w="1760" w:type="dxa"/>
            <w:vAlign w:val="top"/>
          </w:tcPr>
          <w:p>
            <w:pPr>
              <w:pStyle w:val="TableText"/>
              <w:ind w:left="176"/>
              <w:spacing w:before="93" w:line="327" w:lineRule="exact"/>
              <w:rPr/>
            </w:pPr>
            <w:r>
              <w:rPr>
                <w:color w:val="B8BFC6"/>
                <w:spacing w:val="-9"/>
                <w:position w:val="1"/>
              </w:rPr>
              <w:t>1–8</w:t>
            </w:r>
          </w:p>
        </w:tc>
        <w:tc>
          <w:tcPr>
            <w:tcW w:w="9189" w:type="dxa"/>
            <w:vAlign w:val="top"/>
          </w:tcPr>
          <w:p>
            <w:pPr>
              <w:pStyle w:val="TableText"/>
              <w:ind w:left="140" w:right="567" w:hanging="1"/>
              <w:spacing w:before="93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B8BFC6"/>
              </w:rPr>
              <w:t>原检测</w:t>
            </w:r>
            <w:r>
              <w:rPr>
                <w:color w:val="B8BFC6"/>
              </w:rPr>
              <w:t>logit</w:t>
            </w:r>
            <w:r>
              <w:rPr>
                <w:rFonts w:ascii="Microsoft YaHei" w:hAnsi="Microsoft YaHei" w:eastAsia="Microsoft YaHei" w:cs="Microsoft YaHei"/>
                <w:color w:val="B8BFC6"/>
              </w:rPr>
              <w:t>、评分</w:t>
            </w:r>
            <w:r>
              <w:rPr>
                <w:color w:val="B8BFC6"/>
              </w:rPr>
              <w:t>/100</w:t>
            </w:r>
            <w:r>
              <w:rPr>
                <w:rFonts w:ascii="Microsoft YaHei" w:hAnsi="Microsoft YaHei" w:eastAsia="Microsoft YaHei" w:cs="Microsoft YaHei"/>
                <w:color w:val="B8BFC6"/>
              </w:rPr>
              <w:t>、距最近尺寸阈值距离</w:t>
            </w:r>
            <w:r>
              <w:rPr>
                <w:color w:val="B8BFC6"/>
              </w:rPr>
              <w:t>/100</w:t>
            </w:r>
            <w:r>
              <w:rPr>
                <w:rFonts w:ascii="Microsoft YaHei" w:hAnsi="Microsoft YaHei" w:eastAsia="Microsoft YaHei" w:cs="Microsoft YaHei"/>
                <w:color w:val="B8BFC6"/>
              </w:rPr>
              <w:t>、缺梗</w:t>
            </w:r>
            <w:r>
              <w:rPr>
                <w:color w:val="B8BFC6"/>
              </w:rPr>
              <w:t>logit/10</w:t>
            </w:r>
            <w:r>
              <w:rPr>
                <w:rFonts w:ascii="Microsoft YaHei" w:hAnsi="Microsoft YaHei" w:eastAsia="Microsoft YaHei" w:cs="Microsoft YaHei"/>
                <w:color w:val="B8BFC6"/>
              </w:rPr>
              <w:t>、</w:t>
            </w:r>
            <w:r>
              <w:rPr>
                <w:color w:val="B8BFC6"/>
              </w:rPr>
              <w:t>log</w:t>
            </w:r>
            <w:r>
              <w:rPr>
                <w:rFonts w:ascii="Microsoft YaHei" w:hAnsi="Microsoft YaHei" w:eastAsia="Microsoft YaHei" w:cs="Microsoft YaHei"/>
                <w:color w:val="B8BFC6"/>
              </w:rPr>
              <w:t>掩膜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面积比</w:t>
            </w:r>
            <w:r>
              <w:rPr>
                <w:rFonts w:ascii="Microsoft YaHei" w:hAnsi="Microsoft YaHei" w:eastAsia="Microsoft YaHei" w:cs="Microsoft YaHei"/>
                <w:color w:val="B8BFC6"/>
              </w:rPr>
              <w:t>例、</w:t>
            </w:r>
            <w:r>
              <w:rPr>
                <w:color w:val="B8BFC6"/>
              </w:rPr>
              <w:t>log</w:t>
            </w:r>
            <w:r>
              <w:rPr>
                <w:rFonts w:ascii="Microsoft YaHei" w:hAnsi="Microsoft YaHei" w:eastAsia="Microsoft YaHei" w:cs="Microsoft YaHei"/>
                <w:color w:val="B8BFC6"/>
              </w:rPr>
              <w:t>框面积比例、</w:t>
            </w:r>
            <w:r>
              <w:rPr>
                <w:color w:val="B8BFC6"/>
              </w:rPr>
              <w:t>log</w:t>
            </w:r>
            <w:r>
              <w:rPr>
                <w:rFonts w:ascii="Microsoft YaHei" w:hAnsi="Microsoft YaHei" w:eastAsia="Microsoft YaHei" w:cs="Microsoft YaHei"/>
                <w:color w:val="B8BFC6"/>
              </w:rPr>
              <w:t>框长宽比、最终与原类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别一致标记</w:t>
            </w:r>
          </w:p>
        </w:tc>
      </w:tr>
    </w:tbl>
    <w:p>
      <w:pPr>
        <w:spacing w:line="191" w:lineRule="exact"/>
        <w:rPr>
          <w:rFonts w:ascii="Arial"/>
          <w:sz w:val="16"/>
        </w:rPr>
      </w:pPr>
      <w:r/>
    </w:p>
    <w:p>
      <w:pPr>
        <w:spacing w:line="191" w:lineRule="exact"/>
        <w:sectPr>
          <w:headerReference w:type="default" r:id="rId60"/>
          <w:pgSz w:w="11919" w:h="16858"/>
          <w:pgMar w:top="400" w:right="0" w:bottom="921" w:left="0" w:header="0" w:footer="6" w:gutter="0"/>
        </w:sectPr>
        <w:rPr>
          <w:rFonts w:ascii="Arial" w:hAnsi="Arial" w:eastAsia="Arial" w:cs="Arial"/>
          <w:sz w:val="16"/>
          <w:szCs w:val="16"/>
        </w:rPr>
      </w:pPr>
    </w:p>
    <w:p>
      <w:pPr>
        <w:spacing w:before="9"/>
        <w:rPr/>
      </w:pPr>
      <w:r/>
    </w:p>
    <w:p>
      <w:pPr>
        <w:spacing w:before="8"/>
        <w:rPr/>
      </w:pPr>
      <w:r/>
    </w:p>
    <w:tbl>
      <w:tblPr>
        <w:tblStyle w:val="TableNormal"/>
        <w:tblW w:w="10949" w:type="dxa"/>
        <w:tblInd w:w="487" w:type="dxa"/>
        <w:tblLayout w:type="fixed"/>
        <w:tblBorders>
          <w:top w:val="single" w:color="474D54" w:sz="6" w:space="0"/>
          <w:left w:val="single" w:color="474D54" w:sz="6" w:space="0"/>
          <w:bottom w:val="single" w:color="474D54" w:sz="6" w:space="0"/>
          <w:right w:val="single" w:color="474D54" w:sz="6" w:space="0"/>
          <w:insideH w:val="single" w:color="474D54" w:sz="6" w:space="0"/>
          <w:insideV w:val="single" w:color="474D54" w:sz="6" w:space="0"/>
        </w:tblBorders>
      </w:tblPr>
      <w:tblGrid>
        <w:gridCol w:w="1760"/>
        <w:gridCol w:w="9189"/>
      </w:tblGrid>
      <w:tr>
        <w:trPr>
          <w:trHeight w:val="545" w:hRule="atLeast"/>
        </w:trPr>
        <w:tc>
          <w:tcPr>
            <w:tcW w:w="1760" w:type="dxa"/>
            <w:vAlign w:val="top"/>
          </w:tcPr>
          <w:p>
            <w:pPr>
              <w:ind w:left="153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1"/>
              </w:rPr>
              <w:t>通道</w:t>
            </w:r>
          </w:p>
        </w:tc>
        <w:tc>
          <w:tcPr>
            <w:tcW w:w="9189" w:type="dxa"/>
            <w:vAlign w:val="top"/>
          </w:tcPr>
          <w:p>
            <w:pPr>
              <w:ind w:left="141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1"/>
              </w:rPr>
              <w:t>输入内容</w:t>
            </w:r>
          </w:p>
        </w:tc>
      </w:tr>
      <w:tr>
        <w:trPr>
          <w:trHeight w:val="537" w:hRule="atLeast"/>
        </w:trPr>
        <w:tc>
          <w:tcPr>
            <w:tcW w:w="1760" w:type="dxa"/>
            <w:vAlign w:val="top"/>
          </w:tcPr>
          <w:p>
            <w:pPr>
              <w:pStyle w:val="TableText"/>
              <w:ind w:left="160"/>
              <w:spacing w:before="90" w:line="327" w:lineRule="exact"/>
              <w:rPr/>
            </w:pPr>
            <w:r>
              <w:rPr>
                <w:color w:val="B8BFC6"/>
                <w:spacing w:val="-3"/>
                <w:position w:val="1"/>
              </w:rPr>
              <w:t>9–11</w:t>
            </w:r>
          </w:p>
        </w:tc>
        <w:tc>
          <w:tcPr>
            <w:tcW w:w="9189" w:type="dxa"/>
            <w:vAlign w:val="top"/>
          </w:tcPr>
          <w:p>
            <w:pPr>
              <w:pStyle w:val="TableText"/>
              <w:ind w:left="141"/>
              <w:spacing w:before="90" w:line="23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最终一级</w:t>
            </w:r>
            <w:r>
              <w:rPr>
                <w:color w:val="B8BFC6"/>
                <w:spacing w:val="-1"/>
              </w:rPr>
              <w:t>/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二级</w:t>
            </w:r>
            <w:r>
              <w:rPr>
                <w:color w:val="B8BFC6"/>
                <w:spacing w:val="-1"/>
              </w:rPr>
              <w:t>/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三级指示</w:t>
            </w:r>
          </w:p>
        </w:tc>
      </w:tr>
      <w:tr>
        <w:trPr>
          <w:trHeight w:val="537" w:hRule="atLeast"/>
        </w:trPr>
        <w:tc>
          <w:tcPr>
            <w:tcW w:w="1760" w:type="dxa"/>
            <w:vAlign w:val="top"/>
          </w:tcPr>
          <w:p>
            <w:pPr>
              <w:pStyle w:val="TableText"/>
              <w:ind w:left="176"/>
              <w:spacing w:before="167" w:line="197" w:lineRule="auto"/>
              <w:rPr/>
            </w:pPr>
            <w:r>
              <w:rPr>
                <w:color w:val="B8BFC6"/>
                <w:spacing w:val="-6"/>
              </w:rPr>
              <w:t>12–14</w:t>
            </w:r>
          </w:p>
        </w:tc>
        <w:tc>
          <w:tcPr>
            <w:tcW w:w="9189" w:type="dxa"/>
            <w:vAlign w:val="top"/>
          </w:tcPr>
          <w:p>
            <w:pPr>
              <w:pStyle w:val="TableText"/>
              <w:ind w:left="139"/>
              <w:spacing w:before="93" w:line="23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原始一级</w:t>
            </w:r>
            <w:r>
              <w:rPr>
                <w:color w:val="B8BFC6"/>
                <w:spacing w:val="-1"/>
              </w:rPr>
              <w:t>/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二级</w:t>
            </w:r>
            <w:r>
              <w:rPr>
                <w:color w:val="B8BFC6"/>
                <w:spacing w:val="-1"/>
              </w:rPr>
              <w:t>/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三级指示</w:t>
            </w:r>
          </w:p>
        </w:tc>
      </w:tr>
      <w:tr>
        <w:trPr>
          <w:trHeight w:val="538" w:hRule="atLeast"/>
        </w:trPr>
        <w:tc>
          <w:tcPr>
            <w:tcW w:w="1760" w:type="dxa"/>
            <w:vAlign w:val="top"/>
          </w:tcPr>
          <w:p>
            <w:pPr>
              <w:pStyle w:val="TableText"/>
              <w:ind w:left="176"/>
              <w:spacing w:before="96" w:line="327" w:lineRule="exact"/>
              <w:rPr/>
            </w:pPr>
            <w:r>
              <w:rPr>
                <w:color w:val="B8BFC6"/>
                <w:spacing w:val="-6"/>
                <w:position w:val="1"/>
              </w:rPr>
              <w:t>15–18</w:t>
            </w:r>
          </w:p>
        </w:tc>
        <w:tc>
          <w:tcPr>
            <w:tcW w:w="9189" w:type="dxa"/>
            <w:vAlign w:val="top"/>
          </w:tcPr>
          <w:p>
            <w:pPr>
              <w:pStyle w:val="TableText"/>
              <w:ind w:left="159"/>
              <w:spacing w:before="95" w:line="226" w:lineRule="auto"/>
              <w:rPr/>
            </w:pPr>
            <w:r>
              <w:rPr>
                <w:rFonts w:ascii="Microsoft YaHei" w:hAnsi="Microsoft YaHei" w:eastAsia="Microsoft YaHei" w:cs="Microsoft YaHei"/>
                <w:color w:val="B8BFC6"/>
                <w:spacing w:val="-2"/>
              </w:rPr>
              <w:t>四类邻域证据</w:t>
            </w:r>
            <w:r>
              <w:rPr>
                <w:color w:val="B8BFC6"/>
                <w:spacing w:val="-2"/>
              </w:rPr>
              <w:t>logit/10</w:t>
            </w:r>
          </w:p>
        </w:tc>
      </w:tr>
      <w:tr>
        <w:trPr>
          <w:trHeight w:val="933" w:hRule="atLeast"/>
        </w:trPr>
        <w:tc>
          <w:tcPr>
            <w:tcW w:w="1760" w:type="dxa"/>
            <w:vAlign w:val="top"/>
          </w:tcPr>
          <w:p>
            <w:pPr>
              <w:pStyle w:val="TableText"/>
              <w:ind w:left="165" w:right="209" w:firstLine="11"/>
              <w:spacing w:before="99" w:line="23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B8BFC6"/>
                <w:spacing w:val="-4"/>
              </w:rPr>
              <w:t>19–22</w:t>
            </w:r>
            <w:r>
              <w:rPr>
                <w:rFonts w:ascii="Microsoft YaHei" w:hAnsi="Microsoft YaHei" w:eastAsia="Microsoft YaHei" w:cs="Microsoft YaHei"/>
                <w:color w:val="B8BFC6"/>
                <w:spacing w:val="-4"/>
              </w:rPr>
              <w:t>，原缺</w:t>
            </w:r>
            <w:r>
              <w:rPr>
                <w:rFonts w:ascii="Microsoft YaHei" w:hAnsi="Microsoft YaHei" w:eastAsia="Microsoft YaHei" w:cs="Microsoft YaHei"/>
                <w:color w:val="B8BFC6"/>
                <w:spacing w:val="-4"/>
              </w:rPr>
              <w:t>陷方案</w:t>
            </w:r>
          </w:p>
        </w:tc>
        <w:tc>
          <w:tcPr>
            <w:tcW w:w="9189" w:type="dxa"/>
            <w:vAlign w:val="top"/>
          </w:tcPr>
          <w:p>
            <w:pPr>
              <w:pStyle w:val="TableText"/>
              <w:ind w:left="139"/>
              <w:spacing w:before="97" w:line="22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B8BFC6"/>
              </w:rPr>
              <w:t>原缺陷</w:t>
            </w:r>
            <w:r>
              <w:rPr>
                <w:color w:val="B8BFC6"/>
              </w:rPr>
              <w:t>logit/10</w:t>
            </w:r>
            <w:r>
              <w:rPr>
                <w:rFonts w:ascii="Microsoft YaHei" w:hAnsi="Microsoft YaHei" w:eastAsia="Microsoft YaHei" w:cs="Microsoft YaHei"/>
                <w:color w:val="B8BFC6"/>
              </w:rPr>
              <w:t>、二元熵</w:t>
            </w:r>
            <w:r>
              <w:rPr>
                <w:color w:val="B8BFC6"/>
              </w:rPr>
              <w:t>/log 2</w:t>
            </w:r>
            <w:r>
              <w:rPr>
                <w:rFonts w:ascii="Microsoft YaHei" w:hAnsi="Microsoft YaHei" w:eastAsia="Microsoft YaHei" w:cs="Microsoft YaHei"/>
                <w:color w:val="B8BFC6"/>
              </w:rPr>
              <w:t>、可用</w:t>
            </w:r>
            <w:r>
              <w:rPr>
                <w:rFonts w:ascii="Microsoft YaHei" w:hAnsi="Microsoft YaHei" w:eastAsia="Microsoft YaHei" w:cs="Microsoft YaHei"/>
                <w:color w:val="B8BFC6"/>
                <w:spacing w:val="-1"/>
              </w:rPr>
              <w:t>标记、零通道</w:t>
            </w:r>
          </w:p>
        </w:tc>
      </w:tr>
    </w:tbl>
    <w:p>
      <w:pPr>
        <w:pStyle w:val="BodyText"/>
        <w:ind w:left="492" w:right="891" w:hanging="11"/>
        <w:spacing w:before="305" w:line="237" w:lineRule="auto"/>
        <w:rPr/>
      </w:pPr>
      <w:r>
        <w:rPr>
          <w:color w:val="B8BFC6"/>
        </w:rPr>
        <w:t>原分级器的六项几何描述为</w:t>
      </w:r>
      <w:r>
        <w:rPr>
          <w:rFonts w:ascii="Arial" w:hAnsi="Arial" w:eastAsia="Arial" w:cs="Arial"/>
          <w:color w:val="B8BFC6"/>
        </w:rPr>
        <w:t>log</w:t>
      </w:r>
      <w:r>
        <w:rPr>
          <w:color w:val="B8BFC6"/>
        </w:rPr>
        <w:t>变换的掩膜面积、宽、高、裁剪宽、高，以及未取</w:t>
      </w:r>
      <w:r>
        <w:rPr>
          <w:rFonts w:ascii="Arial" w:hAnsi="Arial" w:eastAsia="Arial" w:cs="Arial"/>
          <w:color w:val="B8BFC6"/>
        </w:rPr>
        <w:t>log</w:t>
      </w:r>
      <w:r>
        <w:rPr>
          <w:color w:val="B8BFC6"/>
        </w:rPr>
        <w:t>的掩膜</w:t>
      </w:r>
      <w:r>
        <w:rPr>
          <w:rFonts w:ascii="Arial" w:hAnsi="Arial" w:eastAsia="Arial" w:cs="Arial"/>
          <w:color w:val="B8BFC6"/>
        </w:rPr>
        <w:t>/</w:t>
      </w:r>
      <w:r>
        <w:rPr>
          <w:color w:val="B8BFC6"/>
        </w:rPr>
        <w:t>裁</w:t>
      </w:r>
      <w:r>
        <w:rPr>
          <w:color w:val="B8BFC6"/>
          <w:spacing w:val="-1"/>
        </w:rPr>
        <w:t>剪面积</w:t>
      </w:r>
      <w:r>
        <w:rPr>
          <w:color w:val="B8BFC6"/>
          <w:spacing w:val="-1"/>
        </w:rPr>
        <w:t>比。该表示和排序表示使用各自记录的拟合总体</w:t>
      </w:r>
      <w:r>
        <w:rPr>
          <w:color w:val="B8BFC6"/>
          <w:spacing w:val="-2"/>
        </w:rPr>
        <w:t>统计进行归一化。</w:t>
      </w:r>
    </w:p>
    <w:p>
      <w:pPr>
        <w:pStyle w:val="BodyText"/>
        <w:ind w:left="483"/>
        <w:spacing w:before="327" w:line="235" w:lineRule="auto"/>
        <w:rPr/>
      </w:pPr>
      <w:r>
        <w:rPr>
          <w:color w:val="B8BFC6"/>
          <w:spacing w:val="-1"/>
        </w:rPr>
        <w:t>表</w:t>
      </w:r>
      <w:r>
        <w:rPr>
          <w:rFonts w:ascii="Arial" w:hAnsi="Arial" w:eastAsia="Arial" w:cs="Arial"/>
          <w:color w:val="B8BFC6"/>
          <w:spacing w:val="-1"/>
        </w:rPr>
        <w:t>A3 </w:t>
      </w:r>
      <w:r>
        <w:rPr>
          <w:color w:val="B8BFC6"/>
          <w:spacing w:val="-1"/>
        </w:rPr>
        <w:t>当前主表固定配置的分类别开发</w:t>
      </w:r>
      <w:r>
        <w:rPr>
          <w:rFonts w:ascii="Arial" w:hAnsi="Arial" w:eastAsia="Arial" w:cs="Arial"/>
          <w:color w:val="B8BFC6"/>
          <w:spacing w:val="-1"/>
        </w:rPr>
        <w:t>Mask</w:t>
      </w:r>
      <w:r>
        <w:rPr>
          <w:rFonts w:ascii="Arial" w:hAnsi="Arial" w:eastAsia="Arial" w:cs="Arial"/>
          <w:color w:val="B8BFC6"/>
          <w:spacing w:val="-13"/>
        </w:rPr>
        <w:t xml:space="preserve"> </w:t>
      </w:r>
      <w:r>
        <w:rPr>
          <w:rFonts w:ascii="Arial" w:hAnsi="Arial" w:eastAsia="Arial" w:cs="Arial"/>
          <w:color w:val="B8BFC6"/>
          <w:spacing w:val="-1"/>
        </w:rPr>
        <w:t>AP50/AP50–95</w:t>
      </w:r>
      <w:r>
        <w:rPr>
          <w:color w:val="B8BFC6"/>
          <w:spacing w:val="-1"/>
        </w:rPr>
        <w:t>，单位为百</w:t>
      </w:r>
      <w:r>
        <w:rPr>
          <w:color w:val="B8BFC6"/>
          <w:spacing w:val="-2"/>
        </w:rPr>
        <w:t>分比。</w:t>
      </w:r>
    </w:p>
    <w:p>
      <w:pPr>
        <w:spacing w:before="84"/>
        <w:rPr/>
      </w:pPr>
      <w:r/>
    </w:p>
    <w:tbl>
      <w:tblPr>
        <w:tblStyle w:val="TableNormal"/>
        <w:tblW w:w="10949" w:type="dxa"/>
        <w:tblInd w:w="487" w:type="dxa"/>
        <w:tblLayout w:type="fixed"/>
        <w:tblBorders>
          <w:top w:val="single" w:color="474D54" w:sz="6" w:space="0"/>
          <w:left w:val="single" w:color="474D54" w:sz="6" w:space="0"/>
          <w:bottom w:val="single" w:color="474D54" w:sz="6" w:space="0"/>
          <w:right w:val="single" w:color="474D54" w:sz="6" w:space="0"/>
          <w:insideH w:val="single" w:color="474D54" w:sz="6" w:space="0"/>
          <w:insideV w:val="single" w:color="474D54" w:sz="6" w:space="0"/>
        </w:tblBorders>
      </w:tblPr>
      <w:tblGrid>
        <w:gridCol w:w="1385"/>
        <w:gridCol w:w="2307"/>
        <w:gridCol w:w="2292"/>
        <w:gridCol w:w="2292"/>
        <w:gridCol w:w="2673"/>
      </w:tblGrid>
      <w:tr>
        <w:trPr>
          <w:trHeight w:val="544" w:hRule="atLeast"/>
        </w:trPr>
        <w:tc>
          <w:tcPr>
            <w:tcW w:w="1385" w:type="dxa"/>
            <w:vAlign w:val="top"/>
          </w:tcPr>
          <w:p>
            <w:pPr>
              <w:ind w:left="156"/>
              <w:spacing w:before="142" w:line="18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2"/>
              </w:rPr>
              <w:t>类别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215"/>
              <w:spacing w:before="151" w:line="177" w:lineRule="auto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"/>
              </w:rPr>
              <w:t>原</w:t>
            </w:r>
            <w:r>
              <w:rPr>
                <w:b/>
                <w:bCs/>
                <w:color w:val="DEDEDE"/>
                <w:spacing w:val="-1"/>
              </w:rPr>
              <w:t>YOLO</w:t>
            </w:r>
          </w:p>
        </w:tc>
        <w:tc>
          <w:tcPr>
            <w:tcW w:w="2292" w:type="dxa"/>
            <w:vAlign w:val="top"/>
          </w:tcPr>
          <w:p>
            <w:pPr>
              <w:pStyle w:val="TableText"/>
              <w:ind w:left="1528"/>
              <w:spacing w:before="169" w:line="197" w:lineRule="auto"/>
              <w:rPr/>
            </w:pPr>
            <w:r>
              <w:rPr>
                <w:b/>
                <w:bCs/>
                <w:color w:val="DEDEDE"/>
                <w:spacing w:val="-4"/>
              </w:rPr>
              <w:t>RR22</w:t>
            </w:r>
          </w:p>
        </w:tc>
        <w:tc>
          <w:tcPr>
            <w:tcW w:w="2292" w:type="dxa"/>
            <w:vAlign w:val="top"/>
          </w:tcPr>
          <w:p>
            <w:pPr>
              <w:ind w:left="932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1"/>
              </w:rPr>
              <w:t>原缺陷排序</w:t>
            </w:r>
          </w:p>
        </w:tc>
        <w:tc>
          <w:tcPr>
            <w:tcW w:w="2673" w:type="dxa"/>
            <w:vAlign w:val="top"/>
          </w:tcPr>
          <w:p>
            <w:pPr>
              <w:ind w:left="832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1"/>
              </w:rPr>
              <w:t>排序＋输出细化</w:t>
            </w:r>
          </w:p>
        </w:tc>
      </w:tr>
      <w:tr>
        <w:trPr>
          <w:trHeight w:val="537" w:hRule="atLeast"/>
        </w:trPr>
        <w:tc>
          <w:tcPr>
            <w:tcW w:w="1385" w:type="dxa"/>
            <w:vAlign w:val="top"/>
          </w:tcPr>
          <w:p>
            <w:pPr>
              <w:ind w:left="151"/>
              <w:spacing w:before="137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不合格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741"/>
              <w:spacing w:before="91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65.85 / 54.51</w:t>
            </w:r>
          </w:p>
        </w:tc>
        <w:tc>
          <w:tcPr>
            <w:tcW w:w="2292" w:type="dxa"/>
            <w:vAlign w:val="top"/>
          </w:tcPr>
          <w:p>
            <w:pPr>
              <w:pStyle w:val="TableText"/>
              <w:ind w:left="732"/>
              <w:spacing w:before="91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66.73 / 55.12</w:t>
            </w:r>
          </w:p>
        </w:tc>
        <w:tc>
          <w:tcPr>
            <w:tcW w:w="2292" w:type="dxa"/>
            <w:vAlign w:val="top"/>
          </w:tcPr>
          <w:p>
            <w:pPr>
              <w:pStyle w:val="TableText"/>
              <w:ind w:left="737"/>
              <w:spacing w:before="91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66.73 / 55.12</w:t>
            </w:r>
          </w:p>
        </w:tc>
        <w:tc>
          <w:tcPr>
            <w:tcW w:w="2673" w:type="dxa"/>
            <w:vAlign w:val="top"/>
          </w:tcPr>
          <w:p>
            <w:pPr>
              <w:pStyle w:val="TableText"/>
              <w:ind w:left="1116"/>
              <w:spacing w:before="91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66.73 / 55.77</w:t>
            </w:r>
          </w:p>
        </w:tc>
      </w:tr>
      <w:tr>
        <w:trPr>
          <w:trHeight w:val="537" w:hRule="atLeast"/>
        </w:trPr>
        <w:tc>
          <w:tcPr>
            <w:tcW w:w="1385" w:type="dxa"/>
            <w:vAlign w:val="top"/>
          </w:tcPr>
          <w:p>
            <w:pPr>
              <w:ind w:left="153"/>
              <w:spacing w:before="141" w:line="18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2"/>
              </w:rPr>
              <w:t>一级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742"/>
              <w:spacing w:before="94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90.76 /</w:t>
            </w:r>
            <w:r>
              <w:rPr>
                <w:color w:val="B8BFC6"/>
                <w:spacing w:val="14"/>
                <w:position w:val="1"/>
              </w:rPr>
              <w:t xml:space="preserve"> </w:t>
            </w:r>
            <w:r>
              <w:rPr>
                <w:color w:val="B8BFC6"/>
                <w:spacing w:val="-2"/>
                <w:position w:val="1"/>
              </w:rPr>
              <w:t>78.50</w:t>
            </w:r>
          </w:p>
        </w:tc>
        <w:tc>
          <w:tcPr>
            <w:tcW w:w="2292" w:type="dxa"/>
            <w:vAlign w:val="top"/>
          </w:tcPr>
          <w:p>
            <w:pPr>
              <w:pStyle w:val="TableText"/>
              <w:ind w:left="733"/>
              <w:spacing w:before="94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96.45 / 83.20</w:t>
            </w:r>
          </w:p>
        </w:tc>
        <w:tc>
          <w:tcPr>
            <w:tcW w:w="2292" w:type="dxa"/>
            <w:vAlign w:val="top"/>
          </w:tcPr>
          <w:p>
            <w:pPr>
              <w:pStyle w:val="TableText"/>
              <w:ind w:left="738"/>
              <w:spacing w:before="94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96.17 / 83.23</w:t>
            </w:r>
          </w:p>
        </w:tc>
        <w:tc>
          <w:tcPr>
            <w:tcW w:w="2673" w:type="dxa"/>
            <w:vAlign w:val="top"/>
          </w:tcPr>
          <w:p>
            <w:pPr>
              <w:pStyle w:val="TableText"/>
              <w:ind w:left="1117"/>
              <w:spacing w:before="94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96.17 / 83.94</w:t>
            </w:r>
          </w:p>
        </w:tc>
      </w:tr>
      <w:tr>
        <w:trPr>
          <w:trHeight w:val="537" w:hRule="atLeast"/>
        </w:trPr>
        <w:tc>
          <w:tcPr>
            <w:tcW w:w="1385" w:type="dxa"/>
            <w:vAlign w:val="top"/>
          </w:tcPr>
          <w:p>
            <w:pPr>
              <w:ind w:left="156"/>
              <w:spacing w:before="144" w:line="18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2"/>
              </w:rPr>
              <w:t>二级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741"/>
              <w:spacing w:before="97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84.63 /</w:t>
            </w:r>
            <w:r>
              <w:rPr>
                <w:color w:val="B8BFC6"/>
                <w:spacing w:val="14"/>
                <w:position w:val="1"/>
              </w:rPr>
              <w:t xml:space="preserve"> </w:t>
            </w:r>
            <w:r>
              <w:rPr>
                <w:color w:val="B8BFC6"/>
                <w:spacing w:val="-2"/>
                <w:position w:val="1"/>
              </w:rPr>
              <w:t>71.83</w:t>
            </w:r>
          </w:p>
        </w:tc>
        <w:tc>
          <w:tcPr>
            <w:tcW w:w="2292" w:type="dxa"/>
            <w:vAlign w:val="top"/>
          </w:tcPr>
          <w:p>
            <w:pPr>
              <w:pStyle w:val="TableText"/>
              <w:ind w:left="733"/>
              <w:spacing w:before="97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90.49 /</w:t>
            </w:r>
            <w:r>
              <w:rPr>
                <w:color w:val="B8BFC6"/>
                <w:spacing w:val="14"/>
                <w:position w:val="1"/>
              </w:rPr>
              <w:t xml:space="preserve"> </w:t>
            </w:r>
            <w:r>
              <w:rPr>
                <w:color w:val="B8BFC6"/>
                <w:spacing w:val="-2"/>
                <w:position w:val="1"/>
              </w:rPr>
              <w:t>76.56</w:t>
            </w:r>
          </w:p>
        </w:tc>
        <w:tc>
          <w:tcPr>
            <w:tcW w:w="2292" w:type="dxa"/>
            <w:vAlign w:val="top"/>
          </w:tcPr>
          <w:p>
            <w:pPr>
              <w:pStyle w:val="TableText"/>
              <w:ind w:left="738"/>
              <w:spacing w:before="97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92.06 /</w:t>
            </w:r>
            <w:r>
              <w:rPr>
                <w:color w:val="B8BFC6"/>
                <w:spacing w:val="14"/>
                <w:position w:val="1"/>
              </w:rPr>
              <w:t xml:space="preserve"> </w:t>
            </w:r>
            <w:r>
              <w:rPr>
                <w:color w:val="B8BFC6"/>
                <w:spacing w:val="-2"/>
                <w:position w:val="1"/>
              </w:rPr>
              <w:t>78.14</w:t>
            </w:r>
          </w:p>
        </w:tc>
        <w:tc>
          <w:tcPr>
            <w:tcW w:w="2673" w:type="dxa"/>
            <w:vAlign w:val="top"/>
          </w:tcPr>
          <w:p>
            <w:pPr>
              <w:pStyle w:val="TableText"/>
              <w:ind w:left="1117"/>
              <w:spacing w:before="97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92.06 /</w:t>
            </w:r>
            <w:r>
              <w:rPr>
                <w:color w:val="B8BFC6"/>
                <w:spacing w:val="14"/>
                <w:position w:val="1"/>
              </w:rPr>
              <w:t xml:space="preserve"> </w:t>
            </w:r>
            <w:r>
              <w:rPr>
                <w:color w:val="B8BFC6"/>
                <w:spacing w:val="-2"/>
                <w:position w:val="1"/>
              </w:rPr>
              <w:t>78.83</w:t>
            </w:r>
          </w:p>
        </w:tc>
      </w:tr>
      <w:tr>
        <w:trPr>
          <w:trHeight w:val="545" w:hRule="atLeast"/>
        </w:trPr>
        <w:tc>
          <w:tcPr>
            <w:tcW w:w="1385" w:type="dxa"/>
            <w:vAlign w:val="top"/>
          </w:tcPr>
          <w:p>
            <w:pPr>
              <w:ind w:left="156"/>
              <w:spacing w:before="147" w:line="18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2"/>
              </w:rPr>
              <w:t>三级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742"/>
              <w:spacing w:before="10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92.69 /</w:t>
            </w:r>
            <w:r>
              <w:rPr>
                <w:color w:val="B8BFC6"/>
                <w:spacing w:val="14"/>
                <w:position w:val="1"/>
              </w:rPr>
              <w:t xml:space="preserve"> </w:t>
            </w:r>
            <w:r>
              <w:rPr>
                <w:color w:val="B8BFC6"/>
                <w:spacing w:val="-2"/>
                <w:position w:val="1"/>
              </w:rPr>
              <w:t>76.00</w:t>
            </w:r>
          </w:p>
        </w:tc>
        <w:tc>
          <w:tcPr>
            <w:tcW w:w="2292" w:type="dxa"/>
            <w:vAlign w:val="top"/>
          </w:tcPr>
          <w:p>
            <w:pPr>
              <w:pStyle w:val="TableText"/>
              <w:ind w:left="733"/>
              <w:spacing w:before="10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93.15 /</w:t>
            </w:r>
            <w:r>
              <w:rPr>
                <w:color w:val="B8BFC6"/>
                <w:spacing w:val="14"/>
                <w:position w:val="1"/>
              </w:rPr>
              <w:t xml:space="preserve"> </w:t>
            </w:r>
            <w:r>
              <w:rPr>
                <w:color w:val="B8BFC6"/>
                <w:spacing w:val="-2"/>
                <w:position w:val="1"/>
              </w:rPr>
              <w:t>76.02</w:t>
            </w:r>
          </w:p>
        </w:tc>
        <w:tc>
          <w:tcPr>
            <w:tcW w:w="2292" w:type="dxa"/>
            <w:vAlign w:val="top"/>
          </w:tcPr>
          <w:p>
            <w:pPr>
              <w:pStyle w:val="TableText"/>
              <w:ind w:left="738"/>
              <w:spacing w:before="10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93.45 /</w:t>
            </w:r>
            <w:r>
              <w:rPr>
                <w:color w:val="B8BFC6"/>
                <w:spacing w:val="14"/>
                <w:position w:val="1"/>
              </w:rPr>
              <w:t xml:space="preserve"> </w:t>
            </w:r>
            <w:r>
              <w:rPr>
                <w:color w:val="B8BFC6"/>
                <w:spacing w:val="-2"/>
                <w:position w:val="1"/>
              </w:rPr>
              <w:t>76.67</w:t>
            </w:r>
          </w:p>
        </w:tc>
        <w:tc>
          <w:tcPr>
            <w:tcW w:w="2673" w:type="dxa"/>
            <w:vAlign w:val="top"/>
          </w:tcPr>
          <w:p>
            <w:pPr>
              <w:pStyle w:val="TableText"/>
              <w:ind w:left="1117"/>
              <w:spacing w:before="10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93.45 /</w:t>
            </w:r>
            <w:r>
              <w:rPr>
                <w:color w:val="B8BFC6"/>
                <w:spacing w:val="14"/>
                <w:position w:val="1"/>
              </w:rPr>
              <w:t xml:space="preserve"> </w:t>
            </w:r>
            <w:r>
              <w:rPr>
                <w:color w:val="B8BFC6"/>
                <w:spacing w:val="-2"/>
                <w:position w:val="1"/>
              </w:rPr>
              <w:t>78.40</w:t>
            </w:r>
          </w:p>
        </w:tc>
      </w:tr>
    </w:tbl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481"/>
        <w:spacing w:before="103" w:line="184" w:lineRule="auto"/>
        <w:rPr/>
      </w:pPr>
      <w:r>
        <w:rPr>
          <w:color w:val="B8BFC6"/>
          <w:spacing w:val="-1"/>
        </w:rPr>
        <w:t>分类别结果表明，总体宏平均</w:t>
      </w:r>
      <w:r>
        <w:rPr>
          <w:rFonts w:ascii="Arial" w:hAnsi="Arial" w:eastAsia="Arial" w:cs="Arial"/>
          <w:color w:val="B8BFC6"/>
          <w:spacing w:val="-1"/>
        </w:rPr>
        <w:t>AP</w:t>
      </w:r>
      <w:r>
        <w:rPr>
          <w:color w:val="B8BFC6"/>
          <w:spacing w:val="-1"/>
        </w:rPr>
        <w:t>提高不代表每个等级均改善；不合格操作错误仍</w:t>
      </w:r>
      <w:r>
        <w:rPr>
          <w:color w:val="B8BFC6"/>
          <w:spacing w:val="-2"/>
        </w:rPr>
        <w:t>需单独关注。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482" w:right="542"/>
        <w:spacing w:before="103" w:line="237" w:lineRule="auto"/>
        <w:rPr/>
      </w:pPr>
      <w:r>
        <w:rPr>
          <w:color w:val="B8BFC6"/>
        </w:rPr>
        <w:t>表</w:t>
      </w:r>
      <w:r>
        <w:rPr>
          <w:rFonts w:ascii="Arial" w:hAnsi="Arial" w:eastAsia="Arial" w:cs="Arial"/>
          <w:color w:val="B8BFC6"/>
        </w:rPr>
        <w:t>A4 </w:t>
      </w:r>
      <w:r>
        <w:rPr>
          <w:color w:val="B8BFC6"/>
        </w:rPr>
        <w:t>最终测试分类别</w:t>
      </w:r>
      <w:r>
        <w:rPr>
          <w:rFonts w:ascii="Arial" w:hAnsi="Arial" w:eastAsia="Arial" w:cs="Arial"/>
          <w:color w:val="B8BFC6"/>
        </w:rPr>
        <w:t>Mask</w:t>
      </w:r>
      <w:r>
        <w:rPr>
          <w:rFonts w:ascii="Arial" w:hAnsi="Arial" w:eastAsia="Arial" w:cs="Arial"/>
          <w:color w:val="B8BFC6"/>
          <w:spacing w:val="-13"/>
        </w:rPr>
        <w:t xml:space="preserve"> </w:t>
      </w:r>
      <w:r>
        <w:rPr>
          <w:rFonts w:ascii="Arial" w:hAnsi="Arial" w:eastAsia="Arial" w:cs="Arial"/>
          <w:color w:val="B8BFC6"/>
        </w:rPr>
        <w:t>AP50/AP50–95</w:t>
      </w:r>
      <w:r>
        <w:rPr>
          <w:color w:val="B8BFC6"/>
        </w:rPr>
        <w:t>，单位为百分比。二级</w:t>
      </w:r>
      <w:r>
        <w:rPr>
          <w:rFonts w:ascii="Arial" w:hAnsi="Arial" w:eastAsia="Arial" w:cs="Arial"/>
          <w:color w:val="B8BFC6"/>
        </w:rPr>
        <w:t>AP50</w:t>
      </w:r>
      <w:r>
        <w:rPr>
          <w:color w:val="B8BFC6"/>
        </w:rPr>
        <w:t>在排序后略降，不能</w:t>
      </w:r>
      <w:r>
        <w:rPr>
          <w:color w:val="B8BFC6"/>
          <w:spacing w:val="-1"/>
        </w:rPr>
        <w:t>把总体改善</w:t>
      </w:r>
      <w:r>
        <w:rPr>
          <w:color w:val="B8BFC6"/>
          <w:spacing w:val="-5"/>
        </w:rPr>
        <w:t>解释为每类均改善。</w:t>
      </w:r>
    </w:p>
    <w:p>
      <w:pPr>
        <w:spacing w:before="64"/>
        <w:rPr/>
      </w:pPr>
      <w:r/>
    </w:p>
    <w:tbl>
      <w:tblPr>
        <w:tblStyle w:val="TableNormal"/>
        <w:tblW w:w="10949" w:type="dxa"/>
        <w:tblInd w:w="487" w:type="dxa"/>
        <w:tblLayout w:type="fixed"/>
        <w:tblBorders>
          <w:top w:val="single" w:color="474D54" w:sz="6" w:space="0"/>
          <w:left w:val="single" w:color="474D54" w:sz="6" w:space="0"/>
          <w:bottom w:val="single" w:color="474D54" w:sz="6" w:space="0"/>
          <w:right w:val="single" w:color="474D54" w:sz="6" w:space="0"/>
          <w:insideH w:val="single" w:color="474D54" w:sz="6" w:space="0"/>
          <w:insideV w:val="single" w:color="474D54" w:sz="6" w:space="0"/>
        </w:tblBorders>
      </w:tblPr>
      <w:tblGrid>
        <w:gridCol w:w="1355"/>
        <w:gridCol w:w="2232"/>
        <w:gridCol w:w="2217"/>
        <w:gridCol w:w="2232"/>
        <w:gridCol w:w="2913"/>
      </w:tblGrid>
      <w:tr>
        <w:trPr>
          <w:trHeight w:val="544" w:hRule="atLeast"/>
        </w:trPr>
        <w:tc>
          <w:tcPr>
            <w:tcW w:w="1355" w:type="dxa"/>
            <w:vAlign w:val="top"/>
          </w:tcPr>
          <w:p>
            <w:pPr>
              <w:ind w:left="156"/>
              <w:spacing w:before="142" w:line="18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2"/>
              </w:rPr>
              <w:t>类别</w:t>
            </w:r>
          </w:p>
        </w:tc>
        <w:tc>
          <w:tcPr>
            <w:tcW w:w="2232" w:type="dxa"/>
            <w:vAlign w:val="top"/>
          </w:tcPr>
          <w:p>
            <w:pPr>
              <w:pStyle w:val="TableText"/>
              <w:ind w:left="1140"/>
              <w:spacing w:before="151" w:line="177" w:lineRule="auto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DEDEDE"/>
                <w:spacing w:val="-1"/>
              </w:rPr>
              <w:t>原</w:t>
            </w:r>
            <w:r>
              <w:rPr>
                <w:b/>
                <w:bCs/>
                <w:color w:val="DEDEDE"/>
                <w:spacing w:val="-1"/>
              </w:rPr>
              <w:t>YOLO</w:t>
            </w:r>
          </w:p>
        </w:tc>
        <w:tc>
          <w:tcPr>
            <w:tcW w:w="2217" w:type="dxa"/>
            <w:vAlign w:val="top"/>
          </w:tcPr>
          <w:p>
            <w:pPr>
              <w:pStyle w:val="TableText"/>
              <w:ind w:left="1462"/>
              <w:spacing w:before="169" w:line="197" w:lineRule="auto"/>
              <w:rPr/>
            </w:pPr>
            <w:r>
              <w:rPr>
                <w:b/>
                <w:bCs/>
                <w:color w:val="DEDEDE"/>
                <w:spacing w:val="-4"/>
              </w:rPr>
              <w:t>RR22</w:t>
            </w:r>
          </w:p>
        </w:tc>
        <w:tc>
          <w:tcPr>
            <w:tcW w:w="2232" w:type="dxa"/>
            <w:vAlign w:val="top"/>
          </w:tcPr>
          <w:p>
            <w:pPr>
              <w:ind w:left="1358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2"/>
              </w:rPr>
              <w:t>主方案</w:t>
            </w:r>
          </w:p>
        </w:tc>
        <w:tc>
          <w:tcPr>
            <w:tcW w:w="2913" w:type="dxa"/>
            <w:vAlign w:val="top"/>
          </w:tcPr>
          <w:p>
            <w:pPr>
              <w:ind w:left="834"/>
              <w:spacing w:before="141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DEDEDE"/>
                <w:spacing w:val="-1"/>
              </w:rPr>
              <w:t>主方案＋输出细化</w:t>
            </w:r>
          </w:p>
        </w:tc>
      </w:tr>
      <w:tr>
        <w:trPr>
          <w:trHeight w:val="537" w:hRule="atLeast"/>
        </w:trPr>
        <w:tc>
          <w:tcPr>
            <w:tcW w:w="1355" w:type="dxa"/>
            <w:vAlign w:val="top"/>
          </w:tcPr>
          <w:p>
            <w:pPr>
              <w:ind w:left="151"/>
              <w:spacing w:before="137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1"/>
              </w:rPr>
              <w:t>不合格</w:t>
            </w:r>
          </w:p>
        </w:tc>
        <w:tc>
          <w:tcPr>
            <w:tcW w:w="2232" w:type="dxa"/>
            <w:vAlign w:val="top"/>
          </w:tcPr>
          <w:p>
            <w:pPr>
              <w:pStyle w:val="TableText"/>
              <w:ind w:left="659"/>
              <w:spacing w:before="91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48.53 / 38.41</w:t>
            </w:r>
          </w:p>
        </w:tc>
        <w:tc>
          <w:tcPr>
            <w:tcW w:w="2217" w:type="dxa"/>
            <w:vAlign w:val="top"/>
          </w:tcPr>
          <w:p>
            <w:pPr>
              <w:pStyle w:val="TableText"/>
              <w:ind w:left="660"/>
              <w:spacing w:before="91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48.66 / 38.44</w:t>
            </w:r>
          </w:p>
        </w:tc>
        <w:tc>
          <w:tcPr>
            <w:tcW w:w="2232" w:type="dxa"/>
            <w:vAlign w:val="top"/>
          </w:tcPr>
          <w:p>
            <w:pPr>
              <w:pStyle w:val="TableText"/>
              <w:ind w:left="675"/>
              <w:spacing w:before="91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48.66 / 38.44</w:t>
            </w:r>
          </w:p>
        </w:tc>
        <w:tc>
          <w:tcPr>
            <w:tcW w:w="2913" w:type="dxa"/>
            <w:vAlign w:val="top"/>
          </w:tcPr>
          <w:p>
            <w:pPr>
              <w:pStyle w:val="TableText"/>
              <w:ind w:left="1350"/>
              <w:spacing w:before="91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48.66 / 40.24</w:t>
            </w:r>
          </w:p>
        </w:tc>
      </w:tr>
      <w:tr>
        <w:trPr>
          <w:trHeight w:val="537" w:hRule="atLeast"/>
        </w:trPr>
        <w:tc>
          <w:tcPr>
            <w:tcW w:w="1355" w:type="dxa"/>
            <w:vAlign w:val="top"/>
          </w:tcPr>
          <w:p>
            <w:pPr>
              <w:ind w:left="153"/>
              <w:spacing w:before="141" w:line="18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2"/>
              </w:rPr>
              <w:t>一级</w:t>
            </w:r>
          </w:p>
        </w:tc>
        <w:tc>
          <w:tcPr>
            <w:tcW w:w="2232" w:type="dxa"/>
            <w:vAlign w:val="top"/>
          </w:tcPr>
          <w:p>
            <w:pPr>
              <w:pStyle w:val="TableText"/>
              <w:ind w:left="666"/>
              <w:spacing w:before="94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87.92 /</w:t>
            </w:r>
            <w:r>
              <w:rPr>
                <w:color w:val="B8BFC6"/>
                <w:spacing w:val="14"/>
                <w:position w:val="1"/>
              </w:rPr>
              <w:t xml:space="preserve"> </w:t>
            </w:r>
            <w:r>
              <w:rPr>
                <w:color w:val="B8BFC6"/>
                <w:spacing w:val="-2"/>
                <w:position w:val="1"/>
              </w:rPr>
              <w:t>76.07</w:t>
            </w:r>
          </w:p>
        </w:tc>
        <w:tc>
          <w:tcPr>
            <w:tcW w:w="2217" w:type="dxa"/>
            <w:vAlign w:val="top"/>
          </w:tcPr>
          <w:p>
            <w:pPr>
              <w:pStyle w:val="TableText"/>
              <w:ind w:left="667"/>
              <w:spacing w:before="94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91.73 /</w:t>
            </w:r>
            <w:r>
              <w:rPr>
                <w:color w:val="B8BFC6"/>
                <w:spacing w:val="14"/>
                <w:position w:val="1"/>
              </w:rPr>
              <w:t xml:space="preserve"> </w:t>
            </w:r>
            <w:r>
              <w:rPr>
                <w:color w:val="B8BFC6"/>
                <w:spacing w:val="-2"/>
                <w:position w:val="1"/>
              </w:rPr>
              <w:t>79.17</w:t>
            </w:r>
          </w:p>
        </w:tc>
        <w:tc>
          <w:tcPr>
            <w:tcW w:w="2232" w:type="dxa"/>
            <w:vAlign w:val="top"/>
          </w:tcPr>
          <w:p>
            <w:pPr>
              <w:pStyle w:val="TableText"/>
              <w:ind w:left="682"/>
              <w:spacing w:before="94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93.29 / 80.77</w:t>
            </w:r>
          </w:p>
        </w:tc>
        <w:tc>
          <w:tcPr>
            <w:tcW w:w="2913" w:type="dxa"/>
            <w:vAlign w:val="top"/>
          </w:tcPr>
          <w:p>
            <w:pPr>
              <w:pStyle w:val="TableText"/>
              <w:ind w:left="1357"/>
              <w:spacing w:before="94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93.29 / 80.54</w:t>
            </w:r>
          </w:p>
        </w:tc>
      </w:tr>
      <w:tr>
        <w:trPr>
          <w:trHeight w:val="537" w:hRule="atLeast"/>
        </w:trPr>
        <w:tc>
          <w:tcPr>
            <w:tcW w:w="1355" w:type="dxa"/>
            <w:vAlign w:val="top"/>
          </w:tcPr>
          <w:p>
            <w:pPr>
              <w:ind w:left="156"/>
              <w:spacing w:before="144" w:line="18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2"/>
              </w:rPr>
              <w:t>二级</w:t>
            </w:r>
          </w:p>
        </w:tc>
        <w:tc>
          <w:tcPr>
            <w:tcW w:w="2232" w:type="dxa"/>
            <w:vAlign w:val="top"/>
          </w:tcPr>
          <w:p>
            <w:pPr>
              <w:pStyle w:val="TableText"/>
              <w:ind w:left="666"/>
              <w:spacing w:before="97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83.90 /</w:t>
            </w:r>
            <w:r>
              <w:rPr>
                <w:color w:val="B8BFC6"/>
                <w:spacing w:val="14"/>
                <w:position w:val="1"/>
              </w:rPr>
              <w:t xml:space="preserve"> </w:t>
            </w:r>
            <w:r>
              <w:rPr>
                <w:color w:val="B8BFC6"/>
                <w:spacing w:val="-2"/>
                <w:position w:val="1"/>
              </w:rPr>
              <w:t>72.08</w:t>
            </w:r>
          </w:p>
        </w:tc>
        <w:tc>
          <w:tcPr>
            <w:tcW w:w="2217" w:type="dxa"/>
            <w:vAlign w:val="top"/>
          </w:tcPr>
          <w:p>
            <w:pPr>
              <w:pStyle w:val="TableText"/>
              <w:ind w:left="666"/>
              <w:spacing w:before="97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85.93 /</w:t>
            </w:r>
            <w:r>
              <w:rPr>
                <w:color w:val="B8BFC6"/>
                <w:spacing w:val="14"/>
                <w:position w:val="1"/>
              </w:rPr>
              <w:t xml:space="preserve"> </w:t>
            </w:r>
            <w:r>
              <w:rPr>
                <w:color w:val="B8BFC6"/>
                <w:spacing w:val="-2"/>
                <w:position w:val="1"/>
              </w:rPr>
              <w:t>73.67</w:t>
            </w:r>
          </w:p>
        </w:tc>
        <w:tc>
          <w:tcPr>
            <w:tcW w:w="2232" w:type="dxa"/>
            <w:vAlign w:val="top"/>
          </w:tcPr>
          <w:p>
            <w:pPr>
              <w:pStyle w:val="TableText"/>
              <w:ind w:left="682"/>
              <w:spacing w:before="97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85.83 /</w:t>
            </w:r>
            <w:r>
              <w:rPr>
                <w:color w:val="B8BFC6"/>
                <w:spacing w:val="14"/>
                <w:position w:val="1"/>
              </w:rPr>
              <w:t xml:space="preserve"> </w:t>
            </w:r>
            <w:r>
              <w:rPr>
                <w:color w:val="B8BFC6"/>
                <w:spacing w:val="-2"/>
                <w:position w:val="1"/>
              </w:rPr>
              <w:t>73.57</w:t>
            </w:r>
          </w:p>
        </w:tc>
        <w:tc>
          <w:tcPr>
            <w:tcW w:w="2913" w:type="dxa"/>
            <w:vAlign w:val="top"/>
          </w:tcPr>
          <w:p>
            <w:pPr>
              <w:pStyle w:val="TableText"/>
              <w:ind w:left="1357"/>
              <w:spacing w:before="97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85.83 /</w:t>
            </w:r>
            <w:r>
              <w:rPr>
                <w:color w:val="B8BFC6"/>
                <w:spacing w:val="14"/>
                <w:position w:val="1"/>
              </w:rPr>
              <w:t xml:space="preserve"> </w:t>
            </w:r>
            <w:r>
              <w:rPr>
                <w:color w:val="B8BFC6"/>
                <w:spacing w:val="-2"/>
                <w:position w:val="1"/>
              </w:rPr>
              <w:t>74.29</w:t>
            </w:r>
          </w:p>
        </w:tc>
      </w:tr>
      <w:tr>
        <w:trPr>
          <w:trHeight w:val="545" w:hRule="atLeast"/>
        </w:trPr>
        <w:tc>
          <w:tcPr>
            <w:tcW w:w="1355" w:type="dxa"/>
            <w:vAlign w:val="top"/>
          </w:tcPr>
          <w:p>
            <w:pPr>
              <w:ind w:left="156"/>
              <w:spacing w:before="147" w:line="18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B8BFC6"/>
                <w:spacing w:val="-2"/>
              </w:rPr>
              <w:t>三级</w:t>
            </w:r>
          </w:p>
        </w:tc>
        <w:tc>
          <w:tcPr>
            <w:tcW w:w="2232" w:type="dxa"/>
            <w:vAlign w:val="top"/>
          </w:tcPr>
          <w:p>
            <w:pPr>
              <w:pStyle w:val="TableText"/>
              <w:ind w:left="666"/>
              <w:spacing w:before="10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91.80 /</w:t>
            </w:r>
            <w:r>
              <w:rPr>
                <w:color w:val="B8BFC6"/>
                <w:spacing w:val="14"/>
                <w:position w:val="1"/>
              </w:rPr>
              <w:t xml:space="preserve"> </w:t>
            </w:r>
            <w:r>
              <w:rPr>
                <w:color w:val="B8BFC6"/>
                <w:spacing w:val="-2"/>
                <w:position w:val="1"/>
              </w:rPr>
              <w:t>76.79</w:t>
            </w:r>
          </w:p>
        </w:tc>
        <w:tc>
          <w:tcPr>
            <w:tcW w:w="2217" w:type="dxa"/>
            <w:vAlign w:val="top"/>
          </w:tcPr>
          <w:p>
            <w:pPr>
              <w:pStyle w:val="TableText"/>
              <w:ind w:left="667"/>
              <w:spacing w:before="10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92.68 /</w:t>
            </w:r>
            <w:r>
              <w:rPr>
                <w:color w:val="B8BFC6"/>
                <w:spacing w:val="14"/>
                <w:position w:val="1"/>
              </w:rPr>
              <w:t xml:space="preserve"> </w:t>
            </w:r>
            <w:r>
              <w:rPr>
                <w:color w:val="B8BFC6"/>
                <w:spacing w:val="-2"/>
                <w:position w:val="1"/>
              </w:rPr>
              <w:t>77.35</w:t>
            </w:r>
          </w:p>
        </w:tc>
        <w:tc>
          <w:tcPr>
            <w:tcW w:w="2232" w:type="dxa"/>
            <w:vAlign w:val="top"/>
          </w:tcPr>
          <w:p>
            <w:pPr>
              <w:pStyle w:val="TableText"/>
              <w:ind w:left="682"/>
              <w:spacing w:before="100" w:line="327" w:lineRule="exact"/>
              <w:rPr/>
            </w:pPr>
            <w:r>
              <w:rPr>
                <w:color w:val="B8BFC6"/>
                <w:spacing w:val="-2"/>
                <w:position w:val="1"/>
              </w:rPr>
              <w:t>95.09 /</w:t>
            </w:r>
            <w:r>
              <w:rPr>
                <w:color w:val="B8BFC6"/>
                <w:spacing w:val="14"/>
                <w:position w:val="1"/>
              </w:rPr>
              <w:t xml:space="preserve"> </w:t>
            </w:r>
            <w:r>
              <w:rPr>
                <w:color w:val="B8BFC6"/>
                <w:spacing w:val="-2"/>
                <w:position w:val="1"/>
              </w:rPr>
              <w:t>79.36</w:t>
            </w:r>
          </w:p>
        </w:tc>
        <w:tc>
          <w:tcPr>
            <w:tcW w:w="2913" w:type="dxa"/>
            <w:vAlign w:val="top"/>
          </w:tcPr>
          <w:p>
            <w:pPr>
              <w:pStyle w:val="TableText"/>
              <w:ind w:left="1357"/>
              <w:spacing w:before="100" w:line="327" w:lineRule="exact"/>
              <w:rPr/>
            </w:pPr>
            <w:r>
              <w:rPr>
                <w:color w:val="B8BFC6"/>
                <w:spacing w:val="-1"/>
                <w:position w:val="1"/>
              </w:rPr>
              <w:t>95.09 / 81.40</w:t>
            </w:r>
          </w:p>
        </w:tc>
      </w:tr>
    </w:tbl>
    <w:p>
      <w:pPr>
        <w:pStyle w:val="BodyText"/>
        <w:ind w:left="483"/>
        <w:spacing w:before="329" w:line="183" w:lineRule="auto"/>
        <w:outlineLvl w:val="1"/>
        <w:rPr>
          <w:sz w:val="39"/>
          <w:szCs w:val="39"/>
        </w:rPr>
      </w:pPr>
      <w:r>
        <w:rPr>
          <w:sz w:val="39"/>
          <w:szCs w:val="39"/>
          <w:b/>
          <w:bCs/>
          <w:color w:val="DEDEDE"/>
          <w:spacing w:val="-8"/>
        </w:rPr>
        <w:t>参考文献</w:t>
      </w:r>
    </w:p>
    <w:p>
      <w:pPr>
        <w:ind w:left="497" w:right="1045" w:hanging="1"/>
        <w:spacing w:before="290" w:line="31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B8BFC6"/>
          <w:spacing w:val="-2"/>
        </w:rPr>
        <w:t>[</w:t>
      </w:r>
      <w:hyperlink w:history="true" w:anchor="bookmark30">
        <w:r>
          <w:rPr>
            <w:rFonts w:ascii="Arial" w:hAnsi="Arial" w:eastAsia="Arial" w:cs="Arial"/>
            <w:sz w:val="24"/>
            <w:szCs w:val="24"/>
            <w:color w:val="B8BFC6"/>
            <w:spacing w:val="-2"/>
          </w:rPr>
          <w:t>1</w:t>
        </w:r>
      </w:hyperlink>
      <w:r>
        <w:rPr>
          <w:rFonts w:ascii="Arial" w:hAnsi="Arial" w:eastAsia="Arial" w:cs="Arial"/>
          <w:sz w:val="24"/>
          <w:szCs w:val="24"/>
          <w:color w:val="B8BFC6"/>
          <w:spacing w:val="-2"/>
        </w:rPr>
        <w:t>] Wang,</w:t>
      </w:r>
      <w:r>
        <w:rPr>
          <w:rFonts w:ascii="Arial" w:hAnsi="Arial" w:eastAsia="Arial" w:cs="Arial"/>
          <w:sz w:val="24"/>
          <w:szCs w:val="24"/>
          <w:color w:val="B8BFC6"/>
          <w:spacing w:val="35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R., Tan,</w:t>
      </w:r>
      <w:r>
        <w:rPr>
          <w:rFonts w:ascii="Arial" w:hAnsi="Arial" w:eastAsia="Arial" w:cs="Arial"/>
          <w:sz w:val="24"/>
          <w:szCs w:val="24"/>
          <w:color w:val="B8BFC6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D., Ju, X., and Wang, J.</w:t>
      </w:r>
      <w:r>
        <w:rPr>
          <w:rFonts w:ascii="Arial" w:hAnsi="Arial" w:eastAsia="Arial" w:cs="Arial"/>
          <w:sz w:val="24"/>
          <w:szCs w:val="24"/>
          <w:color w:val="B8BFC6"/>
          <w:spacing w:val="-13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An Object</w:t>
      </w:r>
      <w:r>
        <w:rPr>
          <w:rFonts w:ascii="Arial" w:hAnsi="Arial" w:eastAsia="Arial" w:cs="Arial"/>
          <w:sz w:val="24"/>
          <w:szCs w:val="24"/>
          <w:color w:val="B8BFC6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Feature-Based</w:t>
      </w:r>
      <w:r>
        <w:rPr>
          <w:rFonts w:ascii="Arial" w:hAnsi="Arial" w:eastAsia="Arial" w:cs="Arial"/>
          <w:sz w:val="24"/>
          <w:szCs w:val="24"/>
          <w:color w:val="B8BFC6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Recognition and</w:t>
      </w:r>
      <w:r>
        <w:rPr>
          <w:rFonts w:ascii="Arial" w:hAnsi="Arial" w:eastAsia="Arial" w:cs="Arial"/>
          <w:sz w:val="24"/>
          <w:szCs w:val="24"/>
          <w:color w:val="B8BFC6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Localization</w:t>
      </w:r>
      <w:r>
        <w:rPr>
          <w:rFonts w:ascii="Arial" w:hAnsi="Arial" w:eastAsia="Arial" w:cs="Arial"/>
          <w:sz w:val="24"/>
          <w:szCs w:val="24"/>
          <w:color w:val="B8BFC6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</w:rPr>
        <w:t>Method for Wolfberry.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 xml:space="preserve"> Sensors, 25(11), 3365, 2025. </w:t>
      </w:r>
      <w:hyperlink w:history="true" r:id="rId62">
        <w:r>
          <w:rPr>
            <w:rFonts w:ascii="Arial" w:hAnsi="Arial" w:eastAsia="Arial" w:cs="Arial"/>
            <w:sz w:val="24"/>
            <w:szCs w:val="24"/>
            <w:u w:val="single" w:color="auto"/>
            <w:color w:val="E0E0E0"/>
            <w:spacing w:val="-1"/>
          </w:rPr>
          <w:t>Source</w:t>
        </w:r>
      </w:hyperlink>
      <w:r>
        <w:rPr>
          <w:rFonts w:ascii="Arial" w:hAnsi="Arial" w:eastAsia="Arial" w:cs="Arial"/>
          <w:sz w:val="24"/>
          <w:szCs w:val="24"/>
          <w:color w:val="B8BFC6"/>
          <w:spacing w:val="-1"/>
        </w:rPr>
        <w:t>.</w:t>
      </w:r>
    </w:p>
    <w:p>
      <w:pPr>
        <w:spacing w:line="316" w:lineRule="auto"/>
        <w:sectPr>
          <w:headerReference w:type="default" r:id="rId61"/>
          <w:pgSz w:w="11919" w:h="16858"/>
          <w:pgMar w:top="400" w:right="0" w:bottom="921" w:left="0" w:header="0" w:footer="6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448" w:lineRule="auto"/>
        <w:rPr>
          <w:rFonts w:ascii="Arial"/>
          <w:sz w:val="21"/>
        </w:rPr>
      </w:pPr>
      <w:r/>
    </w:p>
    <w:p>
      <w:pPr>
        <w:ind w:left="496"/>
        <w:spacing w:before="69" w:line="327" w:lineRule="exact"/>
        <w:rPr>
          <w:rFonts w:ascii="Arial" w:hAnsi="Arial" w:eastAsia="Arial" w:cs="Arial"/>
          <w:sz w:val="24"/>
          <w:szCs w:val="24"/>
        </w:rPr>
      </w:pPr>
      <w:bookmarkStart w:name="bookmark2" w:id="1"/>
      <w:bookmarkEnd w:id="1"/>
      <w:bookmarkStart w:name="bookmark14" w:id="2"/>
      <w:bookmarkEnd w:id="2"/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[2]</w:t>
      </w:r>
      <w:r>
        <w:rPr>
          <w:rFonts w:ascii="Arial" w:hAnsi="Arial" w:eastAsia="Arial" w:cs="Arial"/>
          <w:sz w:val="24"/>
          <w:szCs w:val="24"/>
          <w:color w:val="B8BFC6"/>
          <w:spacing w:val="1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Huang,</w:t>
      </w:r>
      <w:r>
        <w:rPr>
          <w:rFonts w:ascii="Arial" w:hAnsi="Arial" w:eastAsia="Arial" w:cs="Arial"/>
          <w:sz w:val="24"/>
          <w:szCs w:val="24"/>
          <w:color w:val="B8BFC6"/>
          <w:spacing w:val="1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R., Zhai, Y., Sun,</w:t>
      </w:r>
      <w:r>
        <w:rPr>
          <w:rFonts w:ascii="Arial" w:hAnsi="Arial" w:eastAsia="Arial" w:cs="Arial"/>
          <w:sz w:val="24"/>
          <w:szCs w:val="24"/>
          <w:color w:val="B8BFC6"/>
          <w:spacing w:val="1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B.,</w:t>
      </w:r>
      <w:r>
        <w:rPr>
          <w:rFonts w:ascii="Arial" w:hAnsi="Arial" w:eastAsia="Arial" w:cs="Arial"/>
          <w:sz w:val="24"/>
          <w:szCs w:val="24"/>
          <w:color w:val="B8BFC6"/>
          <w:spacing w:val="1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Elsher</w:t>
      </w:r>
      <w:r>
        <w:rPr>
          <w:rFonts w:ascii="Arial" w:hAnsi="Arial" w:eastAsia="Arial" w:cs="Arial"/>
          <w:sz w:val="24"/>
          <w:szCs w:val="24"/>
          <w:color w:val="B8BFC6"/>
          <w:spacing w:val="-3"/>
          <w:position w:val="4"/>
        </w:rPr>
        <w:t>biny, O., Zhou,</w:t>
      </w:r>
      <w:r>
        <w:rPr>
          <w:rFonts w:ascii="Arial" w:hAnsi="Arial" w:eastAsia="Arial" w:cs="Arial"/>
          <w:sz w:val="24"/>
          <w:szCs w:val="24"/>
          <w:color w:val="B8BFC6"/>
          <w:spacing w:val="1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  <w:position w:val="4"/>
        </w:rPr>
        <w:t>L., and Zhao, Y.</w:t>
      </w:r>
      <w:r>
        <w:rPr>
          <w:rFonts w:ascii="Arial" w:hAnsi="Arial" w:eastAsia="Arial" w:cs="Arial"/>
          <w:sz w:val="24"/>
          <w:szCs w:val="24"/>
          <w:color w:val="B8BFC6"/>
          <w:spacing w:val="18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  <w:position w:val="4"/>
        </w:rPr>
        <w:t>Detection</w:t>
      </w:r>
      <w:r>
        <w:rPr>
          <w:rFonts w:ascii="Arial" w:hAnsi="Arial" w:eastAsia="Arial" w:cs="Arial"/>
          <w:sz w:val="24"/>
          <w:szCs w:val="24"/>
          <w:color w:val="B8BFC6"/>
          <w:spacing w:val="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  <w:position w:val="4"/>
        </w:rPr>
        <w:t>of</w:t>
      </w:r>
      <w:r>
        <w:rPr>
          <w:rFonts w:ascii="Arial" w:hAnsi="Arial" w:eastAsia="Arial" w:cs="Arial"/>
          <w:sz w:val="24"/>
          <w:szCs w:val="24"/>
          <w:color w:val="B8BFC6"/>
          <w:spacing w:val="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  <w:position w:val="4"/>
        </w:rPr>
        <w:t>Kernel-Level</w:t>
      </w:r>
    </w:p>
    <w:p>
      <w:pPr>
        <w:ind w:left="505" w:right="971" w:hanging="15"/>
        <w:spacing w:before="61" w:line="31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B8BFC6"/>
          <w:spacing w:val="-1"/>
        </w:rPr>
        <w:t>Spoilage</w:t>
      </w:r>
      <w:r>
        <w:rPr>
          <w:rFonts w:ascii="Arial" w:hAnsi="Arial" w:eastAsia="Arial" w:cs="Arial"/>
          <w:sz w:val="24"/>
          <w:szCs w:val="24"/>
          <w:color w:val="B8BFC6"/>
          <w:spacing w:val="-13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Adulteration</w:t>
      </w:r>
      <w:r>
        <w:rPr>
          <w:rFonts w:ascii="Arial" w:hAnsi="Arial" w:eastAsia="Arial" w:cs="Arial"/>
          <w:sz w:val="24"/>
          <w:szCs w:val="24"/>
          <w:color w:val="B8BFC6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in</w:t>
      </w:r>
      <w:r>
        <w:rPr>
          <w:rFonts w:ascii="Arial" w:hAnsi="Arial" w:eastAsia="Arial" w:cs="Arial"/>
          <w:sz w:val="24"/>
          <w:szCs w:val="24"/>
          <w:color w:val="B8BFC6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Dried Goji</w:t>
      </w:r>
      <w:r>
        <w:rPr>
          <w:rFonts w:ascii="Arial" w:hAnsi="Arial" w:eastAsia="Arial" w:cs="Arial"/>
          <w:sz w:val="24"/>
          <w:szCs w:val="24"/>
          <w:color w:val="B8BFC6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Berries</w:t>
      </w:r>
      <w:r>
        <w:rPr>
          <w:rFonts w:ascii="Arial" w:hAnsi="Arial" w:eastAsia="Arial" w:cs="Arial"/>
          <w:sz w:val="24"/>
          <w:szCs w:val="24"/>
          <w:color w:val="B8BFC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Using Zero-Sho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t</w:t>
      </w:r>
      <w:r>
        <w:rPr>
          <w:rFonts w:ascii="Arial" w:hAnsi="Arial" w:eastAsia="Arial" w:cs="Arial"/>
          <w:sz w:val="24"/>
          <w:szCs w:val="24"/>
          <w:color w:val="B8BFC6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Learning and Computer Vision.</w:t>
      </w:r>
      <w:r>
        <w:rPr>
          <w:rFonts w:ascii="Arial" w:hAnsi="Arial" w:eastAsia="Arial" w:cs="Arial"/>
          <w:sz w:val="24"/>
          <w:szCs w:val="24"/>
          <w:color w:val="B8BFC6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Foods,</w:t>
      </w:r>
      <w:r>
        <w:rPr>
          <w:rFonts w:ascii="Arial" w:hAnsi="Arial" w:eastAsia="Arial" w:cs="Arial"/>
          <w:sz w:val="24"/>
          <w:szCs w:val="24"/>
          <w:color w:val="B8BFC6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</w:rPr>
        <w:t>15(16), 2869, 2026. </w:t>
      </w:r>
      <w:hyperlink w:history="true" r:id="rId64">
        <w:r>
          <w:rPr>
            <w:rFonts w:ascii="Arial" w:hAnsi="Arial" w:eastAsia="Arial" w:cs="Arial"/>
            <w:sz w:val="24"/>
            <w:szCs w:val="24"/>
            <w:u w:val="single" w:color="auto"/>
            <w:color w:val="E0E0E0"/>
          </w:rPr>
          <w:t>S</w:t>
        </w:r>
        <w:r>
          <w:rPr>
            <w:rFonts w:ascii="Arial" w:hAnsi="Arial" w:eastAsia="Arial" w:cs="Arial"/>
            <w:sz w:val="24"/>
            <w:szCs w:val="24"/>
            <w:u w:val="single" w:color="auto"/>
            <w:color w:val="E0E0E0"/>
            <w:spacing w:val="-1"/>
          </w:rPr>
          <w:t>ource</w:t>
        </w:r>
      </w:hyperlink>
      <w:r>
        <w:rPr>
          <w:rFonts w:ascii="Arial" w:hAnsi="Arial" w:eastAsia="Arial" w:cs="Arial"/>
          <w:sz w:val="24"/>
          <w:szCs w:val="24"/>
          <w:color w:val="B8BFC6"/>
          <w:spacing w:val="-1"/>
        </w:rPr>
        <w:t>.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496"/>
        <w:spacing w:before="69" w:line="327" w:lineRule="exact"/>
        <w:rPr>
          <w:rFonts w:ascii="Arial" w:hAnsi="Arial" w:eastAsia="Arial" w:cs="Arial"/>
          <w:sz w:val="24"/>
          <w:szCs w:val="24"/>
        </w:rPr>
      </w:pPr>
      <w:bookmarkStart w:name="bookmark3" w:id="3"/>
      <w:bookmarkEnd w:id="3"/>
      <w:bookmarkStart w:name="bookmark15" w:id="4"/>
      <w:bookmarkEnd w:id="4"/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[3]</w:t>
      </w:r>
      <w:r>
        <w:rPr>
          <w:rFonts w:ascii="Arial" w:hAnsi="Arial" w:eastAsia="Arial" w:cs="Arial"/>
          <w:sz w:val="24"/>
          <w:szCs w:val="24"/>
          <w:color w:val="B8BFC6"/>
          <w:spacing w:val="1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Kusakunniran, W.,</w:t>
      </w:r>
      <w:r>
        <w:rPr>
          <w:rFonts w:ascii="Arial" w:hAnsi="Arial" w:eastAsia="Arial" w:cs="Arial"/>
          <w:sz w:val="24"/>
          <w:szCs w:val="24"/>
          <w:color w:val="B8BFC6"/>
          <w:spacing w:val="18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Pojsomphon</w:t>
      </w:r>
      <w:r>
        <w:rPr>
          <w:rFonts w:ascii="Arial" w:hAnsi="Arial" w:eastAsia="Arial" w:cs="Arial"/>
          <w:sz w:val="24"/>
          <w:szCs w:val="24"/>
          <w:color w:val="B8BFC6"/>
          <w:spacing w:val="-3"/>
          <w:position w:val="4"/>
        </w:rPr>
        <w:t>g, S., Tangmongkolpaisan,</w:t>
      </w:r>
      <w:r>
        <w:rPr>
          <w:rFonts w:ascii="Arial" w:hAnsi="Arial" w:eastAsia="Arial" w:cs="Arial"/>
          <w:sz w:val="24"/>
          <w:szCs w:val="24"/>
          <w:color w:val="B8BFC6"/>
          <w:spacing w:val="18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  <w:position w:val="4"/>
        </w:rPr>
        <w:t>P., and Wannasorn,</w:t>
      </w:r>
      <w:r>
        <w:rPr>
          <w:rFonts w:ascii="Arial" w:hAnsi="Arial" w:eastAsia="Arial" w:cs="Arial"/>
          <w:sz w:val="24"/>
          <w:szCs w:val="24"/>
          <w:color w:val="B8BFC6"/>
          <w:spacing w:val="18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  <w:position w:val="4"/>
        </w:rPr>
        <w:t>P.</w:t>
      </w:r>
      <w:r>
        <w:rPr>
          <w:rFonts w:ascii="Arial" w:hAnsi="Arial" w:eastAsia="Arial" w:cs="Arial"/>
          <w:sz w:val="24"/>
          <w:szCs w:val="24"/>
          <w:color w:val="B8BFC6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  <w:position w:val="4"/>
        </w:rPr>
        <w:t>Integrating</w:t>
      </w:r>
    </w:p>
    <w:p>
      <w:pPr>
        <w:ind w:left="488" w:right="825" w:firstLine="7"/>
        <w:spacing w:before="62" w:line="31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B8BFC6"/>
        </w:rPr>
        <w:t>instance segmentation-based sizing and mult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i-view deep</w:t>
      </w:r>
      <w:r>
        <w:rPr>
          <w:rFonts w:ascii="Arial" w:hAnsi="Arial" w:eastAsia="Arial" w:cs="Arial"/>
          <w:sz w:val="24"/>
          <w:szCs w:val="24"/>
          <w:color w:val="B8BFC6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learning framework for</w:t>
      </w:r>
      <w:r>
        <w:rPr>
          <w:rFonts w:ascii="Arial" w:hAnsi="Arial" w:eastAsia="Arial" w:cs="Arial"/>
          <w:sz w:val="24"/>
          <w:szCs w:val="24"/>
          <w:color w:val="B8BFC6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mangosteen quality</w:t>
      </w:r>
      <w:r>
        <w:rPr>
          <w:rFonts w:ascii="Arial" w:hAnsi="Arial" w:eastAsia="Arial" w:cs="Arial"/>
          <w:sz w:val="24"/>
          <w:szCs w:val="24"/>
          <w:color w:val="B8BFC6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</w:rPr>
        <w:t>assessment.</w:t>
      </w:r>
      <w:r>
        <w:rPr>
          <w:rFonts w:ascii="Arial" w:hAnsi="Arial" w:eastAsia="Arial" w:cs="Arial"/>
          <w:sz w:val="24"/>
          <w:szCs w:val="24"/>
          <w:color w:val="B8BFC6"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</w:rPr>
        <w:t>Information</w:t>
      </w:r>
      <w:r>
        <w:rPr>
          <w:rFonts w:ascii="Arial" w:hAnsi="Arial" w:eastAsia="Arial" w:cs="Arial"/>
          <w:sz w:val="24"/>
          <w:szCs w:val="24"/>
          <w:color w:val="B8BFC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</w:rPr>
        <w:t>Processing in Agriculture, a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vailable online 21 September 2026. </w:t>
      </w:r>
      <w:hyperlink w:history="true" r:id="rId65">
        <w:r>
          <w:rPr>
            <w:rFonts w:ascii="Arial" w:hAnsi="Arial" w:eastAsia="Arial" w:cs="Arial"/>
            <w:sz w:val="24"/>
            <w:szCs w:val="24"/>
            <w:u w:val="single" w:color="auto"/>
            <w:color w:val="E0E0E0"/>
            <w:spacing w:val="-1"/>
          </w:rPr>
          <w:t>Source</w:t>
        </w:r>
      </w:hyperlink>
      <w:r>
        <w:rPr>
          <w:rFonts w:ascii="Arial" w:hAnsi="Arial" w:eastAsia="Arial" w:cs="Arial"/>
          <w:sz w:val="24"/>
          <w:szCs w:val="24"/>
          <w:color w:val="B8BFC6"/>
          <w:spacing w:val="-1"/>
        </w:rPr>
        <w:t>.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496"/>
        <w:spacing w:before="69" w:line="327" w:lineRule="exact"/>
        <w:rPr>
          <w:rFonts w:ascii="Arial" w:hAnsi="Arial" w:eastAsia="Arial" w:cs="Arial"/>
          <w:sz w:val="24"/>
          <w:szCs w:val="24"/>
        </w:rPr>
      </w:pPr>
      <w:bookmarkStart w:name="bookmark4" w:id="5"/>
      <w:bookmarkEnd w:id="5"/>
      <w:bookmarkStart w:name="bookmark16" w:id="6"/>
      <w:bookmarkEnd w:id="6"/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[4]</w:t>
      </w:r>
      <w:r>
        <w:rPr>
          <w:rFonts w:ascii="Arial" w:hAnsi="Arial" w:eastAsia="Arial" w:cs="Arial"/>
          <w:sz w:val="24"/>
          <w:szCs w:val="24"/>
          <w:color w:val="B8BFC6"/>
          <w:spacing w:val="18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Lu,</w:t>
      </w:r>
      <w:r>
        <w:rPr>
          <w:rFonts w:ascii="Arial" w:hAnsi="Arial" w:eastAsia="Arial" w:cs="Arial"/>
          <w:sz w:val="24"/>
          <w:szCs w:val="24"/>
          <w:color w:val="B8BFC6"/>
          <w:spacing w:val="1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L.,</w:t>
      </w:r>
      <w:r>
        <w:rPr>
          <w:rFonts w:ascii="Arial" w:hAnsi="Arial" w:eastAsia="Arial" w:cs="Arial"/>
          <w:sz w:val="24"/>
          <w:szCs w:val="24"/>
          <w:color w:val="B8BFC6"/>
          <w:spacing w:val="17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Lei, J., Cheng, C., Wang, S., Wang,</w:t>
      </w:r>
      <w:r>
        <w:rPr>
          <w:rFonts w:ascii="Arial" w:hAnsi="Arial" w:eastAsia="Arial" w:cs="Arial"/>
          <w:sz w:val="24"/>
          <w:szCs w:val="24"/>
          <w:color w:val="B8BFC6"/>
          <w:spacing w:val="1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C.,</w:t>
      </w:r>
      <w:r>
        <w:rPr>
          <w:rFonts w:ascii="Arial" w:hAnsi="Arial" w:eastAsia="Arial" w:cs="Arial"/>
          <w:sz w:val="24"/>
          <w:szCs w:val="24"/>
          <w:color w:val="B8BFC6"/>
          <w:spacing w:val="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and</w:t>
      </w:r>
      <w:r>
        <w:rPr>
          <w:rFonts w:ascii="Arial" w:hAnsi="Arial" w:eastAsia="Arial" w:cs="Arial"/>
          <w:sz w:val="24"/>
          <w:szCs w:val="24"/>
          <w:color w:val="B8BFC6"/>
          <w:spacing w:val="10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Qin, X.</w:t>
      </w:r>
      <w:r>
        <w:rPr>
          <w:rFonts w:ascii="Arial" w:hAnsi="Arial" w:eastAsia="Arial" w:cs="Arial"/>
          <w:sz w:val="24"/>
          <w:szCs w:val="24"/>
          <w:color w:val="B8BFC6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Impurity</w:t>
      </w:r>
      <w:r>
        <w:rPr>
          <w:rFonts w:ascii="Arial" w:hAnsi="Arial" w:eastAsia="Arial" w:cs="Arial"/>
          <w:sz w:val="24"/>
          <w:szCs w:val="24"/>
          <w:color w:val="B8BFC6"/>
          <w:spacing w:val="15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rates</w:t>
      </w:r>
      <w:r>
        <w:rPr>
          <w:rFonts w:ascii="Arial" w:hAnsi="Arial" w:eastAsia="Arial" w:cs="Arial"/>
          <w:sz w:val="24"/>
          <w:szCs w:val="24"/>
          <w:color w:val="B8BFC6"/>
          <w:spacing w:val="8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detection for</w:t>
      </w:r>
      <w:r>
        <w:rPr>
          <w:rFonts w:ascii="Arial" w:hAnsi="Arial" w:eastAsia="Arial" w:cs="Arial"/>
          <w:sz w:val="24"/>
          <w:szCs w:val="24"/>
          <w:color w:val="B8BFC6"/>
          <w:spacing w:val="13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pepper</w:t>
      </w:r>
    </w:p>
    <w:p>
      <w:pPr>
        <w:ind w:left="505" w:right="620" w:hanging="10"/>
        <w:spacing w:before="62" w:line="323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B8BFC6"/>
          <w:spacing w:val="-1"/>
        </w:rPr>
        <w:t>harvesting based on YOLOv8n-Seg-ASB and random forest. Smart Agricultur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al Technology,</w:t>
      </w:r>
      <w:r>
        <w:rPr>
          <w:rFonts w:ascii="Arial" w:hAnsi="Arial" w:eastAsia="Arial" w:cs="Arial"/>
          <w:sz w:val="24"/>
          <w:szCs w:val="24"/>
          <w:color w:val="B8BFC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12,</w:t>
      </w:r>
      <w:r>
        <w:rPr>
          <w:rFonts w:ascii="Arial" w:hAnsi="Arial" w:eastAsia="Arial" w:cs="Arial"/>
          <w:sz w:val="24"/>
          <w:szCs w:val="24"/>
          <w:color w:val="B8BFC6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article</w:t>
      </w:r>
      <w:r>
        <w:rPr>
          <w:rFonts w:ascii="Arial" w:hAnsi="Arial" w:eastAsia="Arial" w:cs="Arial"/>
          <w:sz w:val="24"/>
          <w:szCs w:val="24"/>
          <w:color w:val="B8BFC6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101224, 2025. </w:t>
      </w:r>
      <w:hyperlink w:history="true" r:id="rId66">
        <w:r>
          <w:rPr>
            <w:rFonts w:ascii="Arial" w:hAnsi="Arial" w:eastAsia="Arial" w:cs="Arial"/>
            <w:sz w:val="24"/>
            <w:szCs w:val="24"/>
            <w:u w:val="single" w:color="auto"/>
            <w:color w:val="E0E0E0"/>
            <w:spacing w:val="-1"/>
          </w:rPr>
          <w:t>Source</w:t>
        </w:r>
      </w:hyperlink>
      <w:r>
        <w:rPr>
          <w:rFonts w:ascii="Arial" w:hAnsi="Arial" w:eastAsia="Arial" w:cs="Arial"/>
          <w:sz w:val="24"/>
          <w:szCs w:val="24"/>
          <w:color w:val="B8BFC6"/>
          <w:spacing w:val="-1"/>
        </w:rPr>
        <w:t>.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ind w:left="492" w:right="511" w:firstLine="4"/>
        <w:spacing w:before="69" w:line="317" w:lineRule="auto"/>
        <w:rPr>
          <w:rFonts w:ascii="Arial" w:hAnsi="Arial" w:eastAsia="Arial" w:cs="Arial"/>
          <w:sz w:val="24"/>
          <w:szCs w:val="24"/>
        </w:rPr>
      </w:pPr>
      <w:bookmarkStart w:name="bookmark5" w:id="7"/>
      <w:bookmarkEnd w:id="7"/>
      <w:bookmarkStart w:name="bookmark17" w:id="8"/>
      <w:bookmarkEnd w:id="8"/>
      <w:r>
        <w:rPr>
          <w:rFonts w:ascii="Arial" w:hAnsi="Arial" w:eastAsia="Arial" w:cs="Arial"/>
          <w:sz w:val="24"/>
          <w:szCs w:val="24"/>
          <w:color w:val="B8BFC6"/>
          <w:spacing w:val="-2"/>
        </w:rPr>
        <w:t>[5]</w:t>
      </w:r>
      <w:r>
        <w:rPr>
          <w:rFonts w:ascii="Arial" w:hAnsi="Arial" w:eastAsia="Arial" w:cs="Arial"/>
          <w:sz w:val="24"/>
          <w:szCs w:val="24"/>
          <w:color w:val="B8BFC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He,</w:t>
      </w:r>
      <w:r>
        <w:rPr>
          <w:rFonts w:ascii="Arial" w:hAnsi="Arial" w:eastAsia="Arial" w:cs="Arial"/>
          <w:sz w:val="24"/>
          <w:szCs w:val="24"/>
          <w:color w:val="B8BFC6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K., Gkioxari, G.,</w:t>
      </w:r>
      <w:r>
        <w:rPr>
          <w:rFonts w:ascii="Arial" w:hAnsi="Arial" w:eastAsia="Arial" w:cs="Arial"/>
          <w:sz w:val="24"/>
          <w:szCs w:val="24"/>
          <w:color w:val="B8BFC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Dollár,</w:t>
      </w:r>
      <w:r>
        <w:rPr>
          <w:rFonts w:ascii="Arial" w:hAnsi="Arial" w:eastAsia="Arial" w:cs="Arial"/>
          <w:sz w:val="24"/>
          <w:szCs w:val="24"/>
          <w:color w:val="B8BFC6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P., and Girshick,</w:t>
      </w:r>
      <w:r>
        <w:rPr>
          <w:rFonts w:ascii="Arial" w:hAnsi="Arial" w:eastAsia="Arial" w:cs="Arial"/>
          <w:sz w:val="24"/>
          <w:szCs w:val="24"/>
          <w:color w:val="B8BFC6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R.</w:t>
      </w:r>
      <w:r>
        <w:rPr>
          <w:rFonts w:ascii="Arial" w:hAnsi="Arial" w:eastAsia="Arial" w:cs="Arial"/>
          <w:sz w:val="24"/>
          <w:szCs w:val="24"/>
          <w:color w:val="B8BFC6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Mask</w:t>
      </w:r>
      <w:r>
        <w:rPr>
          <w:rFonts w:ascii="Arial" w:hAnsi="Arial" w:eastAsia="Arial" w:cs="Arial"/>
          <w:sz w:val="24"/>
          <w:szCs w:val="24"/>
          <w:color w:val="B8BFC6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R-CNN.</w:t>
      </w:r>
      <w:r>
        <w:rPr>
          <w:rFonts w:ascii="Arial" w:hAnsi="Arial" w:eastAsia="Arial" w:cs="Arial"/>
          <w:sz w:val="24"/>
          <w:szCs w:val="24"/>
          <w:color w:val="B8BFC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Proceedings of the</w:t>
      </w:r>
      <w:r>
        <w:rPr>
          <w:rFonts w:ascii="Arial" w:hAnsi="Arial" w:eastAsia="Arial" w:cs="Arial"/>
          <w:sz w:val="24"/>
          <w:szCs w:val="24"/>
          <w:color w:val="B8BFC6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IEEE</w:t>
      </w:r>
      <w:r>
        <w:rPr>
          <w:rFonts w:ascii="Arial" w:hAnsi="Arial" w:eastAsia="Arial" w:cs="Arial"/>
          <w:sz w:val="24"/>
          <w:szCs w:val="24"/>
          <w:color w:val="B8BFC6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International</w:t>
      </w:r>
      <w:r>
        <w:rPr>
          <w:rFonts w:ascii="Arial" w:hAnsi="Arial" w:eastAsia="Arial" w:cs="Arial"/>
          <w:sz w:val="24"/>
          <w:szCs w:val="24"/>
          <w:color w:val="B8BFC6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</w:rPr>
        <w:t>Conference on Computer Vision, 2961–2969, 2017. </w:t>
      </w:r>
      <w:hyperlink w:history="true" r:id="rId67">
        <w:r>
          <w:rPr>
            <w:rFonts w:ascii="Arial" w:hAnsi="Arial" w:eastAsia="Arial" w:cs="Arial"/>
            <w:sz w:val="24"/>
            <w:szCs w:val="24"/>
            <w:u w:val="single" w:color="auto"/>
            <w:color w:val="E0E0E0"/>
          </w:rPr>
          <w:t>Source</w:t>
        </w:r>
      </w:hyperlink>
      <w:r>
        <w:rPr>
          <w:rFonts w:ascii="Arial" w:hAnsi="Arial" w:eastAsia="Arial" w:cs="Arial"/>
          <w:sz w:val="24"/>
          <w:szCs w:val="24"/>
          <w:color w:val="B8BFC6"/>
        </w:rPr>
        <w:t>.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498" w:right="1751" w:hanging="2"/>
        <w:spacing w:before="70" w:line="316" w:lineRule="auto"/>
        <w:rPr>
          <w:rFonts w:ascii="Arial" w:hAnsi="Arial" w:eastAsia="Arial" w:cs="Arial"/>
          <w:sz w:val="24"/>
          <w:szCs w:val="24"/>
        </w:rPr>
      </w:pPr>
      <w:bookmarkStart w:name="bookmark6" w:id="9"/>
      <w:bookmarkEnd w:id="9"/>
      <w:bookmarkStart w:name="bookmark18" w:id="10"/>
      <w:bookmarkEnd w:id="10"/>
      <w:r>
        <w:rPr>
          <w:rFonts w:ascii="Arial" w:hAnsi="Arial" w:eastAsia="Arial" w:cs="Arial"/>
          <w:sz w:val="24"/>
          <w:szCs w:val="24"/>
          <w:color w:val="B8BFC6"/>
          <w:spacing w:val="-3"/>
        </w:rPr>
        <w:t>[6]</w:t>
      </w:r>
      <w:r>
        <w:rPr>
          <w:rFonts w:ascii="Arial" w:hAnsi="Arial" w:eastAsia="Arial" w:cs="Arial"/>
          <w:sz w:val="24"/>
          <w:szCs w:val="24"/>
          <w:color w:val="B8BFC6"/>
          <w:spacing w:val="3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Bolya,</w:t>
      </w:r>
      <w:r>
        <w:rPr>
          <w:rFonts w:ascii="Arial" w:hAnsi="Arial" w:eastAsia="Arial" w:cs="Arial"/>
          <w:sz w:val="24"/>
          <w:szCs w:val="24"/>
          <w:color w:val="B8BFC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D., Zhou, C., Xiao,</w:t>
      </w:r>
      <w:r>
        <w:rPr>
          <w:rFonts w:ascii="Arial" w:hAnsi="Arial" w:eastAsia="Arial" w:cs="Arial"/>
          <w:sz w:val="24"/>
          <w:szCs w:val="24"/>
          <w:color w:val="B8BFC6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F., and</w:t>
      </w:r>
      <w:r>
        <w:rPr>
          <w:rFonts w:ascii="Arial" w:hAnsi="Arial" w:eastAsia="Arial" w:cs="Arial"/>
          <w:sz w:val="24"/>
          <w:szCs w:val="24"/>
          <w:color w:val="B8BFC6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Lee, Y. J. YOLACT:</w:t>
      </w:r>
      <w:r>
        <w:rPr>
          <w:rFonts w:ascii="Arial" w:hAnsi="Arial" w:eastAsia="Arial" w:cs="Arial"/>
          <w:sz w:val="24"/>
          <w:szCs w:val="24"/>
          <w:color w:val="B8BFC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Real-Time</w:t>
      </w:r>
      <w:r>
        <w:rPr>
          <w:rFonts w:ascii="Arial" w:hAnsi="Arial" w:eastAsia="Arial" w:cs="Arial"/>
          <w:sz w:val="24"/>
          <w:szCs w:val="24"/>
          <w:color w:val="B8BFC6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Instance Segmentation.</w:t>
      </w:r>
      <w:r>
        <w:rPr>
          <w:rFonts w:ascii="Arial" w:hAnsi="Arial" w:eastAsia="Arial" w:cs="Arial"/>
          <w:sz w:val="24"/>
          <w:szCs w:val="24"/>
          <w:color w:val="B8BFC6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</w:rPr>
        <w:t>Proceedings of the</w:t>
      </w:r>
      <w:r>
        <w:rPr>
          <w:rFonts w:ascii="Arial" w:hAnsi="Arial" w:eastAsia="Arial" w:cs="Arial"/>
          <w:sz w:val="24"/>
          <w:szCs w:val="24"/>
          <w:color w:val="B8BFC6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</w:rPr>
        <w:t>IEEE/CVF</w:t>
      </w:r>
      <w:r>
        <w:rPr>
          <w:rFonts w:ascii="Arial" w:hAnsi="Arial" w:eastAsia="Arial" w:cs="Arial"/>
          <w:sz w:val="24"/>
          <w:szCs w:val="24"/>
          <w:color w:val="B8BFC6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</w:rPr>
        <w:t>Internationa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l Conference on Computer Vision, 2019. </w:t>
      </w:r>
      <w:hyperlink w:history="true" r:id="rId68">
        <w:r>
          <w:rPr>
            <w:rFonts w:ascii="Arial" w:hAnsi="Arial" w:eastAsia="Arial" w:cs="Arial"/>
            <w:sz w:val="24"/>
            <w:szCs w:val="24"/>
            <w:u w:val="single" w:color="auto"/>
            <w:color w:val="E0E0E0"/>
            <w:spacing w:val="-1"/>
          </w:rPr>
          <w:t>Source</w:t>
        </w:r>
      </w:hyperlink>
      <w:r>
        <w:rPr>
          <w:rFonts w:ascii="Arial" w:hAnsi="Arial" w:eastAsia="Arial" w:cs="Arial"/>
          <w:sz w:val="24"/>
          <w:szCs w:val="24"/>
          <w:color w:val="B8BFC6"/>
          <w:spacing w:val="-1"/>
        </w:rPr>
        <w:t>.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490" w:right="1353" w:firstLine="5"/>
        <w:spacing w:before="70" w:line="344" w:lineRule="auto"/>
        <w:rPr>
          <w:rFonts w:ascii="Arial" w:hAnsi="Arial" w:eastAsia="Arial" w:cs="Arial"/>
          <w:sz w:val="24"/>
          <w:szCs w:val="24"/>
        </w:rPr>
      </w:pPr>
      <w:bookmarkStart w:name="bookmark7" w:id="11"/>
      <w:bookmarkEnd w:id="11"/>
      <w:bookmarkStart w:name="bookmark19" w:id="12"/>
      <w:bookmarkEnd w:id="12"/>
      <w:r>
        <w:rPr>
          <w:rFonts w:ascii="Arial" w:hAnsi="Arial" w:eastAsia="Arial" w:cs="Arial"/>
          <w:sz w:val="24"/>
          <w:szCs w:val="24"/>
          <w:color w:val="B8BFC6"/>
        </w:rPr>
        <w:t>[7]</w:t>
      </w:r>
      <w:r>
        <w:rPr>
          <w:rFonts w:ascii="Arial" w:hAnsi="Arial" w:eastAsia="Arial" w:cs="Arial"/>
          <w:sz w:val="24"/>
          <w:szCs w:val="24"/>
          <w:color w:val="B8BFC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</w:rPr>
        <w:t>Ultralytics.</w:t>
      </w:r>
      <w:r>
        <w:rPr>
          <w:rFonts w:ascii="Arial" w:hAnsi="Arial" w:eastAsia="Arial" w:cs="Arial"/>
          <w:sz w:val="24"/>
          <w:szCs w:val="24"/>
          <w:color w:val="B8BFC6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</w:rPr>
        <w:t>Ultralytic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s YOLO26. Official software documentation, accessed 25 October 2026.</w:t>
      </w:r>
      <w:r>
        <w:rPr>
          <w:rFonts w:ascii="Arial" w:hAnsi="Arial" w:eastAsia="Arial" w:cs="Arial"/>
          <w:sz w:val="24"/>
          <w:szCs w:val="24"/>
          <w:color w:val="B8BFC6"/>
        </w:rPr>
        <w:t xml:space="preserve"> </w:t>
      </w:r>
      <w:hyperlink w:history="true" r:id="rId69">
        <w:r>
          <w:rPr>
            <w:rFonts w:ascii="Arial" w:hAnsi="Arial" w:eastAsia="Arial" w:cs="Arial"/>
            <w:sz w:val="24"/>
            <w:szCs w:val="24"/>
            <w:u w:val="single" w:color="auto"/>
            <w:color w:val="E0E0E0"/>
          </w:rPr>
          <w:t>Source</w:t>
        </w:r>
      </w:hyperlink>
      <w:r>
        <w:rPr>
          <w:rFonts w:ascii="Arial" w:hAnsi="Arial" w:eastAsia="Arial" w:cs="Arial"/>
          <w:sz w:val="24"/>
          <w:szCs w:val="24"/>
          <w:color w:val="B8BFC6"/>
          <w:spacing w:val="11"/>
        </w:rPr>
        <w:t>.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501" w:right="547" w:hanging="5"/>
        <w:spacing w:before="69" w:line="316" w:lineRule="auto"/>
        <w:rPr>
          <w:rFonts w:ascii="Arial" w:hAnsi="Arial" w:eastAsia="Arial" w:cs="Arial"/>
          <w:sz w:val="24"/>
          <w:szCs w:val="24"/>
        </w:rPr>
      </w:pPr>
      <w:bookmarkStart w:name="bookmark27" w:id="13"/>
      <w:bookmarkEnd w:id="13"/>
      <w:bookmarkStart w:name="bookmark8" w:id="14"/>
      <w:bookmarkEnd w:id="14"/>
      <w:bookmarkStart w:name="bookmark20" w:id="15"/>
      <w:bookmarkEnd w:id="15"/>
      <w:r>
        <w:rPr>
          <w:rFonts w:ascii="Arial" w:hAnsi="Arial" w:eastAsia="Arial" w:cs="Arial"/>
          <w:sz w:val="24"/>
          <w:szCs w:val="24"/>
          <w:color w:val="B8BFC6"/>
          <w:spacing w:val="-2"/>
        </w:rPr>
        <w:t>[8]</w:t>
      </w:r>
      <w:r>
        <w:rPr>
          <w:rFonts w:ascii="Arial" w:hAnsi="Arial" w:eastAsia="Arial" w:cs="Arial"/>
          <w:sz w:val="24"/>
          <w:szCs w:val="24"/>
          <w:color w:val="B8BFC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Huang, Z.,</w:t>
      </w:r>
      <w:r>
        <w:rPr>
          <w:rFonts w:ascii="Arial" w:hAnsi="Arial" w:eastAsia="Arial" w:cs="Arial"/>
          <w:sz w:val="24"/>
          <w:szCs w:val="24"/>
          <w:color w:val="B8BFC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Huang,</w:t>
      </w:r>
      <w:r>
        <w:rPr>
          <w:rFonts w:ascii="Arial" w:hAnsi="Arial" w:eastAsia="Arial" w:cs="Arial"/>
          <w:sz w:val="24"/>
          <w:szCs w:val="24"/>
          <w:color w:val="B8BFC6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L., Gong, Y.,</w:t>
      </w:r>
      <w:r>
        <w:rPr>
          <w:rFonts w:ascii="Arial" w:hAnsi="Arial" w:eastAsia="Arial" w:cs="Arial"/>
          <w:sz w:val="24"/>
          <w:szCs w:val="24"/>
          <w:color w:val="B8BFC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Huang, C., and Wang, X.</w:t>
      </w:r>
      <w:r>
        <w:rPr>
          <w:rFonts w:ascii="Arial" w:hAnsi="Arial" w:eastAsia="Arial" w:cs="Arial"/>
          <w:sz w:val="24"/>
          <w:szCs w:val="24"/>
          <w:color w:val="B8BFC6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Mask</w:t>
      </w:r>
      <w:r>
        <w:rPr>
          <w:rFonts w:ascii="Arial" w:hAnsi="Arial" w:eastAsia="Arial" w:cs="Arial"/>
          <w:sz w:val="24"/>
          <w:szCs w:val="24"/>
          <w:color w:val="B8BFC6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Scorin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g</w:t>
      </w:r>
      <w:r>
        <w:rPr>
          <w:rFonts w:ascii="Arial" w:hAnsi="Arial" w:eastAsia="Arial" w:cs="Arial"/>
          <w:sz w:val="24"/>
          <w:szCs w:val="24"/>
          <w:color w:val="B8BFC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R-CNN.</w:t>
      </w:r>
      <w:r>
        <w:rPr>
          <w:rFonts w:ascii="Arial" w:hAnsi="Arial" w:eastAsia="Arial" w:cs="Arial"/>
          <w:sz w:val="24"/>
          <w:szCs w:val="24"/>
          <w:color w:val="B8BFC6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Proceedings of the</w:t>
      </w:r>
      <w:r>
        <w:rPr>
          <w:rFonts w:ascii="Arial" w:hAnsi="Arial" w:eastAsia="Arial" w:cs="Arial"/>
          <w:sz w:val="24"/>
          <w:szCs w:val="24"/>
          <w:color w:val="B8BFC6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</w:rPr>
        <w:t>IEEE/CVF Conference on Computer Vision and</w:t>
      </w:r>
      <w:r>
        <w:rPr>
          <w:rFonts w:ascii="Arial" w:hAnsi="Arial" w:eastAsia="Arial" w:cs="Arial"/>
          <w:sz w:val="24"/>
          <w:szCs w:val="24"/>
          <w:color w:val="B8BFC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</w:rPr>
        <w:t>P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attern</w:t>
      </w:r>
      <w:r>
        <w:rPr>
          <w:rFonts w:ascii="Arial" w:hAnsi="Arial" w:eastAsia="Arial" w:cs="Arial"/>
          <w:sz w:val="24"/>
          <w:szCs w:val="24"/>
          <w:color w:val="B8BFC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Recognition, 6409–6418, 2019. </w:t>
      </w:r>
      <w:hyperlink w:history="true" r:id="rId70">
        <w:r>
          <w:rPr>
            <w:rFonts w:ascii="Arial" w:hAnsi="Arial" w:eastAsia="Arial" w:cs="Arial"/>
            <w:sz w:val="24"/>
            <w:szCs w:val="24"/>
            <w:u w:val="single" w:color="auto"/>
            <w:color w:val="E0E0E0"/>
            <w:spacing w:val="-1"/>
          </w:rPr>
          <w:t>Source</w:t>
        </w:r>
      </w:hyperlink>
      <w:r>
        <w:rPr>
          <w:rFonts w:ascii="Arial" w:hAnsi="Arial" w:eastAsia="Arial" w:cs="Arial"/>
          <w:sz w:val="24"/>
          <w:szCs w:val="24"/>
          <w:color w:val="B8BFC6"/>
          <w:spacing w:val="-1"/>
        </w:rPr>
        <w:t>.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497" w:right="846" w:hanging="1"/>
        <w:spacing w:before="70" w:line="323" w:lineRule="auto"/>
        <w:rPr>
          <w:rFonts w:ascii="Arial" w:hAnsi="Arial" w:eastAsia="Arial" w:cs="Arial"/>
          <w:sz w:val="24"/>
          <w:szCs w:val="24"/>
        </w:rPr>
      </w:pPr>
      <w:bookmarkStart w:name="bookmark28" w:id="16"/>
      <w:bookmarkEnd w:id="16"/>
      <w:bookmarkStart w:name="bookmark9" w:id="17"/>
      <w:bookmarkEnd w:id="17"/>
      <w:bookmarkStart w:name="bookmark21" w:id="18"/>
      <w:bookmarkEnd w:id="18"/>
      <w:r>
        <w:rPr>
          <w:rFonts w:ascii="Arial" w:hAnsi="Arial" w:eastAsia="Arial" w:cs="Arial"/>
          <w:sz w:val="24"/>
          <w:szCs w:val="24"/>
          <w:color w:val="B8BFC6"/>
          <w:spacing w:val="-2"/>
        </w:rPr>
        <w:t>[9]</w:t>
      </w:r>
      <w:r>
        <w:rPr>
          <w:rFonts w:ascii="Arial" w:hAnsi="Arial" w:eastAsia="Arial" w:cs="Arial"/>
          <w:sz w:val="24"/>
          <w:szCs w:val="24"/>
          <w:color w:val="B8BFC6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Li, X., Wang, W., Wu,</w:t>
      </w:r>
      <w:r>
        <w:rPr>
          <w:rFonts w:ascii="Arial" w:hAnsi="Arial" w:eastAsia="Arial" w:cs="Arial"/>
          <w:sz w:val="24"/>
          <w:szCs w:val="24"/>
          <w:color w:val="B8BFC6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L., Chen, S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.,</w:t>
      </w:r>
      <w:r>
        <w:rPr>
          <w:rFonts w:ascii="Arial" w:hAnsi="Arial" w:eastAsia="Arial" w:cs="Arial"/>
          <w:sz w:val="24"/>
          <w:szCs w:val="24"/>
          <w:color w:val="B8BFC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Hu, X.,</w:t>
      </w:r>
      <w:r>
        <w:rPr>
          <w:rFonts w:ascii="Arial" w:hAnsi="Arial" w:eastAsia="Arial" w:cs="Arial"/>
          <w:sz w:val="24"/>
          <w:szCs w:val="24"/>
          <w:color w:val="B8BFC6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Li, J., Tang,</w:t>
      </w:r>
      <w:r>
        <w:rPr>
          <w:rFonts w:ascii="Arial" w:hAnsi="Arial" w:eastAsia="Arial" w:cs="Arial"/>
          <w:sz w:val="24"/>
          <w:szCs w:val="24"/>
          <w:color w:val="B8BFC6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J.,</w:t>
      </w:r>
      <w:r>
        <w:rPr>
          <w:rFonts w:ascii="Arial" w:hAnsi="Arial" w:eastAsia="Arial" w:cs="Arial"/>
          <w:sz w:val="24"/>
          <w:szCs w:val="24"/>
          <w:color w:val="B8BFC6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and Yang,</w:t>
      </w:r>
      <w:r>
        <w:rPr>
          <w:rFonts w:ascii="Arial" w:hAnsi="Arial" w:eastAsia="Arial" w:cs="Arial"/>
          <w:sz w:val="24"/>
          <w:szCs w:val="24"/>
          <w:color w:val="B8BFC6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J.</w:t>
      </w:r>
      <w:r>
        <w:rPr>
          <w:rFonts w:ascii="Arial" w:hAnsi="Arial" w:eastAsia="Arial" w:cs="Arial"/>
          <w:sz w:val="24"/>
          <w:szCs w:val="24"/>
          <w:color w:val="B8BFC6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Generalized</w:t>
      </w:r>
      <w:r>
        <w:rPr>
          <w:rFonts w:ascii="Arial" w:hAnsi="Arial" w:eastAsia="Arial" w:cs="Arial"/>
          <w:sz w:val="24"/>
          <w:szCs w:val="24"/>
          <w:color w:val="B8BFC6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Focal</w:t>
      </w:r>
      <w:r>
        <w:rPr>
          <w:rFonts w:ascii="Arial" w:hAnsi="Arial" w:eastAsia="Arial" w:cs="Arial"/>
          <w:sz w:val="24"/>
          <w:szCs w:val="24"/>
          <w:color w:val="B8BFC6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Loss:</w:t>
      </w:r>
      <w:r>
        <w:rPr>
          <w:rFonts w:ascii="Arial" w:hAnsi="Arial" w:eastAsia="Arial" w:cs="Arial"/>
          <w:sz w:val="24"/>
          <w:szCs w:val="24"/>
          <w:color w:val="B8BFC6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Learning Qualified and</w:t>
      </w:r>
      <w:r>
        <w:rPr>
          <w:rFonts w:ascii="Arial" w:hAnsi="Arial" w:eastAsia="Arial" w:cs="Arial"/>
          <w:sz w:val="24"/>
          <w:szCs w:val="24"/>
          <w:color w:val="B8BFC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Distributed</w:t>
      </w:r>
      <w:r>
        <w:rPr>
          <w:rFonts w:ascii="Arial" w:hAnsi="Arial" w:eastAsia="Arial" w:cs="Arial"/>
          <w:sz w:val="24"/>
          <w:szCs w:val="24"/>
          <w:color w:val="B8BFC6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Bounding</w:t>
      </w:r>
      <w:r>
        <w:rPr>
          <w:rFonts w:ascii="Arial" w:hAnsi="Arial" w:eastAsia="Arial" w:cs="Arial"/>
          <w:sz w:val="24"/>
          <w:szCs w:val="24"/>
          <w:color w:val="B8BFC6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Boxes for Dense Ob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ject</w:t>
      </w:r>
      <w:r>
        <w:rPr>
          <w:rFonts w:ascii="Arial" w:hAnsi="Arial" w:eastAsia="Arial" w:cs="Arial"/>
          <w:sz w:val="24"/>
          <w:szCs w:val="24"/>
          <w:color w:val="B8BFC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Detection. Advances in</w:t>
      </w:r>
      <w:r>
        <w:rPr>
          <w:rFonts w:ascii="Arial" w:hAnsi="Arial" w:eastAsia="Arial" w:cs="Arial"/>
          <w:sz w:val="24"/>
          <w:szCs w:val="24"/>
          <w:color w:val="B8BFC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Neural</w:t>
      </w:r>
      <w:r>
        <w:rPr>
          <w:rFonts w:ascii="Arial" w:hAnsi="Arial" w:eastAsia="Arial" w:cs="Arial"/>
          <w:sz w:val="24"/>
          <w:szCs w:val="24"/>
          <w:color w:val="B8BFC6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</w:rPr>
        <w:t>Information</w:t>
      </w:r>
      <w:r>
        <w:rPr>
          <w:rFonts w:ascii="Arial" w:hAnsi="Arial" w:eastAsia="Arial" w:cs="Arial"/>
          <w:sz w:val="24"/>
          <w:szCs w:val="24"/>
          <w:color w:val="B8BFC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</w:rPr>
        <w:t>Processing Systems, 33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, 2020. </w:t>
      </w:r>
      <w:hyperlink w:history="true" r:id="rId71">
        <w:r>
          <w:rPr>
            <w:rFonts w:ascii="Arial" w:hAnsi="Arial" w:eastAsia="Arial" w:cs="Arial"/>
            <w:sz w:val="24"/>
            <w:szCs w:val="24"/>
            <w:u w:val="single" w:color="auto"/>
            <w:color w:val="E0E0E0"/>
            <w:spacing w:val="-1"/>
          </w:rPr>
          <w:t>Source</w:t>
        </w:r>
      </w:hyperlink>
      <w:r>
        <w:rPr>
          <w:rFonts w:ascii="Arial" w:hAnsi="Arial" w:eastAsia="Arial" w:cs="Arial"/>
          <w:sz w:val="24"/>
          <w:szCs w:val="24"/>
          <w:color w:val="B8BFC6"/>
          <w:spacing w:val="-1"/>
        </w:rPr>
        <w:t>.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496"/>
        <w:spacing w:before="69" w:line="327" w:lineRule="exact"/>
        <w:rPr>
          <w:rFonts w:ascii="Arial" w:hAnsi="Arial" w:eastAsia="Arial" w:cs="Arial"/>
          <w:sz w:val="24"/>
          <w:szCs w:val="24"/>
        </w:rPr>
      </w:pPr>
      <w:bookmarkStart w:name="bookmark10" w:id="19"/>
      <w:bookmarkEnd w:id="19"/>
      <w:bookmarkStart w:name="bookmark23" w:id="20"/>
      <w:bookmarkEnd w:id="20"/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[10]</w:t>
      </w:r>
      <w:r>
        <w:rPr>
          <w:rFonts w:ascii="Arial" w:hAnsi="Arial" w:eastAsia="Arial" w:cs="Arial"/>
          <w:sz w:val="24"/>
          <w:szCs w:val="24"/>
          <w:color w:val="B8BFC6"/>
          <w:spacing w:val="18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Kirillov,</w:t>
      </w:r>
      <w:r>
        <w:rPr>
          <w:rFonts w:ascii="Arial" w:hAnsi="Arial" w:eastAsia="Arial" w:cs="Arial"/>
          <w:sz w:val="24"/>
          <w:szCs w:val="24"/>
          <w:color w:val="B8BFC6"/>
          <w:spacing w:val="-13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A., Wu, Y.,</w:t>
      </w:r>
      <w:r>
        <w:rPr>
          <w:rFonts w:ascii="Arial" w:hAnsi="Arial" w:eastAsia="Arial" w:cs="Arial"/>
          <w:sz w:val="24"/>
          <w:szCs w:val="24"/>
          <w:color w:val="B8BFC6"/>
          <w:spacing w:val="1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He,</w:t>
      </w:r>
      <w:r>
        <w:rPr>
          <w:rFonts w:ascii="Arial" w:hAnsi="Arial" w:eastAsia="Arial" w:cs="Arial"/>
          <w:sz w:val="24"/>
          <w:szCs w:val="24"/>
          <w:color w:val="B8BFC6"/>
          <w:spacing w:val="1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K., and Girshick,</w:t>
      </w:r>
      <w:r>
        <w:rPr>
          <w:rFonts w:ascii="Arial" w:hAnsi="Arial" w:eastAsia="Arial" w:cs="Arial"/>
          <w:sz w:val="24"/>
          <w:szCs w:val="24"/>
          <w:color w:val="B8BFC6"/>
          <w:spacing w:val="1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R.</w:t>
      </w:r>
      <w:r>
        <w:rPr>
          <w:rFonts w:ascii="Arial" w:hAnsi="Arial" w:eastAsia="Arial" w:cs="Arial"/>
          <w:sz w:val="24"/>
          <w:szCs w:val="24"/>
          <w:color w:val="B8BFC6"/>
          <w:spacing w:val="18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  <w:position w:val="4"/>
        </w:rPr>
        <w:t>P</w:t>
      </w:r>
      <w:r>
        <w:rPr>
          <w:rFonts w:ascii="Arial" w:hAnsi="Arial" w:eastAsia="Arial" w:cs="Arial"/>
          <w:sz w:val="24"/>
          <w:szCs w:val="24"/>
          <w:color w:val="B8BFC6"/>
          <w:spacing w:val="-3"/>
          <w:position w:val="4"/>
        </w:rPr>
        <w:t>ointRend:</w:t>
      </w:r>
      <w:r>
        <w:rPr>
          <w:rFonts w:ascii="Arial" w:hAnsi="Arial" w:eastAsia="Arial" w:cs="Arial"/>
          <w:sz w:val="24"/>
          <w:szCs w:val="24"/>
          <w:color w:val="B8BFC6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  <w:position w:val="4"/>
        </w:rPr>
        <w:t>Image Segmentation as</w:t>
      </w:r>
      <w:r>
        <w:rPr>
          <w:rFonts w:ascii="Arial" w:hAnsi="Arial" w:eastAsia="Arial" w:cs="Arial"/>
          <w:sz w:val="24"/>
          <w:szCs w:val="24"/>
          <w:color w:val="B8BFC6"/>
          <w:spacing w:val="1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  <w:position w:val="4"/>
        </w:rPr>
        <w:t>Rendering.</w:t>
      </w:r>
    </w:p>
    <w:p>
      <w:pPr>
        <w:ind w:left="486" w:right="759" w:firstLine="11"/>
        <w:spacing w:before="63" w:line="33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B8BFC6"/>
          <w:spacing w:val="-1"/>
        </w:rPr>
        <w:t>Proceedings of the</w:t>
      </w:r>
      <w:r>
        <w:rPr>
          <w:rFonts w:ascii="Arial" w:hAnsi="Arial" w:eastAsia="Arial" w:cs="Arial"/>
          <w:sz w:val="24"/>
          <w:szCs w:val="24"/>
          <w:color w:val="B8BFC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IEEE/CVF Conference on Computer Vision and</w:t>
      </w:r>
      <w:r>
        <w:rPr>
          <w:rFonts w:ascii="Arial" w:hAnsi="Arial" w:eastAsia="Arial" w:cs="Arial"/>
          <w:sz w:val="24"/>
          <w:szCs w:val="24"/>
          <w:color w:val="B8BFC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Pattern</w:t>
      </w:r>
      <w:r>
        <w:rPr>
          <w:rFonts w:ascii="Arial" w:hAnsi="Arial" w:eastAsia="Arial" w:cs="Arial"/>
          <w:sz w:val="24"/>
          <w:szCs w:val="24"/>
          <w:color w:val="B8BFC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Recognition, 9799–9808,</w:t>
      </w:r>
      <w:r>
        <w:rPr>
          <w:rFonts w:ascii="Arial" w:hAnsi="Arial" w:eastAsia="Arial" w:cs="Arial"/>
          <w:sz w:val="24"/>
          <w:szCs w:val="24"/>
          <w:color w:val="B8BFC6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2"/>
        </w:rPr>
        <w:t>2020. </w:t>
      </w:r>
      <w:hyperlink w:history="true" r:id="rId72">
        <w:r>
          <w:rPr>
            <w:rFonts w:ascii="Arial" w:hAnsi="Arial" w:eastAsia="Arial" w:cs="Arial"/>
            <w:sz w:val="24"/>
            <w:szCs w:val="24"/>
            <w:u w:val="single" w:color="auto"/>
            <w:color w:val="E0E0E0"/>
          </w:rPr>
          <w:t>Source</w:t>
        </w:r>
      </w:hyperlink>
      <w:r>
        <w:rPr>
          <w:rFonts w:ascii="Arial" w:hAnsi="Arial" w:eastAsia="Arial" w:cs="Arial"/>
          <w:sz w:val="24"/>
          <w:szCs w:val="24"/>
          <w:color w:val="B8BFC6"/>
          <w:spacing w:val="2"/>
        </w:rPr>
        <w:t>.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ind w:left="480" w:right="983" w:firstLine="15"/>
        <w:spacing w:before="70" w:line="323" w:lineRule="auto"/>
        <w:rPr>
          <w:rFonts w:ascii="Arial" w:hAnsi="Arial" w:eastAsia="Arial" w:cs="Arial"/>
          <w:sz w:val="24"/>
          <w:szCs w:val="24"/>
        </w:rPr>
      </w:pPr>
      <w:bookmarkStart w:name="bookmark11" w:id="21"/>
      <w:bookmarkEnd w:id="21"/>
      <w:bookmarkStart w:name="bookmark24" w:id="22"/>
      <w:bookmarkEnd w:id="22"/>
      <w:r>
        <w:rPr>
          <w:rFonts w:ascii="Arial" w:hAnsi="Arial" w:eastAsia="Arial" w:cs="Arial"/>
          <w:sz w:val="24"/>
          <w:szCs w:val="24"/>
          <w:color w:val="B8BFC6"/>
          <w:spacing w:val="-3"/>
        </w:rPr>
        <w:t>[11] Cheng,</w:t>
      </w:r>
      <w:r>
        <w:rPr>
          <w:rFonts w:ascii="Arial" w:hAnsi="Arial" w:eastAsia="Arial" w:cs="Arial"/>
          <w:sz w:val="24"/>
          <w:szCs w:val="24"/>
          <w:color w:val="B8BFC6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B., Girshick,</w:t>
      </w:r>
      <w:r>
        <w:rPr>
          <w:rFonts w:ascii="Arial" w:hAnsi="Arial" w:eastAsia="Arial" w:cs="Arial"/>
          <w:sz w:val="24"/>
          <w:szCs w:val="24"/>
          <w:color w:val="B8BFC6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R.,</w:t>
      </w:r>
      <w:r>
        <w:rPr>
          <w:rFonts w:ascii="Arial" w:hAnsi="Arial" w:eastAsia="Arial" w:cs="Arial"/>
          <w:sz w:val="24"/>
          <w:szCs w:val="24"/>
          <w:color w:val="B8BFC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Dollár,</w:t>
      </w:r>
      <w:r>
        <w:rPr>
          <w:rFonts w:ascii="Arial" w:hAnsi="Arial" w:eastAsia="Arial" w:cs="Arial"/>
          <w:sz w:val="24"/>
          <w:szCs w:val="24"/>
          <w:color w:val="B8BFC6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P.,</w:t>
      </w:r>
      <w:r>
        <w:rPr>
          <w:rFonts w:ascii="Arial" w:hAnsi="Arial" w:eastAsia="Arial" w:cs="Arial"/>
          <w:sz w:val="24"/>
          <w:szCs w:val="24"/>
          <w:color w:val="B8BFC6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Berg, A. C., and</w:t>
      </w:r>
      <w:r>
        <w:rPr>
          <w:rFonts w:ascii="Arial" w:hAnsi="Arial" w:eastAsia="Arial" w:cs="Arial"/>
          <w:sz w:val="24"/>
          <w:szCs w:val="24"/>
          <w:color w:val="B8BFC6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Kirillov,</w:t>
      </w:r>
      <w:r>
        <w:rPr>
          <w:rFonts w:ascii="Arial" w:hAnsi="Arial" w:eastAsia="Arial" w:cs="Arial"/>
          <w:sz w:val="24"/>
          <w:szCs w:val="24"/>
          <w:color w:val="B8BFC6"/>
          <w:spacing w:val="-13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A.</w:t>
      </w:r>
      <w:r>
        <w:rPr>
          <w:rFonts w:ascii="Arial" w:hAnsi="Arial" w:eastAsia="Arial" w:cs="Arial"/>
          <w:sz w:val="24"/>
          <w:szCs w:val="24"/>
          <w:color w:val="B8BFC6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Boundary</w:t>
      </w:r>
      <w:r>
        <w:rPr>
          <w:rFonts w:ascii="Arial" w:hAnsi="Arial" w:eastAsia="Arial" w:cs="Arial"/>
          <w:sz w:val="24"/>
          <w:szCs w:val="24"/>
          <w:color w:val="B8BFC6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IoU:</w:t>
      </w:r>
      <w:r>
        <w:rPr>
          <w:rFonts w:ascii="Arial" w:hAnsi="Arial" w:eastAsia="Arial" w:cs="Arial"/>
          <w:sz w:val="24"/>
          <w:szCs w:val="24"/>
          <w:color w:val="B8BFC6"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Improving Obj</w:t>
      </w:r>
      <w:r>
        <w:rPr>
          <w:rFonts w:ascii="Arial" w:hAnsi="Arial" w:eastAsia="Arial" w:cs="Arial"/>
          <w:sz w:val="24"/>
          <w:szCs w:val="24"/>
          <w:color w:val="B8BFC6"/>
          <w:spacing w:val="-4"/>
        </w:rPr>
        <w:t>ect-</w:t>
      </w:r>
      <w:r>
        <w:rPr>
          <w:rFonts w:ascii="Arial" w:hAnsi="Arial" w:eastAsia="Arial" w:cs="Arial"/>
          <w:sz w:val="24"/>
          <w:szCs w:val="24"/>
          <w:color w:val="B8BFC6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Centric</w:t>
      </w:r>
      <w:r>
        <w:rPr>
          <w:rFonts w:ascii="Arial" w:hAnsi="Arial" w:eastAsia="Arial" w:cs="Arial"/>
          <w:sz w:val="24"/>
          <w:szCs w:val="24"/>
          <w:color w:val="B8BFC6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Image Segmentation</w:t>
      </w:r>
      <w:r>
        <w:rPr>
          <w:rFonts w:ascii="Arial" w:hAnsi="Arial" w:eastAsia="Arial" w:cs="Arial"/>
          <w:sz w:val="24"/>
          <w:szCs w:val="24"/>
          <w:color w:val="B8BFC6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Evaluation.</w:t>
      </w:r>
      <w:r>
        <w:rPr>
          <w:rFonts w:ascii="Arial" w:hAnsi="Arial" w:eastAsia="Arial" w:cs="Arial"/>
          <w:sz w:val="24"/>
          <w:szCs w:val="24"/>
          <w:color w:val="B8BFC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Proceedings of the</w:t>
      </w:r>
      <w:r>
        <w:rPr>
          <w:rFonts w:ascii="Arial" w:hAnsi="Arial" w:eastAsia="Arial" w:cs="Arial"/>
          <w:sz w:val="24"/>
          <w:szCs w:val="24"/>
          <w:color w:val="B8BFC6"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IEEE/CVF Conference on Compu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ter</w:t>
      </w:r>
      <w:r>
        <w:rPr>
          <w:rFonts w:ascii="Arial" w:hAnsi="Arial" w:eastAsia="Arial" w:cs="Arial"/>
          <w:sz w:val="24"/>
          <w:szCs w:val="24"/>
          <w:color w:val="B8BFC6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Vision and</w:t>
      </w:r>
      <w:r>
        <w:rPr>
          <w:rFonts w:ascii="Arial" w:hAnsi="Arial" w:eastAsia="Arial" w:cs="Arial"/>
          <w:sz w:val="24"/>
          <w:szCs w:val="24"/>
          <w:color w:val="B8BFC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Pattern</w:t>
      </w:r>
      <w:r>
        <w:rPr>
          <w:rFonts w:ascii="Arial" w:hAnsi="Arial" w:eastAsia="Arial" w:cs="Arial"/>
          <w:sz w:val="24"/>
          <w:szCs w:val="24"/>
          <w:color w:val="B8BFC6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Recognition,</w:t>
      </w:r>
      <w:r>
        <w:rPr>
          <w:rFonts w:ascii="Arial" w:hAnsi="Arial" w:eastAsia="Arial" w:cs="Arial"/>
          <w:sz w:val="24"/>
          <w:szCs w:val="24"/>
          <w:color w:val="B8BFC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15334–15342, 2021. </w:t>
      </w:r>
      <w:hyperlink w:history="true" r:id="rId73">
        <w:r>
          <w:rPr>
            <w:rFonts w:ascii="Arial" w:hAnsi="Arial" w:eastAsia="Arial" w:cs="Arial"/>
            <w:sz w:val="24"/>
            <w:szCs w:val="24"/>
            <w:u w:val="single" w:color="auto"/>
            <w:color w:val="E0E0E0"/>
            <w:spacing w:val="-1"/>
          </w:rPr>
          <w:t>Source</w:t>
        </w:r>
      </w:hyperlink>
      <w:r>
        <w:rPr>
          <w:rFonts w:ascii="Arial" w:hAnsi="Arial" w:eastAsia="Arial" w:cs="Arial"/>
          <w:sz w:val="24"/>
          <w:szCs w:val="24"/>
          <w:color w:val="B8BFC6"/>
          <w:spacing w:val="-1"/>
        </w:rPr>
        <w:t>.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498" w:right="704" w:hanging="2"/>
        <w:spacing w:before="69" w:line="316" w:lineRule="auto"/>
        <w:rPr>
          <w:rFonts w:ascii="Arial" w:hAnsi="Arial" w:eastAsia="Arial" w:cs="Arial"/>
          <w:sz w:val="24"/>
          <w:szCs w:val="24"/>
        </w:rPr>
      </w:pPr>
      <w:bookmarkStart w:name="bookmark29" w:id="23"/>
      <w:bookmarkEnd w:id="23"/>
      <w:bookmarkStart w:name="bookmark12" w:id="24"/>
      <w:bookmarkEnd w:id="24"/>
      <w:bookmarkStart w:name="bookmark22" w:id="25"/>
      <w:bookmarkEnd w:id="25"/>
      <w:r>
        <w:rPr>
          <w:rFonts w:ascii="Arial" w:hAnsi="Arial" w:eastAsia="Arial" w:cs="Arial"/>
          <w:sz w:val="24"/>
          <w:szCs w:val="24"/>
          <w:color w:val="B8BFC6"/>
          <w:spacing w:val="-2"/>
        </w:rPr>
        <w:t>[12] Guo, C.,</w:t>
      </w:r>
      <w:r>
        <w:rPr>
          <w:rFonts w:ascii="Arial" w:hAnsi="Arial" w:eastAsia="Arial" w:cs="Arial"/>
          <w:sz w:val="24"/>
          <w:szCs w:val="24"/>
          <w:color w:val="B8BFC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Pleiss, G., Sun, Y.,</w:t>
      </w:r>
      <w:r>
        <w:rPr>
          <w:rFonts w:ascii="Arial" w:hAnsi="Arial" w:eastAsia="Arial" w:cs="Arial"/>
          <w:sz w:val="24"/>
          <w:szCs w:val="24"/>
          <w:color w:val="B8BFC6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and Weinberger,</w:t>
      </w:r>
      <w:r>
        <w:rPr>
          <w:rFonts w:ascii="Arial" w:hAnsi="Arial" w:eastAsia="Arial" w:cs="Arial"/>
          <w:sz w:val="24"/>
          <w:szCs w:val="24"/>
          <w:color w:val="B8BFC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K.</w:t>
      </w:r>
      <w:r>
        <w:rPr>
          <w:rFonts w:ascii="Arial" w:hAnsi="Arial" w:eastAsia="Arial" w:cs="Arial"/>
          <w:sz w:val="24"/>
          <w:szCs w:val="24"/>
          <w:color w:val="B8BFC6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Q.</w:t>
      </w:r>
      <w:r>
        <w:rPr>
          <w:rFonts w:ascii="Arial" w:hAnsi="Arial" w:eastAsia="Arial" w:cs="Arial"/>
          <w:sz w:val="24"/>
          <w:szCs w:val="24"/>
          <w:color w:val="B8BFC6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On</w:t>
      </w:r>
      <w:r>
        <w:rPr>
          <w:rFonts w:ascii="Arial" w:hAnsi="Arial" w:eastAsia="Arial" w:cs="Arial"/>
          <w:sz w:val="24"/>
          <w:szCs w:val="24"/>
          <w:color w:val="B8BFC6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Calib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ration</w:t>
      </w:r>
      <w:r>
        <w:rPr>
          <w:rFonts w:ascii="Arial" w:hAnsi="Arial" w:eastAsia="Arial" w:cs="Arial"/>
          <w:sz w:val="24"/>
          <w:szCs w:val="24"/>
          <w:color w:val="B8BFC6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of</w:t>
      </w:r>
      <w:r>
        <w:rPr>
          <w:rFonts w:ascii="Arial" w:hAnsi="Arial" w:eastAsia="Arial" w:cs="Arial"/>
          <w:sz w:val="24"/>
          <w:szCs w:val="24"/>
          <w:color w:val="B8BFC6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Modern</w:t>
      </w:r>
      <w:r>
        <w:rPr>
          <w:rFonts w:ascii="Arial" w:hAnsi="Arial" w:eastAsia="Arial" w:cs="Arial"/>
          <w:sz w:val="24"/>
          <w:szCs w:val="24"/>
          <w:color w:val="B8BFC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Neural</w:t>
      </w:r>
      <w:r>
        <w:rPr>
          <w:rFonts w:ascii="Arial" w:hAnsi="Arial" w:eastAsia="Arial" w:cs="Arial"/>
          <w:sz w:val="24"/>
          <w:szCs w:val="24"/>
          <w:color w:val="B8BFC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3"/>
        </w:rPr>
        <w:t>Networks.</w:t>
      </w:r>
      <w:r>
        <w:rPr>
          <w:rFonts w:ascii="Arial" w:hAnsi="Arial" w:eastAsia="Arial" w:cs="Arial"/>
          <w:sz w:val="24"/>
          <w:szCs w:val="24"/>
          <w:color w:val="B8BFC6"/>
        </w:rPr>
        <w:t xml:space="preserve"> 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Proceedings of the 34th</w:t>
      </w:r>
      <w:r>
        <w:rPr>
          <w:rFonts w:ascii="Arial" w:hAnsi="Arial" w:eastAsia="Arial" w:cs="Arial"/>
          <w:sz w:val="24"/>
          <w:szCs w:val="24"/>
          <w:color w:val="B8BFC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International Conference on</w:t>
      </w:r>
      <w:r>
        <w:rPr>
          <w:rFonts w:ascii="Arial" w:hAnsi="Arial" w:eastAsia="Arial" w:cs="Arial"/>
          <w:sz w:val="24"/>
          <w:szCs w:val="24"/>
          <w:color w:val="B8BFC6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M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achine</w:t>
      </w:r>
      <w:r>
        <w:rPr>
          <w:rFonts w:ascii="Arial" w:hAnsi="Arial" w:eastAsia="Arial" w:cs="Arial"/>
          <w:sz w:val="24"/>
          <w:szCs w:val="24"/>
          <w:color w:val="B8BFC6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Learning,</w:t>
      </w:r>
      <w:r>
        <w:rPr>
          <w:rFonts w:ascii="Arial" w:hAnsi="Arial" w:eastAsia="Arial" w:cs="Arial"/>
          <w:sz w:val="24"/>
          <w:szCs w:val="24"/>
          <w:color w:val="B8BFC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PMLR 70,</w:t>
      </w:r>
      <w:r>
        <w:rPr>
          <w:rFonts w:ascii="Arial" w:hAnsi="Arial" w:eastAsia="Arial" w:cs="Arial"/>
          <w:sz w:val="24"/>
          <w:szCs w:val="24"/>
          <w:color w:val="B8BFC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1321–1330, 2017.</w:t>
      </w:r>
    </w:p>
    <w:p>
      <w:pPr>
        <w:ind w:left="490"/>
        <w:spacing w:before="94" w:line="263" w:lineRule="auto"/>
        <w:rPr>
          <w:rFonts w:ascii="Arial" w:hAnsi="Arial" w:eastAsia="Arial" w:cs="Arial"/>
          <w:sz w:val="24"/>
          <w:szCs w:val="24"/>
        </w:rPr>
      </w:pPr>
      <w:hyperlink w:history="true" r:id="rId74">
        <w:r>
          <w:rPr>
            <w:rFonts w:ascii="Arial" w:hAnsi="Arial" w:eastAsia="Arial" w:cs="Arial"/>
            <w:sz w:val="24"/>
            <w:szCs w:val="24"/>
            <w:u w:val="single" w:color="auto"/>
            <w:color w:val="E0E0E0"/>
          </w:rPr>
          <w:t>Source</w:t>
        </w:r>
      </w:hyperlink>
      <w:r>
        <w:rPr>
          <w:rFonts w:ascii="Arial" w:hAnsi="Arial" w:eastAsia="Arial" w:cs="Arial"/>
          <w:sz w:val="24"/>
          <w:szCs w:val="24"/>
          <w:color w:val="B8BFC6"/>
          <w:spacing w:val="11"/>
        </w:rPr>
        <w:t>.</w:t>
      </w:r>
    </w:p>
    <w:p>
      <w:pPr>
        <w:spacing w:line="263" w:lineRule="auto"/>
        <w:sectPr>
          <w:headerReference w:type="default" r:id="rId63"/>
          <w:pgSz w:w="11919" w:h="16858"/>
          <w:pgMar w:top="400" w:right="0" w:bottom="921" w:left="0" w:header="0" w:footer="6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447" w:lineRule="auto"/>
        <w:rPr>
          <w:rFonts w:ascii="Arial"/>
          <w:sz w:val="21"/>
        </w:rPr>
      </w:pPr>
      <w:r/>
    </w:p>
    <w:p>
      <w:pPr>
        <w:ind w:left="497" w:right="706" w:hanging="1"/>
        <w:spacing w:before="69" w:line="31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B8BFC6"/>
          <w:spacing w:val="-4"/>
        </w:rPr>
        <w:t>[</w:t>
      </w:r>
      <w:hyperlink w:history="true" w:anchor="bookmark31">
        <w:r>
          <w:rPr>
            <w:rFonts w:ascii="Arial" w:hAnsi="Arial" w:eastAsia="Arial" w:cs="Arial"/>
            <w:sz w:val="24"/>
            <w:szCs w:val="24"/>
            <w:color w:val="B8BFC6"/>
            <w:spacing w:val="-4"/>
          </w:rPr>
          <w:t>13</w:t>
        </w:r>
      </w:hyperlink>
      <w:r>
        <w:rPr>
          <w:rFonts w:ascii="Arial" w:hAnsi="Arial" w:eastAsia="Arial" w:cs="Arial"/>
          <w:sz w:val="24"/>
          <w:szCs w:val="24"/>
          <w:color w:val="B8BFC6"/>
          <w:spacing w:val="-4"/>
        </w:rPr>
        <w:t>]</w:t>
      </w:r>
      <w:r>
        <w:rPr>
          <w:rFonts w:ascii="Arial" w:hAnsi="Arial" w:eastAsia="Arial" w:cs="Arial"/>
          <w:sz w:val="24"/>
          <w:szCs w:val="24"/>
          <w:color w:val="B8BFC6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4"/>
        </w:rPr>
        <w:t>Lin, T.-Y.,</w:t>
      </w:r>
      <w:r>
        <w:rPr>
          <w:rFonts w:ascii="Arial" w:hAnsi="Arial" w:eastAsia="Arial" w:cs="Arial"/>
          <w:sz w:val="24"/>
          <w:szCs w:val="24"/>
          <w:color w:val="B8BFC6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4"/>
        </w:rPr>
        <w:t>Maire,</w:t>
      </w:r>
      <w:r>
        <w:rPr>
          <w:rFonts w:ascii="Arial" w:hAnsi="Arial" w:eastAsia="Arial" w:cs="Arial"/>
          <w:sz w:val="24"/>
          <w:szCs w:val="24"/>
          <w:color w:val="B8BFC6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4"/>
        </w:rPr>
        <w:t>M.,</w:t>
      </w:r>
      <w:r>
        <w:rPr>
          <w:rFonts w:ascii="Arial" w:hAnsi="Arial" w:eastAsia="Arial" w:cs="Arial"/>
          <w:sz w:val="24"/>
          <w:szCs w:val="24"/>
          <w:color w:val="B8BFC6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4"/>
        </w:rPr>
        <w:t>Belongie, S.,</w:t>
      </w:r>
      <w:r>
        <w:rPr>
          <w:rFonts w:ascii="Arial" w:hAnsi="Arial" w:eastAsia="Arial" w:cs="Arial"/>
          <w:sz w:val="24"/>
          <w:szCs w:val="24"/>
          <w:color w:val="B8BFC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4"/>
        </w:rPr>
        <w:t>Hays, J.,</w:t>
      </w:r>
      <w:r>
        <w:rPr>
          <w:rFonts w:ascii="Arial" w:hAnsi="Arial" w:eastAsia="Arial" w:cs="Arial"/>
          <w:sz w:val="24"/>
          <w:szCs w:val="24"/>
          <w:color w:val="B8BFC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4"/>
        </w:rPr>
        <w:t>Perona,</w:t>
      </w:r>
      <w:r>
        <w:rPr>
          <w:rFonts w:ascii="Arial" w:hAnsi="Arial" w:eastAsia="Arial" w:cs="Arial"/>
          <w:sz w:val="24"/>
          <w:szCs w:val="24"/>
          <w:color w:val="B8BFC6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4"/>
        </w:rPr>
        <w:t>P.,</w:t>
      </w:r>
      <w:r>
        <w:rPr>
          <w:rFonts w:ascii="Arial" w:hAnsi="Arial" w:eastAsia="Arial" w:cs="Arial"/>
          <w:sz w:val="24"/>
          <w:szCs w:val="24"/>
          <w:color w:val="B8BFC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4"/>
        </w:rPr>
        <w:t>Ramanan,</w:t>
      </w:r>
      <w:r>
        <w:rPr>
          <w:rFonts w:ascii="Arial" w:hAnsi="Arial" w:eastAsia="Arial" w:cs="Arial"/>
          <w:sz w:val="24"/>
          <w:szCs w:val="24"/>
          <w:color w:val="B8BFC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4"/>
        </w:rPr>
        <w:t>D.,</w:t>
      </w:r>
      <w:r>
        <w:rPr>
          <w:rFonts w:ascii="Arial" w:hAnsi="Arial" w:eastAsia="Arial" w:cs="Arial"/>
          <w:sz w:val="24"/>
          <w:szCs w:val="24"/>
          <w:color w:val="B8BFC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4"/>
        </w:rPr>
        <w:t>Dollár,</w:t>
      </w:r>
      <w:r>
        <w:rPr>
          <w:rFonts w:ascii="Arial" w:hAnsi="Arial" w:eastAsia="Arial" w:cs="Arial"/>
          <w:sz w:val="24"/>
          <w:szCs w:val="24"/>
          <w:color w:val="B8BFC6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4"/>
        </w:rPr>
        <w:t>P., and Zitnick, C.</w:t>
      </w:r>
      <w:r>
        <w:rPr>
          <w:rFonts w:ascii="Arial" w:hAnsi="Arial" w:eastAsia="Arial" w:cs="Arial"/>
          <w:sz w:val="24"/>
          <w:szCs w:val="24"/>
          <w:color w:val="B8BFC6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4"/>
        </w:rPr>
        <w:t>L.</w:t>
      </w:r>
      <w:r>
        <w:rPr>
          <w:rFonts w:ascii="Arial" w:hAnsi="Arial" w:eastAsia="Arial" w:cs="Arial"/>
          <w:sz w:val="24"/>
          <w:szCs w:val="24"/>
          <w:color w:val="B8BFC6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Microsoft COCO: Common Objects in</w:t>
      </w:r>
      <w:r>
        <w:rPr>
          <w:rFonts w:ascii="Arial" w:hAnsi="Arial" w:eastAsia="Arial" w:cs="Arial"/>
          <w:sz w:val="24"/>
          <w:szCs w:val="24"/>
          <w:color w:val="B8BFC6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Context.</w:t>
      </w:r>
      <w:r>
        <w:rPr>
          <w:rFonts w:ascii="Arial" w:hAnsi="Arial" w:eastAsia="Arial" w:cs="Arial"/>
          <w:sz w:val="24"/>
          <w:szCs w:val="24"/>
          <w:color w:val="B8BFC6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Computer Vision –</w:t>
      </w:r>
      <w:r>
        <w:rPr>
          <w:rFonts w:ascii="Arial" w:hAnsi="Arial" w:eastAsia="Arial" w:cs="Arial"/>
          <w:sz w:val="24"/>
          <w:szCs w:val="24"/>
          <w:color w:val="B8BFC6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ECCV 2014,</w:t>
      </w:r>
      <w:r>
        <w:rPr>
          <w:rFonts w:ascii="Arial" w:hAnsi="Arial" w:eastAsia="Arial" w:cs="Arial"/>
          <w:sz w:val="24"/>
          <w:szCs w:val="24"/>
          <w:color w:val="B8BFC6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740–755,</w:t>
      </w:r>
      <w:r>
        <w:rPr>
          <w:rFonts w:ascii="Arial" w:hAnsi="Arial" w:eastAsia="Arial" w:cs="Arial"/>
          <w:sz w:val="24"/>
          <w:szCs w:val="24"/>
          <w:color w:val="B8BFC6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2"/>
        </w:rPr>
        <w:t>2014.</w:t>
      </w:r>
    </w:p>
    <w:p>
      <w:pPr>
        <w:ind w:left="490"/>
        <w:spacing w:before="94" w:line="263" w:lineRule="auto"/>
        <w:rPr>
          <w:rFonts w:ascii="Arial" w:hAnsi="Arial" w:eastAsia="Arial" w:cs="Arial"/>
          <w:sz w:val="24"/>
          <w:szCs w:val="24"/>
        </w:rPr>
      </w:pPr>
      <w:hyperlink w:history="true" r:id="rId76">
        <w:r>
          <w:rPr>
            <w:rFonts w:ascii="Arial" w:hAnsi="Arial" w:eastAsia="Arial" w:cs="Arial"/>
            <w:sz w:val="24"/>
            <w:szCs w:val="24"/>
            <w:u w:val="single" w:color="auto"/>
            <w:color w:val="E0E0E0"/>
          </w:rPr>
          <w:t>Source</w:t>
        </w:r>
      </w:hyperlink>
      <w:r>
        <w:rPr>
          <w:rFonts w:ascii="Arial" w:hAnsi="Arial" w:eastAsia="Arial" w:cs="Arial"/>
          <w:sz w:val="24"/>
          <w:szCs w:val="24"/>
          <w:color w:val="B8BFC6"/>
          <w:spacing w:val="11"/>
        </w:rPr>
        <w:t>.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ind w:left="491" w:right="694" w:firstLine="4"/>
        <w:spacing w:before="69" w:line="33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B8BFC6"/>
          <w:spacing w:val="-1"/>
        </w:rPr>
        <w:t>[</w:t>
      </w:r>
      <w:hyperlink w:history="true" w:anchor="bookmark32">
        <w:r>
          <w:rPr>
            <w:rFonts w:ascii="Arial" w:hAnsi="Arial" w:eastAsia="Arial" w:cs="Arial"/>
            <w:sz w:val="24"/>
            <w:szCs w:val="24"/>
            <w:color w:val="B8BFC6"/>
            <w:spacing w:val="-1"/>
          </w:rPr>
          <w:t>14</w:t>
        </w:r>
      </w:hyperlink>
      <w:r>
        <w:rPr>
          <w:rFonts w:ascii="Arial" w:hAnsi="Arial" w:eastAsia="Arial" w:cs="Arial"/>
          <w:sz w:val="24"/>
          <w:szCs w:val="24"/>
          <w:color w:val="B8BFC6"/>
          <w:spacing w:val="-1"/>
        </w:rPr>
        <w:t>] COCO Consortium.</w:t>
      </w:r>
      <w:r>
        <w:rPr>
          <w:rFonts w:ascii="Arial" w:hAnsi="Arial" w:eastAsia="Arial" w:cs="Arial"/>
          <w:sz w:val="24"/>
          <w:szCs w:val="24"/>
          <w:color w:val="B8BFC6"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Detection</w:t>
      </w:r>
      <w:r>
        <w:rPr>
          <w:rFonts w:ascii="Arial" w:hAnsi="Arial" w:eastAsia="Arial" w:cs="Arial"/>
          <w:sz w:val="24"/>
          <w:szCs w:val="24"/>
          <w:color w:val="B8BFC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Evaluation. Official COCO evaluation</w:t>
      </w:r>
      <w:r>
        <w:rPr>
          <w:rFonts w:ascii="Arial" w:hAnsi="Arial" w:eastAsia="Arial" w:cs="Arial"/>
          <w:sz w:val="24"/>
          <w:szCs w:val="24"/>
          <w:color w:val="B8BFC6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documentation,</w:t>
      </w:r>
      <w:r>
        <w:rPr>
          <w:rFonts w:ascii="Arial" w:hAnsi="Arial" w:eastAsia="Arial" w:cs="Arial"/>
          <w:sz w:val="24"/>
          <w:szCs w:val="24"/>
          <w:color w:val="B8BFC6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accessed</w:t>
      </w:r>
      <w:r>
        <w:rPr>
          <w:rFonts w:ascii="Arial" w:hAnsi="Arial" w:eastAsia="Arial" w:cs="Arial"/>
          <w:sz w:val="24"/>
          <w:szCs w:val="24"/>
          <w:color w:val="B8BFC6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  <w:spacing w:val="-1"/>
        </w:rPr>
        <w:t>25</w:t>
      </w:r>
      <w:r>
        <w:rPr>
          <w:rFonts w:ascii="Arial" w:hAnsi="Arial" w:eastAsia="Arial" w:cs="Arial"/>
          <w:sz w:val="24"/>
          <w:szCs w:val="24"/>
          <w:color w:val="B8BFC6"/>
        </w:rPr>
        <w:t xml:space="preserve"> </w:t>
      </w:r>
      <w:r>
        <w:rPr>
          <w:rFonts w:ascii="Arial" w:hAnsi="Arial" w:eastAsia="Arial" w:cs="Arial"/>
          <w:sz w:val="24"/>
          <w:szCs w:val="24"/>
          <w:color w:val="B8BFC6"/>
        </w:rPr>
        <w:t>October</w:t>
      </w:r>
      <w:r>
        <w:rPr>
          <w:rFonts w:ascii="Arial" w:hAnsi="Arial" w:eastAsia="Arial" w:cs="Arial"/>
          <w:sz w:val="24"/>
          <w:szCs w:val="24"/>
          <w:color w:val="B8BFC6"/>
          <w:spacing w:val="1"/>
        </w:rPr>
        <w:t xml:space="preserve"> 2026. </w:t>
      </w:r>
      <w:hyperlink w:history="true" r:id="rId77">
        <w:r>
          <w:rPr>
            <w:rFonts w:ascii="Arial" w:hAnsi="Arial" w:eastAsia="Arial" w:cs="Arial"/>
            <w:sz w:val="24"/>
            <w:szCs w:val="24"/>
            <w:u w:val="single" w:color="auto"/>
            <w:color w:val="E0E0E0"/>
          </w:rPr>
          <w:t>Source</w:t>
        </w:r>
      </w:hyperlink>
      <w:r>
        <w:rPr>
          <w:rFonts w:ascii="Arial" w:hAnsi="Arial" w:eastAsia="Arial" w:cs="Arial"/>
          <w:sz w:val="24"/>
          <w:szCs w:val="24"/>
          <w:color w:val="B8BFC6"/>
          <w:spacing w:val="1"/>
        </w:rPr>
        <w:t>.</w:t>
      </w:r>
    </w:p>
    <w:sectPr>
      <w:headerReference w:type="default" r:id="rId75"/>
      <w:pgSz w:w="11919" w:h="16858"/>
      <w:pgMar w:top="400" w:right="0" w:bottom="921" w:left="0" w:header="0" w:footer="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orbel">
    <w:panose1 w:val="020B0703020204020204"/>
    <w:charset w:val="00"/>
    <w:family w:val="auto"/>
    <w:pitch w:val="variable"/>
    <w:sig w:usb0="A00002EF" w:usb1="4000A44B" w:usb2="00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rebuchet MS">
    <w:panose1 w:val="020B0603020202020204"/>
    <w:charset w:val="00"/>
    <w:family w:val="auto"/>
    <w:pitch w:val="variable"/>
    <w:sig w:usb0="00000687" w:usb1="00000000" w:usb2="00000000" w:usb3="00000000" w:csb0="200000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rFonts w:ascii="Arial"/>
        <w:sz w:val="21"/>
      </w:rPr>
    </w:pPr>
    <w:r>
      <w:pict>
        <v:rect id="_x0000_s8" style="position:absolute;margin-left:0pt;margin-top:796.8pt;mso-position-vertical-relative:page;mso-position-horizontal-relative:page;width:595.95pt;height:45.75pt;z-index:251660288;" o:allowincell="f" fillcolor="#363B40" filled="true" stroked="false"/>
      </w:pict>
    </w: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8565" cy="10700385"/>
              <wp:effectExtent l="0" t="0" r="0" b="0"/>
              <wp:wrapNone/>
              <wp:docPr id="2" name="Rect 2"/>
              <wp:cNvGraphicFramePr/>
              <a:graphic>
                <a:graphicData uri="http://schemas.microsoft.com/office/word/2010/wordprocessingShape">
                  <wps:wsp>
                    <wps:cNvPr id="2" name="Rect 2"/>
                    <wps:cNvSpPr/>
                    <wps:spPr>
                      <a:xfrm>
                        <a:off x="0" y="0"/>
                        <a:ext cx="7568565" cy="10700385"/>
                      </a:xfrm>
                      <a:prstGeom prst="rect">
                        <a:avLst/>
                      </a:prstGeom>
                      <a:solidFill>
                        <a:srgbClr val="363B40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" style="position:absolute;margin-left:0pt;margin-top:0pt;mso-position-vertical-relative:page;mso-position-horizontal-relative:page;width:595.95pt;height:842.55pt;z-index:-251658240;" o:allowincell="f" fillcolor="#363B40" filled="true" stroked="false"/>
          </w:pict>
        </mc:Fallback>
      </mc:AlternateConten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4" style="position:absolute;margin-left:0pt;margin-top:0pt;mso-position-vertical-relative:page;mso-position-horizontal-relative:page;width:595.95pt;height:842.55pt;z-index:251659264;" o:allowincell="f" fillcolor="#363B40" filled="true" stroked="false"/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6" style="position:absolute;margin-left:0pt;margin-top:0pt;mso-position-vertical-relative:page;mso-position-horizontal-relative:page;width:595.95pt;height:798pt;z-index:251661312;" o:allowincell="f" fillcolor="#363B40" filled="true" stroked="false"/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10" style="position:absolute;margin-left:0pt;margin-top:0pt;mso-position-vertical-relative:page;mso-position-horizontal-relative:page;width:595.95pt;height:798pt;z-index:251663360;" o:allowincell="f" fillcolor="#363B40" filled="true" stroked="false"/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12" style="position:absolute;margin-left:0pt;margin-top:45pt;mso-position-vertical-relative:page;mso-position-horizontal-relative:page;width:595.95pt;height:753pt;z-index:251665408;" o:allowincell="f" fillcolor="#363B40" filled="true" stroked="false"/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32" style="position:absolute;margin-left:0pt;margin-top:0pt;mso-position-vertical-relative:page;mso-position-horizontal-relative:page;width:595.95pt;height:798pt;z-index:251667456;" o:allowincell="f" fillcolor="#363B40" filled="true" stroked="false"/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34" style="position:absolute;margin-left:0pt;margin-top:0pt;mso-position-vertical-relative:page;mso-position-horizontal-relative:page;width:595.95pt;height:798pt;z-index:251669504;" o:allowincell="f" fillcolor="#363B40" filled="true" stroked="false"/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36" style="position:absolute;margin-left:0pt;margin-top:0pt;mso-position-vertical-relative:page;mso-position-horizontal-relative:page;width:595.95pt;height:798pt;z-index:251671552;" o:allowincell="f" fillcolor="#363B40" filled="true" stroked="false"/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38" style="position:absolute;margin-left:0pt;margin-top:0pt;mso-position-vertical-relative:page;mso-position-horizontal-relative:page;width:595.95pt;height:798pt;z-index:251673600;" o:allowincell="f" fillcolor="#363B40" filled="true" stroked="false"/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40" style="position:absolute;margin-left:0pt;margin-top:0pt;mso-position-vertical-relative:page;mso-position-horizontal-relative:page;width:595.95pt;height:798pt;z-index:251675648;" o:allowincell="f" fillcolor="#363B40" filled="true" stroked="false"/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42" style="position:absolute;margin-left:0pt;margin-top:0pt;mso-position-vertical-relative:page;mso-position-horizontal-relative:page;width:595.95pt;height:798pt;z-index:251677696;" o:allowincell="f" fillcolor="#363B40" filled="true" stroked="false"/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44" style="position:absolute;margin-left:0pt;margin-top:0pt;mso-position-vertical-relative:page;mso-position-horizontal-relative:page;width:595.95pt;height:798pt;z-index:251679744;" o:allowincell="f" fillcolor="#363B40" filled="true" stroked="false"/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46" style="position:absolute;margin-left:0pt;margin-top:0pt;mso-position-vertical-relative:page;mso-position-horizontal-relative:page;width:595.95pt;height:798pt;z-index:251681792;" o:allowincell="f" fillcolor="#363B40" filled="true" stroked="false"/>
      </w:pict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48" style="position:absolute;margin-left:0pt;margin-top:0pt;mso-position-vertical-relative:page;mso-position-horizontal-relative:page;width:595.95pt;height:798pt;z-index:251683840;" o:allowincell="f" fillcolor="#363B40" filled="true" stroked="false"/>
      </w:pic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50" style="position:absolute;margin-left:0pt;margin-top:0pt;mso-position-vertical-relative:page;mso-position-horizontal-relative:page;width:595.95pt;height:798pt;z-index:251685888;" o:allowincell="f" fillcolor="#363B40" filled="true" stroked="false"/>
      </w:pict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52" style="position:absolute;margin-left:0pt;margin-top:0pt;mso-position-vertical-relative:page;mso-position-horizontal-relative:page;width:595.95pt;height:798pt;z-index:251687936;" o:allowincell="f" fillcolor="#363B40" filled="true" stroked="false"/>
      </w:pict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54" style="position:absolute;margin-left:0pt;margin-top:0pt;mso-position-vertical-relative:page;mso-position-horizontal-relative:page;width:595.95pt;height:798pt;z-index:251689984;" o:allowincell="f" fillcolor="#363B40" filled="true" stroked="false"/>
      </w:pict>
    </w:r>
    <w:r/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56" style="position:absolute;margin-left:0pt;margin-top:0pt;mso-position-vertical-relative:page;mso-position-horizontal-relative:page;width:595.95pt;height:798pt;z-index:251692032;" o:allowincell="f" fillcolor="#363B40" filled="true" stroked="false"/>
      </w:pict>
    </w:r>
    <w:r/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58" style="position:absolute;margin-left:0pt;margin-top:0pt;mso-position-vertical-relative:page;mso-position-horizontal-relative:page;width:595.95pt;height:798pt;z-index:251694080;" o:allowincell="f" fillcolor="#363B40" filled="true" stroked="false"/>
      </w:pict>
    </w:r>
    <w:r/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60" style="position:absolute;margin-left:0pt;margin-top:0pt;mso-position-vertical-relative:page;mso-position-horizontal-relative:page;width:595.95pt;height:798pt;z-index:251696128;" o:allowincell="f" fillcolor="#363B40" filled="true" stroked="false"/>
      </w:pict>
    </w:r>
    <w:r/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62" style="position:absolute;margin-left:0pt;margin-top:0pt;mso-position-vertical-relative:page;mso-position-horizontal-relative:page;width:595.95pt;height:798pt;z-index:251698176;" o:allowincell="f" fillcolor="#363B40" filled="true" stroked="false"/>
      </w:pict>
    </w:r>
    <w:r/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64" style="position:absolute;margin-left:0pt;margin-top:0pt;mso-position-vertical-relative:page;mso-position-horizontal-relative:page;width:595.95pt;height:798pt;z-index:251700224;" o:allowincell="f" fillcolor="#363B40" filled="true" stroked="false"/>
      </w:pict>
    </w:r>
    <w:r/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66" style="position:absolute;margin-left:0pt;margin-top:0pt;mso-position-vertical-relative:page;mso-position-horizontal-relative:page;width:595.95pt;height:798pt;z-index:251702272;" o:allowincell="f" fillcolor="#363B40" filled="true" stroked="false"/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0" Type="http://schemas.openxmlformats.org/officeDocument/2006/relationships/fontTable" Target="fontTable.xml"/><Relationship Id="rId8" Type="http://schemas.openxmlformats.org/officeDocument/2006/relationships/image" Target="media/image2.png"/><Relationship Id="rId79" Type="http://schemas.openxmlformats.org/officeDocument/2006/relationships/styles" Target="styles.xml"/><Relationship Id="rId78" Type="http://schemas.openxmlformats.org/officeDocument/2006/relationships/settings" Target="settings.xml"/><Relationship Id="rId77" Type="http://schemas.openxmlformats.org/officeDocument/2006/relationships/hyperlink" Target="https://cocodataset.org/dataset/detection-eval.htm" TargetMode="External"/><Relationship Id="rId76" Type="http://schemas.openxmlformats.org/officeDocument/2006/relationships/hyperlink" Target="https://doi.org/10.1007/978-3-319-10602-1_48" TargetMode="External"/><Relationship Id="rId75" Type="http://schemas.openxmlformats.org/officeDocument/2006/relationships/header" Target="header23.xml"/><Relationship Id="rId74" Type="http://schemas.openxmlformats.org/officeDocument/2006/relationships/hyperlink" Target="https://proceedings.mlr.press/v70/guo17a.html" TargetMode="External"/><Relationship Id="rId73" Type="http://schemas.openxmlformats.org/officeDocument/2006/relationships/hyperlink" Target="https://openaccess.thecvf.com/content/CVPR2021/html/Cheng_Boundary_IoU_Improving_Object-Centric_Image_Segmentation_Evaluation_CVPR_2021_paper.html" TargetMode="External"/><Relationship Id="rId72" Type="http://schemas.openxmlformats.org/officeDocument/2006/relationships/hyperlink" Target="https://openaccess.thecvf.com/content_CVPR_2020/html/Kirillov_PointRend_Image_Segmentation_As_Rendering_CVPR_2020_paper.html" TargetMode="External"/><Relationship Id="rId71" Type="http://schemas.openxmlformats.org/officeDocument/2006/relationships/hyperlink" Target="https://papers.nips.cc/paper/2020/hash/f0bda020d2470f2e74990a07a607ebd9-Abstract.html" TargetMode="External"/><Relationship Id="rId70" Type="http://schemas.openxmlformats.org/officeDocument/2006/relationships/hyperlink" Target="https://openaccess.thecvf.com/content_CVPR_2019/html/Huang_Mask_Scoring_R-CNN_CVPR_2019_paper.html" TargetMode="External"/><Relationship Id="rId7" Type="http://schemas.openxmlformats.org/officeDocument/2006/relationships/image" Target="media/image1.png"/><Relationship Id="rId69" Type="http://schemas.openxmlformats.org/officeDocument/2006/relationships/hyperlink" Target="https://docs.ultralytics.com/models/yolo26/" TargetMode="External"/><Relationship Id="rId68" Type="http://schemas.openxmlformats.org/officeDocument/2006/relationships/hyperlink" Target="https://doi.org/10.1109/ICCV.2019.00925" TargetMode="External"/><Relationship Id="rId67" Type="http://schemas.openxmlformats.org/officeDocument/2006/relationships/hyperlink" Target="https://openaccess.thecvf.com/content_iccv_2017/html/He_Mask_R-CNN_ICCV_2017_paper.html" TargetMode="External"/><Relationship Id="rId66" Type="http://schemas.openxmlformats.org/officeDocument/2006/relationships/hyperlink" Target="https://doi.org/10.1016/j.atech.2025.101224" TargetMode="External"/><Relationship Id="rId65" Type="http://schemas.openxmlformats.org/officeDocument/2006/relationships/hyperlink" Target="https://doi.org/10.1016/j.inpa.2026.09.004" TargetMode="External"/><Relationship Id="rId64" Type="http://schemas.openxmlformats.org/officeDocument/2006/relationships/hyperlink" Target="https://doi.org/10.3390/foods15162869" TargetMode="External"/><Relationship Id="rId63" Type="http://schemas.openxmlformats.org/officeDocument/2006/relationships/header" Target="header22.xml"/><Relationship Id="rId62" Type="http://schemas.openxmlformats.org/officeDocument/2006/relationships/hyperlink" Target="https://doi.org/10.3390/s25113365" TargetMode="External"/><Relationship Id="rId61" Type="http://schemas.openxmlformats.org/officeDocument/2006/relationships/header" Target="header21.xml"/><Relationship Id="rId60" Type="http://schemas.openxmlformats.org/officeDocument/2006/relationships/header" Target="header20.xml"/><Relationship Id="rId6" Type="http://schemas.openxmlformats.org/officeDocument/2006/relationships/header" Target="header5.xml"/><Relationship Id="rId59" Type="http://schemas.openxmlformats.org/officeDocument/2006/relationships/header" Target="header19.xml"/><Relationship Id="rId58" Type="http://schemas.openxmlformats.org/officeDocument/2006/relationships/header" Target="header18.xml"/><Relationship Id="rId57" Type="http://schemas.openxmlformats.org/officeDocument/2006/relationships/header" Target="header17.xml"/><Relationship Id="rId56" Type="http://schemas.openxmlformats.org/officeDocument/2006/relationships/image" Target="media/image39.jpeg"/><Relationship Id="rId55" Type="http://schemas.openxmlformats.org/officeDocument/2006/relationships/header" Target="header16.xml"/><Relationship Id="rId54" Type="http://schemas.openxmlformats.org/officeDocument/2006/relationships/header" Target="header15.xml"/><Relationship Id="rId53" Type="http://schemas.openxmlformats.org/officeDocument/2006/relationships/image" Target="media/image38.jpeg"/><Relationship Id="rId52" Type="http://schemas.openxmlformats.org/officeDocument/2006/relationships/header" Target="header14.xml"/><Relationship Id="rId51" Type="http://schemas.openxmlformats.org/officeDocument/2006/relationships/image" Target="media/image37.jpeg"/><Relationship Id="rId50" Type="http://schemas.openxmlformats.org/officeDocument/2006/relationships/header" Target="header13.xml"/><Relationship Id="rId5" Type="http://schemas.openxmlformats.org/officeDocument/2006/relationships/header" Target="header4.xml"/><Relationship Id="rId49" Type="http://schemas.openxmlformats.org/officeDocument/2006/relationships/image" Target="media/image36.jpeg"/><Relationship Id="rId48" Type="http://schemas.openxmlformats.org/officeDocument/2006/relationships/header" Target="header12.xml"/><Relationship Id="rId47" Type="http://schemas.openxmlformats.org/officeDocument/2006/relationships/header" Target="header11.xml"/><Relationship Id="rId46" Type="http://schemas.openxmlformats.org/officeDocument/2006/relationships/header" Target="header10.xml"/><Relationship Id="rId45" Type="http://schemas.openxmlformats.org/officeDocument/2006/relationships/header" Target="header9.xml"/><Relationship Id="rId44" Type="http://schemas.openxmlformats.org/officeDocument/2006/relationships/header" Target="header8.xml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footer" Target="footer1.xml"/><Relationship Id="rId39" Type="http://schemas.openxmlformats.org/officeDocument/2006/relationships/header" Target="header7.xml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3.xml"/><Relationship Id="rId29" Type="http://schemas.openxmlformats.org/officeDocument/2006/relationships/image" Target="media/image22.png"/><Relationship Id="rId28" Type="http://schemas.openxmlformats.org/officeDocument/2006/relationships/image" Target="media/image21.jpe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header" Target="header6.xml"/><Relationship Id="rId2" Type="http://schemas.openxmlformats.org/officeDocument/2006/relationships/header" Target="header2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2026-10-27T12:23:38Z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2026-10-28T09:59:26</vt:filetime>
  </property>
</Properties>
</file>