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Eyebrow"/>
        <w:keepNext/>
      </w:pPr>
      <w:r>
        <w:t>GUIDA / PRESENTAZIONE</w:t>
      </w:r>
    </w:p>
    <w:p>
      <w:pPr>
        <w:pStyle w:val="ARTitle"/>
        <w:keepNext/>
      </w:pPr>
      <w:r>
        <w:t>Monitoraggio degli</w:t>
        <w:br/>
        <w:t>obiettivi terapeutici</w:t>
      </w:r>
    </w:p>
    <w:p>
      <w:pPr>
        <w:pStyle w:val="ARSubtitle"/>
        <w:keepNext w:val="0"/>
      </w:pPr>
      <w:r>
        <w:t>MOT v1.0 · Osservazioni, criteri individuali e decisioni nel tempo.</w:t>
      </w:r>
    </w:p>
    <w:p>
      <w:pPr>
        <w:keepNext w:val="0"/>
      </w:pPr>
      <w:r>
        <w:rPr>
          <w:sz w:val="21"/>
        </w:rPr>
        <w:t xml:space="preserve">Una scheda per seguire un obiettivo logopedico senza ridurre il percorso a un voto: </w:t>
      </w:r>
      <w:r>
        <w:rPr>
          <w:b/>
          <w:sz w:val="21"/>
        </w:rPr>
        <w:t>che cosa si cerca di ottenere, in quali condizioni, con quali supporti e sulla base di quali evidenze</w:t>
      </w:r>
      <w:r>
        <w:rPr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9354"/>
      </w:tblGrid>
      <w:tr>
        <w:trPr>
          <w:cantSplit/>
        </w:trPr>
        <w:tc>
          <w:tcPr>
            <w:tcW w:type="dxa" w:w="51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01</w:t>
            </w:r>
          </w:p>
        </w:tc>
        <w:tc>
          <w:tcPr>
            <w:tcW w:type="dxa" w:w="935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Un obiettivo significativo, non soltanto un esercizio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sz w:val="21"/>
        </w:rPr>
        <w:t>Il punto di partenza è una priorità della persona. Il comportamento target è l’azione osservabile che permette di seguirla. Gli obiettivi possono riguardare acquisizione, mantenimento, compensazione, partecipazione oppure azioni concordate dei partner e dell’ambiente. Il professionista definisce pertinenza e modalità d’impiego. [1, 2, 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tcMar>
              <w:top w:w="120" w:type="dxa"/>
              <w:start w:w="85" w:type="dxa"/>
              <w:bottom w:w="120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80" w:before="0"/>
            </w:pPr>
            <w:r>
              <w:rPr>
                <w:b/>
                <w:sz w:val="23"/>
              </w:rPr>
              <w:t>Strumento di monitoraggio non standardizzato</w:t>
            </w:r>
          </w:p>
          <w:p>
            <w:pPr>
              <w:pStyle w:val="ARField"/>
              <w:keepNext w:val="0"/>
              <w:spacing w:after="0"/>
            </w:pPr>
            <w:r>
              <w:rPr>
                <w:sz w:val="21"/>
              </w:rPr>
              <w:t>MOT organizza dati e sintesi professionali. Non è un test, non produce punteggi normativi, diagnosi, indici di efficacia del trattamento o decisioni automatiche. La scala interna è gestionale e descrittiva, non psicometrica; il dato principale rimane l’evidenza documentata.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9354"/>
      </w:tblGrid>
      <w:tr>
        <w:trPr>
          <w:cantSplit/>
        </w:trPr>
        <w:tc>
          <w:tcPr>
            <w:tcW w:type="dxa" w:w="51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02</w:t>
            </w:r>
          </w:p>
        </w:tc>
        <w:tc>
          <w:tcPr>
            <w:tcW w:type="dxa" w:w="935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Tre momenti di utilizzo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3288"/>
        <w:gridCol w:w="3288"/>
      </w:tblGrid>
      <w:tr>
        <w:trPr>
          <w:cantSplit/>
          <w:tblHeader w:val="true"/>
        </w:trPr>
        <w:tc>
          <w:tcPr>
            <w:tcW w:type="dxa" w:w="328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ALL’AVVIO</w:t>
            </w:r>
          </w:p>
        </w:tc>
        <w:tc>
          <w:tcPr>
            <w:tcW w:type="dxa" w:w="328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NELLE RILEVAZIONI</w:t>
            </w:r>
          </w:p>
        </w:tc>
        <w:tc>
          <w:tcPr>
            <w:tcW w:type="dxa" w:w="328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ALLA REVISIONE</w:t>
            </w:r>
          </w:p>
        </w:tc>
      </w:tr>
      <w:tr>
        <w:trPr>
          <w:cantSplit/>
        </w:trPr>
        <w:tc>
          <w:tcPr>
            <w:tcW w:type="dxa" w:w="328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S1–S2: definire obiettivo, baseline, misura e criteri individuali.</w:t>
            </w:r>
          </w:p>
        </w:tc>
        <w:tc>
          <w:tcPr>
            <w:tcW w:type="dxa" w:w="328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S3: registrare una seduta o un periodo. S4–S8 solo quando utili.</w:t>
            </w:r>
          </w:p>
        </w:tc>
        <w:tc>
          <w:tcPr>
            <w:tcW w:type="dxa" w:w="328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S9: integrare dati e prospettive, decidere il prossimo passo. S10: panoramica del percorso.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sz w:val="21"/>
        </w:rPr>
        <w:t>Per bambini e adulti, con adattamenti a lingue, modalità comunicative, contesti e accessi. La raccolta può includere la persona, caregiver e altri professionisti, mantenendo distinte le fonti. Non è necessario usare la scala o compilare tutte le pagine.</w:t>
      </w:r>
    </w:p>
    <w:p>
      <w:pPr>
        <w:pStyle w:val="ARSmall"/>
        <w:keepNext w:val="0"/>
      </w:pPr>
      <w:r>
        <w:t>Edizione editoriale del 03/10/2026. Revisione clinica, sperimentazione d’uso e validazione psicometrica non eseguite. Prima della diffusione per uso clinico ordinario è necessaria una revisione professionale nei contesti previsti. Riferimenti e limiti: G10.</w:t>
      </w:r>
    </w:p>
    <w:p>
      <w:pPr>
        <w:pStyle w:val="AREyebrow"/>
        <w:keepNext/>
        <w:pageBreakBefore/>
      </w:pPr>
      <w:r>
        <w:t>GUIDA / PERCORSO E RIMANDI</w:t>
      </w:r>
    </w:p>
    <w:p>
      <w:pPr>
        <w:pStyle w:val="ARTitle"/>
        <w:keepNext/>
      </w:pPr>
      <w:r>
        <w:t>Una struttura da riutilizzare</w:t>
      </w:r>
    </w:p>
    <w:p>
      <w:pPr>
        <w:pStyle w:val="ARSubtitle"/>
        <w:keepNext w:val="0"/>
      </w:pPr>
      <w:r>
        <w:t>Una definizione stabile dell’obiettivo; una nuova rilevazione ogni volta.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35"/>
        <w:gridCol w:w="7030"/>
      </w:tblGrid>
      <w:tr>
        <w:trPr>
          <w:cantSplit/>
          <w:tblHeader w:val="true"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PAGINA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FUNZIONE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S1 · Identità dell’obiettivo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Priorità, comportamento target, autore dell’azione, contesto e punto di partenza.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S2 · Regole di rilevazione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Unità, opportunità, criteri di esito, supporti consentiti e verifica programmata.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S3 · Rilevazione rapida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Un obiettivo e una condizione per seduta/blocco o periodo chiaramente delimitato.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S4 · Dettaglio delle opportunità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Registro facoltativo: prima risposta, aiuti successivi e regola di conteggio.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S5 · Andamento nel tempo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Affiancare baseline e rilevazioni confrontabili, senza cancellare le differenze.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S6 · Generalizzazione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Verificare che cosa avviene con altri partner, materiali, attività o contesti.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S7 · Stabilità e mantenimento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Documentare ripetibilità e controlli successivi, con intervallo e pratica intercorsa.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S8 · Strategie e difficoltà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Descrivere azioni, risposte, barriere e prospettive della persona e dei partner.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S9 · Revisione dell’obiettivo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Sintesi, descrittore facoltativo, decisione, responsabilità e prossimo passo.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S10 · Panoramica del percorso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Più obiettivi affiancati; nessun totale o media dei descrittori.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9354"/>
      </w:tblGrid>
      <w:tr>
        <w:trPr>
          <w:cantSplit/>
        </w:trPr>
        <w:tc>
          <w:tcPr>
            <w:tcW w:type="dxa" w:w="51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type="dxa" w:w="935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Collegare senza duplicare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b/>
          <w:sz w:val="21"/>
        </w:rPr>
        <w:t>O01</w:t>
      </w:r>
      <w:r>
        <w:rPr>
          <w:sz w:val="21"/>
        </w:rPr>
        <w:t xml:space="preserve"> identifica l’obiettivo; </w:t>
      </w:r>
      <w:r>
        <w:rPr>
          <w:b/>
          <w:sz w:val="21"/>
        </w:rPr>
        <w:t>rev. 01</w:t>
      </w:r>
      <w:r>
        <w:rPr>
          <w:sz w:val="21"/>
        </w:rPr>
        <w:t xml:space="preserve"> la sua definizione; </w:t>
      </w:r>
      <w:r>
        <w:rPr>
          <w:b/>
          <w:sz w:val="21"/>
        </w:rPr>
        <w:t>R01</w:t>
      </w:r>
      <w:r>
        <w:rPr>
          <w:sz w:val="21"/>
        </w:rPr>
        <w:t xml:space="preserve"> una rilevazione. Se due blocchi hanno condizioni diverse, usa due codici R. Riporta il riferimento della seduta o della fonte, non solo la data di inserimento. Le pagine ripetute conservano codice persona, obiettivo, revisione e data.</w:t>
      </w:r>
    </w:p>
    <w:p>
      <w:pPr>
        <w:pStyle w:val="ARSmall"/>
        <w:keepNext w:val="0"/>
      </w:pPr>
      <w:r>
        <w:t>Il codice del modello è MOT v1.0; non coincide con la revisione del singolo obiettivo. Nei sistemi digitali, i collegamenti a obiettivo, seduta e documento sono riferimenti da conservare: questo dossier non introduce né modifica funzioni del sito.</w:t>
      </w:r>
    </w:p>
    <w:p>
      <w:pPr>
        <w:pStyle w:val="AREyebrow"/>
        <w:keepNext/>
        <w:pageBreakBefore/>
      </w:pPr>
      <w:r>
        <w:t>GUIDA / DEFINIRE · S1–S2</w:t>
      </w:r>
    </w:p>
    <w:p>
      <w:pPr>
        <w:pStyle w:val="ARTitle"/>
        <w:keepNext/>
      </w:pPr>
      <w:r>
        <w:t>Dal bisogno al criterio</w:t>
      </w:r>
    </w:p>
    <w:p>
      <w:pPr>
        <w:pStyle w:val="ARSubtitle"/>
        <w:keepNext w:val="0"/>
      </w:pPr>
      <w:r>
        <w:t>Scrivere prima che cosa conta; poi raccogliere i dati.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9354"/>
      </w:tblGrid>
      <w:tr>
        <w:trPr>
          <w:cantSplit/>
        </w:trPr>
        <w:tc>
          <w:tcPr>
            <w:tcW w:type="dxa" w:w="51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01</w:t>
            </w:r>
          </w:p>
        </w:tc>
        <w:tc>
          <w:tcPr>
            <w:tcW w:type="dxa" w:w="935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Priorità, azione e condizioni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sz w:val="21"/>
        </w:rPr>
        <w:t xml:space="preserve">Concorda una priorità espressa in termini di vita quotidiana. Specifica </w:t>
      </w:r>
      <w:r>
        <w:rPr>
          <w:b/>
          <w:sz w:val="21"/>
        </w:rPr>
        <w:t>chi agisce</w:t>
      </w:r>
      <w:r>
        <w:rPr>
          <w:sz w:val="21"/>
        </w:rPr>
        <w:t>, che cosa fa di osservabile, con chi, dove, con quali materiali, lingua/modalità e accessi. Se il target è un comportamento del partner, non attribuire il suo risultato alla persona. Obiettivi e preferenze individuali sono centrali nella riabilitazione. [2, 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35"/>
        <w:gridCol w:w="7030"/>
      </w:tblGrid>
      <w:tr>
        <w:trPr>
          <w:cantSplit/>
          <w:tblHeader w:val="true"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FORMULAZIONE VAGA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FORMULAZIONE OSSERVABILE — ESEMPIO FITTIZIO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“Migliorare la comunicazione”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“Durante la pianificazione condivisa di un’attività, esprime una preferenza o un rifiuto riconoscibile tramite parola, gesto concordato o CAA.”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“Con poco aiuto”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“Dopo l’invito abituale del partner e l’attesa concordata; senza un suggerimento aggiuntivo che anticipi il messaggio. Accessi disponibili descritti in S2.”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“Obiettivo raggiunto all’80%”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Definire prima opportunità, risposta osservabile, numero di rilevazioni, supporti e contesti rilevanti. Nessuna soglia comune è fornita da MOT.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9354"/>
      </w:tblGrid>
      <w:tr>
        <w:trPr>
          <w:cantSplit/>
        </w:trPr>
        <w:tc>
          <w:tcPr>
            <w:tcW w:type="dxa" w:w="51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02</w:t>
            </w:r>
          </w:p>
        </w:tc>
        <w:tc>
          <w:tcPr>
            <w:tcW w:type="dxa" w:w="935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Baseline: punto di partenza documentato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sz w:val="21"/>
        </w:rPr>
        <w:t xml:space="preserve">La baseline è il riferimento iniziale disponibile: data/periodo, fonte, campione, misura e condizioni. Richiama una rilevazione R o un documento. Se manca, scrivi </w:t>
      </w:r>
      <w:r>
        <w:rPr>
          <w:b/>
          <w:sz w:val="21"/>
        </w:rPr>
        <w:t>“baseline non disponibile”</w:t>
      </w:r>
      <w:r>
        <w:rPr>
          <w:sz w:val="21"/>
        </w:rPr>
        <w:t xml:space="preserve"> e pianifica la raccolta: non inserire zero e non ricostruire un valore dalla memoria.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9354"/>
      </w:tblGrid>
      <w:tr>
        <w:trPr>
          <w:cantSplit/>
        </w:trPr>
        <w:tc>
          <w:tcPr>
            <w:tcW w:type="dxa" w:w="51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03</w:t>
            </w:r>
          </w:p>
        </w:tc>
        <w:tc>
          <w:tcPr>
            <w:tcW w:type="dxa" w:w="935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Criterio individuale e data di riesame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sz w:val="21"/>
        </w:rPr>
        <w:t>Definisci quale evidenza renderà il target utile nel contesto: accuratezza quando pertinente, frequenza, durata, partecipazione oppure una descrizione verificabile. Specifica quante e quali rilevazioni servono per quella persona, senza importare valori predefiniti. La data di riesame non promette il raggiungimento dell’obiettivo.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tcMar>
              <w:top w:w="120" w:type="dxa"/>
              <w:start w:w="85" w:type="dxa"/>
              <w:bottom w:w="120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80" w:before="0"/>
            </w:pPr>
            <w:r>
              <w:rPr>
                <w:b/>
                <w:sz w:val="23"/>
              </w:rPr>
              <w:t>Cambiare un obiettivo non riscrive il passato</w:t>
            </w:r>
          </w:p>
          <w:p>
            <w:pPr>
              <w:pStyle w:val="ARField"/>
              <w:keepNext w:val="0"/>
              <w:spacing w:after="0"/>
            </w:pPr>
            <w:r>
              <w:rPr>
                <w:sz w:val="21"/>
              </w:rPr>
              <w:t>Se cambiano target, unità, criteri o supporti ammessi, crea una revisione datata in S9 e nuove S1–S2. Conserva le definizioni precedenti; non presentare le serie come equivalenti senza motivarlo. Una nuova finalità distinta può richiedere un nuovo codice O.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Eyebrow"/>
        <w:keepNext/>
        <w:pageBreakBefore/>
      </w:pPr>
      <w:r>
        <w:t>GUIDA / MISURA · S2–S4</w:t>
      </w:r>
    </w:p>
    <w:p>
      <w:pPr>
        <w:pStyle w:val="ARTitle"/>
        <w:keepNext/>
      </w:pPr>
      <w:r>
        <w:t>Che cosa conta come dato</w:t>
      </w:r>
    </w:p>
    <w:p>
      <w:pPr>
        <w:pStyle w:val="ARSubtitle"/>
        <w:keepNext w:val="0"/>
      </w:pPr>
      <w:r>
        <w:t>Accuratezza, opportunità e percentuali: solo quando hanno un significato definito.</w:t>
      </w:r>
    </w:p>
    <w:p>
      <w:pPr>
        <w:keepNext w:val="0"/>
      </w:pPr>
      <w:r>
        <w:rPr>
          <w:sz w:val="21"/>
        </w:rPr>
        <w:t xml:space="preserve">Scegli una misura coerente con il target: </w:t>
      </w:r>
      <w:r>
        <w:rPr>
          <w:b/>
          <w:sz w:val="21"/>
        </w:rPr>
        <w:t>risposte conformi / opportunità valide</w:t>
      </w:r>
      <w:r>
        <w:rPr>
          <w:sz w:val="21"/>
        </w:rPr>
        <w:t>, frequenza in un intervallo, durata, latenza oppure descrizione strutturata. Non tutte le attività si prestano a “giusto/sbagliato”. Nelle scelte personali si osserva l’atto comunicativo concordato, non si valuta quale preferenza sia corretta.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DEFINIRE PRIMA</w:t>
            </w:r>
          </w:p>
        </w:tc>
        <w:tc>
          <w:tcPr>
            <w:tcW w:type="dxa" w:w="731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REGOLA OPERATIVA MOT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Opportunità e unità</w:t>
            </w:r>
          </w:p>
        </w:tc>
        <w:tc>
          <w:tcPr>
            <w:tcW w:type="dxa" w:w="731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Descrivi inizio, fine e condizioni di accesso. Un turno, una parola e un passaggio di attività non sono la stessa unità.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Esito conforme al criterio</w:t>
            </w:r>
          </w:p>
        </w:tc>
        <w:tc>
          <w:tcPr>
            <w:tcW w:type="dxa" w:w="731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Definisci risposta, completezza, tempo quando pertinente e supporti ammessi. Riporta separatamente risposte parziali o dubbie.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N · opportunità valide</w:t>
            </w:r>
          </w:p>
        </w:tc>
        <w:tc>
          <w:tcPr>
            <w:tcW w:type="dxa" w:w="731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Includi gli eventi valutabili secondo le regole stabilite, anche quando il target non è rilevato. Non tenere soltanto le risposte migliori.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X · esclusioni / non valutabili</w:t>
            </w:r>
          </w:p>
        </w:tc>
        <w:tc>
          <w:tcPr>
            <w:tcW w:type="dxa" w:w="731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Registra quantità e motivo: accesso non disponibile, evento non osservato, interruzione prima dell’avvio. Non sono errori della persona e non devono sparire.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Tentativi successivi</w:t>
            </w:r>
          </w:p>
        </w:tc>
        <w:tc>
          <w:tcPr>
            <w:tcW w:type="dxa" w:w="731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Ripetere o aiutare nella stessa opportunità non crea nuove opportunità, salvo una diversa unità definita prima. Conserva prima risposta e seguito.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sz w:val="21"/>
        </w:rPr>
        <w:t xml:space="preserve">Per un conteggio osservato usa </w:t>
      </w:r>
      <w:r>
        <w:rPr>
          <w:b/>
          <w:sz w:val="21"/>
        </w:rPr>
        <w:t>n / N</w:t>
      </w:r>
      <w:r>
        <w:rPr>
          <w:sz w:val="21"/>
        </w:rPr>
        <w:t xml:space="preserve">, dove n è il numero di opportunità che soddisfa il criterio definito. La percentuale facoltativa è </w:t>
      </w:r>
      <w:r>
        <w:rPr>
          <w:b/>
          <w:sz w:val="21"/>
        </w:rPr>
        <w:t>100 × n / N</w:t>
      </w:r>
      <w:r>
        <w:rPr>
          <w:sz w:val="21"/>
        </w:rPr>
        <w:t xml:space="preserve">, solo con N maggiore di zero e dati numerici verificabili. </w:t>
      </w:r>
      <w:r>
        <w:rPr>
          <w:b/>
          <w:sz w:val="21"/>
        </w:rPr>
        <w:t>N = 0: non calcolabile</w:t>
      </w:r>
      <w:r>
        <w:rPr>
          <w:sz w:val="21"/>
        </w:rPr>
        <w:t>, non 0%. Se N non è noto, usa una nota: non stimare un denominatore da “spesso”.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tcMar>
              <w:top w:w="120" w:type="dxa"/>
              <w:start w:w="85" w:type="dxa"/>
              <w:bottom w:w="120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80" w:before="0"/>
            </w:pPr>
            <w:r>
              <w:rPr>
                <w:b/>
                <w:sz w:val="23"/>
              </w:rPr>
              <w:t>Esempio fittizio: la ripetizione non raddoppia il campione</w:t>
            </w:r>
          </w:p>
          <w:p>
            <w:pPr>
              <w:pStyle w:val="ARField"/>
              <w:keepNext w:val="0"/>
              <w:spacing w:after="0"/>
            </w:pPr>
            <w:r>
              <w:rPr>
                <w:sz w:val="21"/>
              </w:rPr>
              <w:t>Su 5 opportunità valide, 2 risposte soddisfano il criterio “senza suggerimenti aggiuntivi”; 2 arrivano solo dopo un modello, 1 non è rilevata. Il risultato del criterio è 2/5 = 40%, non 4/5. Le due risposte dopo modello sono un dato separato, non due nuove opportunità.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Small"/>
        <w:keepNext w:val="0"/>
      </w:pPr>
      <w:r>
        <w:t>Il rifiuto e il bisogno di pausa vanno rispettati e descritti: non equivalgono automaticamente a incapacità o errore. Quando previsti dal target, sono risposte comunicative valide. Non creare privazione, pressione o prove rischiose per aumentare N; molte X limitano l’interpretabilità del dato.</w:t>
      </w:r>
    </w:p>
    <w:p>
      <w:pPr>
        <w:pStyle w:val="AREyebrow"/>
        <w:keepNext/>
        <w:pageBreakBefore/>
      </w:pPr>
      <w:r>
        <w:t>GUIDA / SUPPORTI E FONTI · S3–S4</w:t>
      </w:r>
    </w:p>
    <w:p>
      <w:pPr>
        <w:pStyle w:val="ARTitle"/>
        <w:keepNext/>
      </w:pPr>
      <w:r>
        <w:t>Risultato e aiuto restano distinti</w:t>
      </w:r>
    </w:p>
    <w:p>
      <w:pPr>
        <w:pStyle w:val="ARSubtitle"/>
        <w:keepNext w:val="0"/>
      </w:pPr>
      <w:r>
        <w:t>“Autonomo” e “con aiuto” non bastano senza una descrizione concreta.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9354"/>
      </w:tblGrid>
      <w:tr>
        <w:trPr>
          <w:cantSplit/>
        </w:trPr>
        <w:tc>
          <w:tcPr>
            <w:tcW w:type="dxa" w:w="51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A</w:t>
            </w:r>
          </w:p>
        </w:tc>
        <w:tc>
          <w:tcPr>
            <w:tcW w:type="dxa" w:w="935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Accessi abituali e aiuti aggiuntivi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sz w:val="21"/>
        </w:rPr>
        <w:t>Documenta gli accessi necessari: comunicazione aumentativa e alternativa (CAA), ausili sensoriali, materiali leggibili, adattamenti ambientali e tempi compatibili con la persona. MOT li tiene distinti dagli aiuti aggiuntivi diretti a ottenere il target. Un sistema CAA non è, di per sé, un errore o un livello inferiore. Gli interventi CAA considerano modalità multiple, partner e contesti. 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8"/>
        <w:gridCol w:w="7257"/>
      </w:tblGrid>
      <w:tr>
        <w:trPr>
          <w:cantSplit/>
          <w:tblHeader w:val="true"/>
        </w:trPr>
        <w:tc>
          <w:tcPr>
            <w:tcW w:type="dxa" w:w="260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CHE COSA SCRIVERE</w:t>
            </w:r>
          </w:p>
        </w:tc>
        <w:tc>
          <w:tcPr>
            <w:tcW w:type="dxa" w:w="72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ESEMPIO DI ANNOTAZIONE — FITTIZIO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Tipo e contenuto</w:t>
            </w:r>
          </w:p>
        </w:tc>
        <w:tc>
          <w:tcPr>
            <w:tcW w:type="dxa" w:w="72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Invito abituale; indizio semantico; modello verbale; gesto del partner. Riportare ciò che è stato effettivamente fatto.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Momento e frequenza</w:t>
            </w:r>
          </w:p>
        </w:tc>
        <w:tc>
          <w:tcPr>
            <w:tcW w:type="dxa" w:w="72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Prima della risposta o dopo un tentativo; una volta o ripetuto; tempo d’attesa effettivo quando rilevato.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Iniziativa e risposta</w:t>
            </w:r>
          </w:p>
        </w:tc>
        <w:tc>
          <w:tcPr>
            <w:tcW w:type="dxa" w:w="72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Chi avvia l’aiuto? Che cosa fa la persona prima e dopo? L’aiuto modifica l’unità o anticipa la soluzione?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Etichetta locale facoltativa</w:t>
            </w:r>
          </w:p>
        </w:tc>
        <w:tc>
          <w:tcPr>
            <w:tcW w:type="dxa" w:w="72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“Aiuto lieve” è utilizzabile solo con una definizione scritta per quell’obiettivo. Non è una gerarchia universale né un punteggio.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9354"/>
      </w:tblGrid>
      <w:tr>
        <w:trPr>
          <w:cantSplit/>
        </w:trPr>
        <w:tc>
          <w:tcPr>
            <w:tcW w:type="dxa" w:w="51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B</w:t>
            </w:r>
          </w:p>
        </w:tc>
        <w:tc>
          <w:tcPr>
            <w:tcW w:type="dxa" w:w="935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Separare rilevazione, insegnamento e resoconto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sz w:val="21"/>
        </w:rPr>
        <w:t>Indica se il blocco è una rilevazione iniziale, pratica con insegnamento, verifica concordata o follow-up. Non mescolare i risultati ottenuti con procedure diverse. Documentazione professionale e note di trattamento distinguono prestazione, intervento/aiuti e piano successivo. [1]</w:t>
      </w:r>
    </w:p>
    <w:p>
      <w:pPr>
        <w:keepNext w:val="0"/>
      </w:pPr>
      <w:r>
        <w:rPr>
          <w:sz w:val="21"/>
        </w:rPr>
        <w:t xml:space="preserve">Scrivi </w:t>
      </w:r>
      <w:r>
        <w:rPr>
          <w:b/>
          <w:sz w:val="21"/>
        </w:rPr>
        <w:t>osservazione diretta dal vivo</w:t>
      </w:r>
      <w:r>
        <w:rPr>
          <w:sz w:val="21"/>
        </w:rPr>
        <w:t xml:space="preserve">, </w:t>
      </w:r>
      <w:r>
        <w:rPr>
          <w:b/>
          <w:sz w:val="21"/>
        </w:rPr>
        <w:t>diretta da registrazione</w:t>
      </w:r>
      <w:r>
        <w:rPr>
          <w:sz w:val="21"/>
        </w:rPr>
        <w:t xml:space="preserve">, </w:t>
      </w:r>
      <w:r>
        <w:rPr>
          <w:b/>
          <w:sz w:val="21"/>
        </w:rPr>
        <w:t>riferita dalla persona</w:t>
      </w:r>
      <w:r>
        <w:rPr>
          <w:sz w:val="21"/>
        </w:rPr>
        <w:t xml:space="preserve">, </w:t>
      </w:r>
      <w:r>
        <w:rPr>
          <w:b/>
          <w:sz w:val="21"/>
        </w:rPr>
        <w:t>riferita da caregiver/altro</w:t>
      </w:r>
      <w:r>
        <w:rPr>
          <w:sz w:val="21"/>
        </w:rPr>
        <w:t xml:space="preserve"> o </w:t>
      </w:r>
      <w:r>
        <w:rPr>
          <w:b/>
          <w:sz w:val="21"/>
        </w:rPr>
        <w:t>documentale</w:t>
      </w:r>
      <w:r>
        <w:rPr>
          <w:sz w:val="21"/>
        </w:rPr>
        <w:t>, con autore e data/periodo. La descrizione “a casa lo fa spesso” non diventa una percentuale né una rilevazione diretta del logopedista.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tcMar>
              <w:top w:w="120" w:type="dxa"/>
              <w:start w:w="85" w:type="dxa"/>
              <w:bottom w:w="120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80" w:before="0"/>
            </w:pPr>
            <w:r>
              <w:rPr>
                <w:b/>
                <w:sz w:val="23"/>
              </w:rPr>
              <w:t>Nessuna prova di indipendenza a costo dell’accesso</w:t>
            </w:r>
          </w:p>
          <w:p>
            <w:pPr>
              <w:pStyle w:val="ARField"/>
              <w:keepNext w:val="0"/>
              <w:spacing w:after="0"/>
            </w:pPr>
            <w:r>
              <w:rPr>
                <w:sz w:val="21"/>
              </w:rPr>
              <w:t>Non togliere ausili o supporti necessari per misurare una prestazione “pura”. L’aiuto ammesso è parte della definizione del target; una sua modifica richiede di annotare le nuove condizioni. Strategie e trattamento restano decisioni del professionista, non prescrizioni della scheda.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Eyebrow"/>
        <w:keepNext/>
        <w:pageBreakBefore/>
      </w:pPr>
      <w:r>
        <w:t>GUIDA / DESCRITTORI · S9</w:t>
      </w:r>
    </w:p>
    <w:p>
      <w:pPr>
        <w:pStyle w:val="ARTitle"/>
        <w:keepNext/>
      </w:pPr>
      <w:r>
        <w:t>Scala interna ARMONIA</w:t>
      </w:r>
    </w:p>
    <w:p>
      <w:pPr>
        <w:pStyle w:val="ARSubtitle"/>
        <w:keepNext w:val="0"/>
      </w:pPr>
      <w:r>
        <w:t>Facoltativa, descrittiva e riferita all’obiettivo: non psicometrica.</w:t>
      </w:r>
    </w:p>
    <w:p>
      <w:pPr>
        <w:keepNext w:val="0"/>
      </w:pPr>
      <w:r>
        <w:rPr>
          <w:sz w:val="21"/>
        </w:rPr>
        <w:t xml:space="preserve">I cinque descrittori proposti servono a orientare la consultazione del percorso. </w:t>
      </w:r>
      <w:r>
        <w:rPr>
          <w:b/>
          <w:sz w:val="21"/>
        </w:rPr>
        <w:t>Non assegnare numeri, medie o un totale.</w:t>
      </w:r>
      <w:r>
        <w:rPr>
          <w:sz w:val="21"/>
        </w:rPr>
        <w:t xml:space="preserve"> Non sono tappe obbligate, equidistanti o necessariamente applicabili a un obiettivo di mantenimento. La scelta è professionale, datata e motivata con le rilevazioni richiamate.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35"/>
        <w:gridCol w:w="7030"/>
      </w:tblGrid>
      <w:tr>
        <w:trPr>
          <w:cantSplit/>
          <w:tblHeader w:val="true"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DESCRITTORE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QUANDO USARLO E CHE COSA NON IMPLICA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Non emergente</w:t>
              <w:br/>
              <w:t>nel campione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Nelle opportunità valide documentate non sono rilevate manifestazioni del target. Non significa abilità assente in generale. Se le condizioni non permettono di osservarlo, non usare questo descrittore.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Emergente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Si documentano manifestazioni iniziali o parziali del target, definite per quell’obiettivo. Riportare esempi, condizioni e aiuti; non dedurre una fase evolutiva.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In acquisizione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Il target è documentato più volte nelle condizioni di apprendimento, ma i criteri individuali di uso funzionale non risultano ancora soddisfatti o sufficientemente verificati.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Funzionale</w:t>
              <w:br/>
              <w:t>nel contesto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I criteri individuali concordati sono documentati nell’attività rilevante, con i supporti dichiarati. Non significa “senza ausili”, nella norma o generalizzato.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Generalizzato nei</w:t>
              <w:br/>
              <w:t>contesti documentati</w:t>
            </w:r>
          </w:p>
        </w:tc>
        <w:tc>
          <w:tcPr>
            <w:tcW w:type="dxa" w:w="703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I criteri concordati sono documentati anche nelle condizioni ulteriori individuate in S2/S6, con evidenze ripetute e fonti specificate. Non estendere il giudizio ad altri contesti e non dedurne mantenimento nel tempo.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tcMar>
              <w:top w:w="120" w:type="dxa"/>
              <w:start w:w="85" w:type="dxa"/>
              <w:bottom w:w="120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80" w:before="0"/>
            </w:pPr>
            <w:r>
              <w:rPr>
                <w:b/>
                <w:sz w:val="23"/>
              </w:rPr>
              <w:t>Quando non scegliere un livello</w:t>
            </w:r>
          </w:p>
          <w:p>
            <w:pPr>
              <w:pStyle w:val="ARField"/>
              <w:keepNext w:val="0"/>
              <w:spacing w:after="0"/>
            </w:pPr>
            <w:r>
              <w:rPr>
                <w:sz w:val="21"/>
              </w:rPr>
              <w:t>Usa “Dati insufficienti”, “Non osservabile”, “Non pertinente alla finalità” oppure “Solo sintesi narrativa”, indicando il motivo. Non attribuire il livello peggiore a un dato mancante. Se l’evidenza è contraddittoria, descrivila invece di forzare una categoria.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b/>
          <w:sz w:val="21"/>
        </w:rPr>
        <w:t>Stabilità, mantenimento e generalizzazione restano campi autonomi.</w:t>
      </w:r>
      <w:r>
        <w:rPr>
          <w:sz w:val="21"/>
        </w:rPr>
        <w:t xml:space="preserve"> Un target può essere funzionale con ausili, variabile in un contesto nuovo o mantenuto senza ulteriori acquisizioni. Lo stato organizzativo dell’obiettivo — attivo, sospeso, concluso o sostituito — è una decisione diversa dal descrittore.</w:t>
      </w:r>
    </w:p>
    <w:p>
      <w:pPr>
        <w:pStyle w:val="ARSmall"/>
        <w:keepNext w:val="0"/>
      </w:pPr>
      <w:r>
        <w:t>Le definizioni di questa pagina sono originali del modello MOT. Non riproducono una scala normativa o una procedura di Goal Attainment Scaling e non generano un relativo punteggio.</w:t>
      </w:r>
    </w:p>
    <w:p>
      <w:pPr>
        <w:pStyle w:val="AREyebrow"/>
        <w:keepNext/>
        <w:pageBreakBefore/>
      </w:pPr>
      <w:r>
        <w:t>GUIDA / CONFRONTI · S5–S7</w:t>
      </w:r>
    </w:p>
    <w:p>
      <w:pPr>
        <w:pStyle w:val="ARTitle"/>
        <w:keepNext/>
      </w:pPr>
      <w:r>
        <w:t>Nel tempo e fuori dalla seduta</w:t>
      </w:r>
    </w:p>
    <w:p>
      <w:pPr>
        <w:pStyle w:val="ARSubtitle"/>
        <w:keepNext w:val="0"/>
      </w:pPr>
      <w:r>
        <w:t>Distinguere andamento, generalizzazione, stabilità e mantenimento.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94"/>
        <w:gridCol w:w="7370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DOMANDA</w:t>
            </w:r>
          </w:p>
        </w:tc>
        <w:tc>
          <w:tcPr>
            <w:tcW w:type="dxa" w:w="737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CHE COSA DOCUMENTARE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Andamento · S5</w:t>
            </w:r>
          </w:p>
        </w:tc>
        <w:tc>
          <w:tcPr>
            <w:tcW w:type="dxa" w:w="737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Che cosa cambia tra baseline e rilevazioni? Mantieni la stessa definizione dell’obiettivo e annota eventuali differenze di compito, fonte, supporto o misura.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Generalizzazione · S6</w:t>
            </w:r>
          </w:p>
        </w:tc>
        <w:tc>
          <w:tcPr>
            <w:tcW w:type="dxa" w:w="737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Che cosa accade con un partner, un’attività, materiali o un contesto ulteriori rispetto a quelli iniziali? Specifica che cosa è nuovo, già praticato o non direttamente allenato.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Stabilità · S7</w:t>
            </w:r>
          </w:p>
        </w:tc>
        <w:tc>
          <w:tcPr>
            <w:tcW w:type="dxa" w:w="737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Il risultato si ripete in rilevazioni distinte e comparabili? Documenta variazioni, condizioni e limiti; ripetizioni nella stessa seduta non bastano a descrivere la stabilità tra giorni.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Mantenimento · S7</w:t>
            </w:r>
          </w:p>
        </w:tc>
        <w:tc>
          <w:tcPr>
            <w:tcW w:type="dxa" w:w="737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Il risultato è documentato in un controllo successivo? Riporta intervallo, pratica intercorsa, supporti mantenuti e condizioni. Non richiede automaticamente di sospendere il trattamento.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sz w:val="21"/>
        </w:rPr>
        <w:t>Generalizzazione e mantenimento sono aspetti distinti anche nella descrizione degli interventi per i suoni del linguaggio; MOT propone campi trasversali, senza trasferire sequenze o criteri di uno specifico trattamento a tutti gli ambiti. [4]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9354"/>
      </w:tblGrid>
      <w:tr>
        <w:trPr>
          <w:cantSplit/>
        </w:trPr>
        <w:tc>
          <w:tcPr>
            <w:tcW w:type="dxa" w:w="51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!</w:t>
            </w:r>
          </w:p>
        </w:tc>
        <w:tc>
          <w:tcPr>
            <w:tcW w:type="dxa" w:w="935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Che cosa rende un confronto fragile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sz w:val="21"/>
        </w:rPr>
        <w:t>Non confrontare come equivalenti 8/10 risposte con modello e 5/10 senza suggerimenti; possono descrivere compiti differenti. Lingue, partner, accessibilità, durata, criteri, campioni e fonti diversi devono restare visibili. Un risultato favorevole in un contesto nuovo è un’evidenza locale, non generalizzazione universale.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tcMar>
              <w:top w:w="120" w:type="dxa"/>
              <w:start w:w="85" w:type="dxa"/>
              <w:bottom w:w="120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80" w:before="0"/>
            </w:pPr>
            <w:r>
              <w:rPr>
                <w:b/>
                <w:sz w:val="23"/>
              </w:rPr>
              <w:t>Percentuali e fonti non si mescolano automaticamente</w:t>
            </w:r>
          </w:p>
          <w:p>
            <w:pPr>
              <w:pStyle w:val="ARField"/>
              <w:keepNext w:val="0"/>
              <w:spacing w:after="0"/>
            </w:pPr>
            <w:r>
              <w:rPr>
                <w:sz w:val="21"/>
              </w:rPr>
              <w:t>Conserva n e N di ogni rilevazione. Non fare la media semplice di percentuali con denominatori diversi, né sommare dati riferiti e diretti. Un’eventuale sintesi numerica richiede unità e condizioni omogenee; MOT non calcola medie automatiche. Per campioni piccoli, i dati grezzi e le note sono essenziali.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Small"/>
        <w:keepNext w:val="0"/>
      </w:pPr>
      <w:r>
        <w:t>Non creare situazioni rischiose, togliere accessi o introdurre prove alimentari per documentare un trasferimento. Per deglutizione e alimentazione si richiamano obiettivi e piani già definiti nei percorsi appropriati: nessun esito MOT attesta sicurezza.</w:t>
      </w:r>
    </w:p>
    <w:p>
      <w:pPr>
        <w:pStyle w:val="AREyebrow"/>
        <w:keepNext/>
        <w:pageBreakBefore/>
      </w:pPr>
      <w:r>
        <w:t>GUIDA / REVISIONE · S8–S10</w:t>
      </w:r>
    </w:p>
    <w:p>
      <w:pPr>
        <w:pStyle w:val="ARTitle"/>
        <w:keepNext/>
      </w:pPr>
      <w:r>
        <w:t>Decidere il prossimo passo</w:t>
      </w:r>
    </w:p>
    <w:p>
      <w:pPr>
        <w:pStyle w:val="ARSubtitle"/>
        <w:keepNext w:val="0"/>
      </w:pPr>
      <w:r>
        <w:t>Un riepilogo utile include anche il punto di vista della persona.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9354"/>
      </w:tblGrid>
      <w:tr>
        <w:trPr>
          <w:cantSplit/>
        </w:trPr>
        <w:tc>
          <w:tcPr>
            <w:tcW w:type="dxa" w:w="51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01</w:t>
            </w:r>
          </w:p>
        </w:tc>
        <w:tc>
          <w:tcPr>
            <w:tcW w:type="dxa" w:w="935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Strategie, barriere e sostenibilità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sz w:val="21"/>
        </w:rPr>
        <w:t xml:space="preserve">In S8 collega la strategia a una rilevazione: chi fa che cosa, che cosa precede, quale risposta segue e quali condizioni cambiano. </w:t>
      </w:r>
      <w:r>
        <w:rPr>
          <w:b/>
          <w:sz w:val="21"/>
        </w:rPr>
        <w:t>“Associata a un esito favorevole” non dimostra efficacia causale.</w:t>
      </w:r>
      <w:r>
        <w:rPr>
          <w:sz w:val="21"/>
        </w:rPr>
        <w:t xml:space="preserve"> Distingui difficoltà del compito, barriere ambientali, accesso, fatica riferita, preferenze e informazioni non disponibili.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9354"/>
      </w:tblGrid>
      <w:tr>
        <w:trPr>
          <w:cantSplit/>
        </w:trPr>
        <w:tc>
          <w:tcPr>
            <w:tcW w:type="dxa" w:w="51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02</w:t>
            </w:r>
          </w:p>
        </w:tc>
        <w:tc>
          <w:tcPr>
            <w:tcW w:type="dxa" w:w="935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Una revisione per lo stesso obiettivo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sz w:val="21"/>
        </w:rPr>
        <w:t>In S9 confronta le evidenze con i criteri iniziali, indica i limiti e raccogli la prospettiva della persona con modalità accessibili. Il caregiver può integrare, ma non sostituire automaticamente quella prospettiva. La documentazione dei progressi sostiene il riesame degli obiettivi e delle strategie. [1, 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6917"/>
      </w:tblGrid>
      <w:tr>
        <w:trPr>
          <w:cantSplit/>
          <w:tblHeader w:val="true"/>
        </w:trPr>
        <w:tc>
          <w:tcPr>
            <w:tcW w:type="dxa" w:w="29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DECISIONE DOCUMENTATA</w:t>
            </w:r>
          </w:p>
        </w:tc>
        <w:tc>
          <w:tcPr>
            <w:tcW w:type="dxa" w:w="691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CHE COSA PRECISARE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Proseguire / consolidare</w:t>
            </w:r>
          </w:p>
        </w:tc>
        <w:tc>
          <w:tcPr>
            <w:tcW w:type="dxa" w:w="691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Quale comportamento o condizione verificare ancora e con quali dati.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Modificare strategia o condizioni</w:t>
            </w:r>
          </w:p>
        </w:tc>
        <w:tc>
          <w:tcPr>
            <w:tcW w:type="dxa" w:w="691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Che cosa cambia, perché e se il confronto con la serie precedente rimane possibile.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Riformulare il target</w:t>
            </w:r>
          </w:p>
        </w:tc>
        <w:tc>
          <w:tcPr>
            <w:tcW w:type="dxa" w:w="691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Nuova revisione o nuovo O; definizione e criteri aggiornati, con data.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Sospendere / concludere</w:t>
            </w:r>
          </w:p>
        </w:tc>
        <w:tc>
          <w:tcPr>
            <w:tcW w:type="dxa" w:w="691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Motivo, accordi, eventuale controllo o passaggio di consegne. Non è una diagnosi o una dimissione automatica.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tcMar>
              <w:top w:w="120" w:type="dxa"/>
              <w:start w:w="85" w:type="dxa"/>
              <w:bottom w:w="120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80" w:before="0"/>
            </w:pPr>
            <w:r>
              <w:rPr>
                <w:b/>
                <w:sz w:val="23"/>
              </w:rPr>
              <w:t>Mantenere una funzione è una finalità legittima</w:t>
            </w:r>
          </w:p>
          <w:p>
            <w:pPr>
              <w:pStyle w:val="ARField"/>
              <w:keepNext w:val="0"/>
              <w:spacing w:after="0"/>
            </w:pPr>
            <w:r>
              <w:rPr>
                <w:sz w:val="21"/>
              </w:rPr>
              <w:t>Esempio fittizio: una persona desidera continuare uno scambio settimanale con un familiare usando il taccuino comunicativo e tempi concordati. Il target può essere mantenere quella partecipazione, non aumentare ogni settimana una percentuale. Registrare fonti, esperienza, supporti e controlli; la scala di acquisizione può essere non pertinente. [1, 2]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sz w:val="21"/>
        </w:rPr>
        <w:t xml:space="preserve">Il </w:t>
      </w:r>
      <w:r>
        <w:rPr>
          <w:b/>
          <w:sz w:val="21"/>
        </w:rPr>
        <w:t>prossimo passo</w:t>
      </w:r>
      <w:r>
        <w:rPr>
          <w:sz w:val="21"/>
        </w:rPr>
        <w:t xml:space="preserve"> specifica azione, responsabile, contesto e data di verifica. S10 offre una panoramica dei diversi obiettivi, non una pagella della persona. Nessun numero di obiettivi conclusi dimostra da solo efficacia, gravità o necessità di dimissione.</w:t>
      </w:r>
    </w:p>
    <w:p>
      <w:pPr>
        <w:pStyle w:val="AREyebrow"/>
        <w:keepNext/>
        <w:pageBreakBefore/>
      </w:pPr>
      <w:r>
        <w:t>GUIDA / ESEMPIO COMPLETO</w:t>
      </w:r>
    </w:p>
    <w:p>
      <w:pPr>
        <w:pStyle w:val="ARTitle"/>
        <w:keepNext/>
      </w:pPr>
      <w:r>
        <w:t>Dai dati a una decisione</w:t>
      </w:r>
    </w:p>
    <w:p>
      <w:pPr>
        <w:pStyle w:val="ARSubtitle"/>
        <w:keepNext w:val="0"/>
      </w:pPr>
      <w:r>
        <w:t>Caso interamente fittizio: numeri e criteri illustrativi, non valori consigliati.</w:t>
      </w:r>
    </w:p>
    <w:p>
      <w:pPr>
        <w:keepNext w:val="0"/>
      </w:pPr>
      <w:r>
        <w:rPr>
          <w:b/>
          <w:sz w:val="21"/>
        </w:rPr>
        <w:t>O01 · rev. 01.</w:t>
      </w:r>
      <w:r>
        <w:rPr>
          <w:sz w:val="21"/>
        </w:rPr>
        <w:t xml:space="preserve"> Durante la pianificazione di un’attività scelta, la persona comunica una preferenza o un rifiuto riconoscibile e confermato, tramite parola, gesto concordato o CAA. Accessi sempre disponibili; invito abituale e attesa personalizzata; nessun suggerimento aggiuntivo che anticipi il messaggio.</w:t>
      </w:r>
    </w:p>
    <w:p>
      <w:pPr>
        <w:keepNext w:val="0"/>
      </w:pPr>
      <w:r>
        <w:rPr>
          <w:b/>
          <w:sz w:val="21"/>
        </w:rPr>
        <w:t>Criterio scelto solo per questo esempio:</w:t>
      </w:r>
      <w:r>
        <w:rPr>
          <w:sz w:val="21"/>
        </w:rPr>
        <w:t xml:space="preserve"> almeno 3 opportunità conformi su 5 valide in due rilevazioni distinte, nella routine concordata. Ogni invito accessibile è una opportunità; i tentativi successivi rimangono nella stessa. Un rifiuto comunicato è valido. Non si forza il numero di opportunità quando la persona interrompe.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4195"/>
        <w:gridCol w:w="3912"/>
      </w:tblGrid>
      <w:tr>
        <w:trPr>
          <w:cantSplit/>
          <w:tblHeader w:val="true"/>
        </w:trPr>
        <w:tc>
          <w:tcPr>
            <w:tcW w:type="dxa" w:w="17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RILEVAZIONE</w:t>
            </w:r>
          </w:p>
        </w:tc>
        <w:tc>
          <w:tcPr>
            <w:tcW w:type="dxa" w:w="419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DATI E CONDIZIONI</w:t>
            </w:r>
          </w:p>
        </w:tc>
        <w:tc>
          <w:tcPr>
            <w:tcW w:type="dxa" w:w="391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LETTURA CIRCOSCRITTA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19"/>
              </w:rPr>
              <w:t>R00 · baseline</w:t>
              <w:br/>
              <w:t>Giorno 1 · diretta</w:t>
            </w:r>
          </w:p>
        </w:tc>
        <w:tc>
          <w:tcPr>
            <w:tcW w:type="dxa" w:w="419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19"/>
              </w:rPr>
              <w:t>2/5 senza suggerimenti; 2 dopo modello; 1 non rilevata. X = 2: un accesso indisponibile e un’interruzione prima dell’avvio.</w:t>
            </w:r>
          </w:p>
        </w:tc>
        <w:tc>
          <w:tcPr>
            <w:tcW w:type="dxa" w:w="391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19"/>
              </w:rPr>
              <w:t>2/5 = 40% per il criterio scelto. Le X descrivono limiti di accesso, non errori.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19"/>
              </w:rPr>
              <w:t>R01 · giorno 4</w:t>
              <w:br/>
              <w:t>Diretta</w:t>
            </w:r>
          </w:p>
        </w:tc>
        <w:tc>
          <w:tcPr>
            <w:tcW w:type="dxa" w:w="419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19"/>
              </w:rPr>
              <w:t>3/5 conformi; 1 dopo modello; 1 non rilevata. X = 0. Stessa routine e accessi.</w:t>
            </w:r>
          </w:p>
        </w:tc>
        <w:tc>
          <w:tcPr>
            <w:tcW w:type="dxa" w:w="391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19"/>
              </w:rPr>
              <w:t>Prima rilevazione che soddisfa il criterio individuale.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19"/>
              </w:rPr>
              <w:t>R02 · giorno 8</w:t>
              <w:br/>
              <w:t>Diretta</w:t>
            </w:r>
          </w:p>
        </w:tc>
        <w:tc>
          <w:tcPr>
            <w:tcW w:type="dxa" w:w="419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19"/>
              </w:rPr>
              <w:t>4/5 conformi; 1 dopo modello. X = 0. Stessa routine e accessi.</w:t>
            </w:r>
          </w:p>
        </w:tc>
        <w:tc>
          <w:tcPr>
            <w:tcW w:type="dxa" w:w="391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19"/>
              </w:rPr>
              <w:t>Criterio documentato una seconda volta; uso funzionale circoscritto a questa routine.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19"/>
              </w:rPr>
              <w:t>R03 · giorno 11</w:t>
              <w:br/>
              <w:t>Diretta · S6</w:t>
            </w:r>
          </w:p>
        </w:tc>
        <w:tc>
          <w:tcPr>
            <w:tcW w:type="dxa" w:w="419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19"/>
              </w:rPr>
              <w:t>Nuovo partner e nuovo luogo: 1/3 conforme; 1 dopo modello; 1 non rilevata.</w:t>
            </w:r>
          </w:p>
        </w:tc>
        <w:tc>
          <w:tcPr>
            <w:tcW w:type="dxa" w:w="391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19"/>
              </w:rPr>
              <w:t>Evidenza di trasferimento limitata; non basta per “Generalizzato”.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19"/>
              </w:rPr>
              <w:t>Fonte riferita</w:t>
              <w:br/>
              <w:t>Giorno 12</w:t>
            </w:r>
          </w:p>
        </w:tc>
        <w:tc>
          <w:tcPr>
            <w:tcW w:type="dxa" w:w="419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19"/>
              </w:rPr>
              <w:t>Il caregiver riferisce “a casa esprime più scelte”, senza numero di opportunità.</w:t>
            </w:r>
          </w:p>
        </w:tc>
        <w:tc>
          <w:tcPr>
            <w:tcW w:type="dxa" w:w="391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19"/>
              </w:rPr>
              <w:t>Nota separata. Non si trasforma in n/N e non si aggiunge ai dati diretti.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keepNext w:val="0"/>
      </w:pPr>
      <w:r>
        <w:rPr>
          <w:b/>
          <w:sz w:val="21"/>
        </w:rPr>
        <w:t>Sintesi in S9:</w:t>
      </w:r>
      <w:r>
        <w:rPr>
          <w:sz w:val="21"/>
        </w:rPr>
        <w:t xml:space="preserve"> “Funzionale nel contesto” motivato da R01–R02. La baseline ha limiti di accesso dichiarati. Generalizzazione non ancora sufficientemente documentata; mantenimento a distanza da verificare. Non si attribuisce il cambiamento alla terapia sulla sola base di questi dati.</w:t>
      </w:r>
    </w:p>
    <w:p>
      <w:pPr>
        <w:pStyle w:val="ARSmall"/>
        <w:keepNext w:val="0"/>
      </w:pPr>
      <w:r>
        <w:t>Prossimo passo fittizio: mantenere gli accessi e programmare osservazioni concordate con il nuovo partner; descrivere separatamente il suo comportamento di supporto. Non aggiungere aiuti o cambiare criteri senza documentarlo.</w:t>
      </w:r>
    </w:p>
    <w:p>
      <w:pPr>
        <w:pStyle w:val="AREyebrow"/>
        <w:keepNext/>
        <w:pageBreakBefore/>
      </w:pPr>
      <w:r>
        <w:t>GUIDA / LIMITI E FONTI</w:t>
      </w:r>
    </w:p>
    <w:p>
      <w:pPr>
        <w:pStyle w:val="ARTitle"/>
        <w:keepNext/>
      </w:pPr>
      <w:r>
        <w:t>Ambito dell’edizione</w:t>
      </w:r>
    </w:p>
    <w:p>
      <w:pPr>
        <w:pStyle w:val="ARSubtitle"/>
        <w:keepNext w:val="0"/>
      </w:pPr>
      <w:r>
        <w:t>Le fonti sostengono principi generali; non validano il modello MOT.</w:t>
      </w:r>
    </w:p>
    <w:p>
      <w:pPr>
        <w:keepNext w:val="0"/>
      </w:pPr>
      <w:r>
        <w:rPr>
          <w:b/>
          <w:sz w:val="21"/>
        </w:rPr>
        <w:t>Non è una valutazione diagnostica né una misura psicometrica.</w:t>
      </w:r>
      <w:r>
        <w:rPr>
          <w:sz w:val="21"/>
        </w:rPr>
        <w:t xml:space="preserve"> MOT non stabilisce normalità, gravità, prognosi, sicurezza della deglutizione o efficacia di un trattamento. Non sostituisce valutazioni, protocolli validati, misure specifiche appropriate o il piano clinico. Non è una versione di GAS o NOMS.</w:t>
      </w:r>
    </w:p>
    <w:p>
      <w:pPr>
        <w:keepNext w:val="0"/>
      </w:pPr>
      <w:r>
        <w:rPr>
          <w:b/>
          <w:sz w:val="21"/>
        </w:rPr>
        <w:t>Scelte originali ARMONIA:</w:t>
      </w:r>
      <w:r>
        <w:rPr>
          <w:sz w:val="21"/>
        </w:rPr>
        <w:t xml:space="preserve"> campi, codici, esempi, regole di conteggio e definizioni della scala sono soluzioni editoriali di questo modello. Non sono item copiati dalle fonti. Gli esempi non prescrivono target, numero di opportunità, tempi, tecniche o criteri per una persona reale.</w:t>
      </w:r>
    </w:p>
    <w:p>
      <w:pPr>
        <w:pStyle w:val="ARLabel"/>
        <w:keepNext w:val="0"/>
        <w:spacing w:after="40"/>
      </w:pPr>
      <w:r>
        <w:t>[1] ASHA — Documentation in Health Care</w:t>
      </w:r>
    </w:p>
    <w:p>
      <w:pPr>
        <w:pStyle w:val="ARSmall"/>
        <w:keepNext w:val="0"/>
        <w:spacing w:after="40"/>
      </w:pPr>
      <w:hyperlink r:id="rId26">
        <w:r>
          <w:rPr>
            <w:color w:val="526359"/>
            <w:sz w:val="18"/>
          </w:rPr>
          <w:t>https://www.asha.org/practice-portal/professional-issues/documentation-in-health-care/</w:t>
        </w:r>
      </w:hyperlink>
    </w:p>
    <w:p>
      <w:pPr>
        <w:pStyle w:val="ARSmall"/>
        <w:keepNext w:val="0"/>
      </w:pPr>
      <w:r>
        <w:t>Obiettivi funzionali, dati di seduta, aiuti, confronto e revisione. Fonte professionale statunitense: non trasferisce requisiti assicurativi o legali al contesto italiano.</w:t>
      </w:r>
    </w:p>
    <w:p>
      <w:pPr>
        <w:pStyle w:val="ARLabel"/>
        <w:keepNext w:val="0"/>
        <w:spacing w:after="40"/>
      </w:pPr>
      <w:r>
        <w:t>[2] WHO — Rehabilitation</w:t>
      </w:r>
    </w:p>
    <w:p>
      <w:pPr>
        <w:pStyle w:val="ARSmall"/>
        <w:keepNext w:val="0"/>
        <w:spacing w:after="40"/>
      </w:pPr>
      <w:hyperlink r:id="rId27">
        <w:r>
          <w:rPr>
            <w:color w:val="526359"/>
            <w:sz w:val="18"/>
          </w:rPr>
          <w:t>https://www.who.int/news-room/fact-sheets/detail/rehabilitation</w:t>
        </w:r>
      </w:hyperlink>
    </w:p>
    <w:p>
      <w:pPr>
        <w:pStyle w:val="ARSmall"/>
        <w:keepNext w:val="0"/>
      </w:pPr>
      <w:r>
        <w:t>Orientamento alle preferenze individuali, al funzionamento e alla partecipazione; sostegni e finalità di mantenimento.</w:t>
      </w:r>
    </w:p>
    <w:p>
      <w:pPr>
        <w:pStyle w:val="ARLabel"/>
        <w:keepNext w:val="0"/>
        <w:spacing w:after="40"/>
      </w:pPr>
      <w:r>
        <w:t>[3] ASHA — Augmentative and Alternative Communication</w:t>
      </w:r>
    </w:p>
    <w:p>
      <w:pPr>
        <w:pStyle w:val="ARSmall"/>
        <w:keepNext w:val="0"/>
        <w:spacing w:after="40"/>
      </w:pPr>
      <w:hyperlink r:id="rId15">
        <w:r>
          <w:rPr>
            <w:color w:val="526359"/>
            <w:sz w:val="18"/>
          </w:rPr>
          <w:t>https://www.asha.org/practice-portal/professional-issues/augmentative-and-alternative-communication/</w:t>
        </w:r>
      </w:hyperlink>
    </w:p>
    <w:p>
      <w:pPr>
        <w:pStyle w:val="ARSmall"/>
        <w:keepNext w:val="0"/>
      </w:pPr>
      <w:r>
        <w:t>Modalità multiple, accessi, partner e contesti; documentazione degli aiuti senza confonderli con gli ausili comunicativi.</w:t>
      </w:r>
    </w:p>
    <w:p>
      <w:pPr>
        <w:pStyle w:val="ARLabel"/>
        <w:keepNext w:val="0"/>
        <w:spacing w:after="40"/>
      </w:pPr>
      <w:r>
        <w:t>[4] ASHA — Speech Sound Disorders: Articulation and Phonology</w:t>
      </w:r>
    </w:p>
    <w:p>
      <w:pPr>
        <w:pStyle w:val="ARSmall"/>
        <w:keepNext w:val="0"/>
        <w:spacing w:after="40"/>
      </w:pPr>
      <w:hyperlink r:id="rId13">
        <w:r>
          <w:rPr>
            <w:color w:val="526359"/>
            <w:sz w:val="18"/>
          </w:rPr>
          <w:t>https://www.asha.org/practice-portal/clinical-topics/articulation-and-phonology/</w:t>
        </w:r>
      </w:hyperlink>
    </w:p>
    <w:p>
      <w:pPr>
        <w:pStyle w:val="ARSmall"/>
        <w:keepNext w:val="0"/>
      </w:pPr>
      <w:r>
        <w:t>Distinzione tra acquisizione, generalizzazione e mantenimento nello specifico ambito del parlato; nessun trasferimento di norme o sequenze obbligate.</w:t>
      </w:r>
    </w:p>
    <w:p>
      <w:pPr>
        <w:pStyle w:val="ARLabel"/>
        <w:keepNext w:val="0"/>
        <w:spacing w:after="40"/>
      </w:pPr>
      <w:r>
        <w:t>[5] ASHA — Aphasia</w:t>
      </w:r>
    </w:p>
    <w:p>
      <w:pPr>
        <w:pStyle w:val="ARSmall"/>
        <w:keepNext w:val="0"/>
        <w:spacing w:after="40"/>
      </w:pPr>
      <w:hyperlink r:id="rId25">
        <w:r>
          <w:rPr>
            <w:color w:val="526359"/>
            <w:sz w:val="18"/>
          </w:rPr>
          <w:t>https://www.asha.org/practice-portal/clinical-topics/aphasia/</w:t>
        </w:r>
      </w:hyperlink>
    </w:p>
    <w:p>
      <w:pPr>
        <w:pStyle w:val="ARSmall"/>
        <w:keepNext w:val="0"/>
      </w:pPr>
      <w:r>
        <w:t>Obiettivi individuali e partecipazione; prospettiva della persona e dei partner e adattamenti contestuali.</w:t>
      </w:r>
    </w:p>
    <w:p>
      <w:pPr>
        <w:pStyle w:val="ARSmall"/>
        <w:keepNext w:val="0"/>
      </w:pPr>
      <w:r>
        <w:t>Fonti consultate il 03/10/2026. I richiami [1]–[5] indicano i principi di riferimento, non un’approvazione di ARMONIA da parte delle organizzazioni citate.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tcMar>
              <w:top w:w="120" w:type="dxa"/>
              <w:start w:w="85" w:type="dxa"/>
              <w:bottom w:w="120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80" w:before="0"/>
            </w:pPr>
            <w:r>
              <w:rPr>
                <w:b/>
                <w:sz w:val="23"/>
              </w:rPr>
              <w:t>MOT v1.0 · Stato editoriale</w:t>
            </w:r>
          </w:p>
          <w:p>
            <w:pPr>
              <w:pStyle w:val="ARField"/>
              <w:keepNext w:val="0"/>
              <w:spacing w:after="0"/>
            </w:pPr>
            <w:r>
              <w:rPr>
                <w:sz w:val="21"/>
              </w:rPr>
              <w:t>Edizione completa sul piano editoriale. Revisione clinica, sperimentazione d’uso e validazione psicometrica non eseguite. Prima della diffusione per uso clinico ordinario è necessaria revisione professionale nei contesti previsti. Conservare versione, autore e data delle compilazioni.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spacing w:after="0" w:before="0"/>
        <w:sectPr>
          <w:headerReference w:type="default" r:id="rId9"/>
          <w:footerReference w:type="default" r:id="rId10"/>
          <w:pgSz w:w="11906" w:h="16838"/>
          <w:pgMar w:top="2211" w:right="1020" w:bottom="1020" w:left="1020" w:header="510" w:footer="510" w:gutter="0"/>
          <w:cols w:space="720"/>
          <w:docGrid w:linePitch="360"/>
          <w:pgNumType w:start="1"/>
        </w:sectPr>
      </w:pPr>
    </w:p>
    <w:p>
      <w:pPr>
        <w:pStyle w:val="AREyebrow"/>
        <w:keepNext/>
      </w:pPr>
      <w:r>
        <w:t>SCHEDA / AVVIO · UN OBIETTIVO</w:t>
      </w:r>
    </w:p>
    <w:p>
      <w:pPr>
        <w:pStyle w:val="ARTitle"/>
        <w:keepNext/>
      </w:pPr>
      <w:r>
        <w:t>Identità dell’obiettivo</w:t>
      </w:r>
    </w:p>
    <w:p>
      <w:pPr>
        <w:pStyle w:val="ARSubtitle"/>
        <w:keepNext w:val="0"/>
      </w:pPr>
      <w:r>
        <w:t>Compila S1–S2 all’avvio; conserva lo storico quando cambiano target o criteri.</w:t>
      </w:r>
    </w:p>
    <w:p>
      <w:pPr>
        <w:pStyle w:val="ARField"/>
        <w:keepNext w:val="0"/>
        <w:spacing w:after="160"/>
      </w:pPr>
      <w:r>
        <w:rPr>
          <w:sz w:val="19"/>
        </w:rPr>
        <w:t>Codice persona: __________________  Obiettivo O____  Revisione: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822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Professionista / ruolo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Data di definizione / compilazione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Label"/>
        <w:keepNext w:val="0"/>
        <w:spacing w:after="40"/>
      </w:pPr>
      <w:r>
        <w:t>Priorità della persona e significato nella vita quotidiana — parole, modalità e fonte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1134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Chi realizza il comportamento target?</w:t>
              <w:br/>
              <w:t>Persona / partner / altro: specificare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Finalità</w:t>
              <w:br/>
              <w:t>Acquisizione / mantenimento / compensazione / partecipazione / altro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Label"/>
        <w:keepNext w:val="0"/>
        <w:spacing w:after="40"/>
      </w:pPr>
      <w:r>
        <w:t>Comportamento target — che cosa farà concretamente; non soltanto il nome dell’esercizio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624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Contesto di riferimento — attività, partner, luogo, materiali, lingua/modalità e accessi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95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9354"/>
      </w:tblGrid>
      <w:tr>
        <w:trPr>
          <w:cantSplit/>
        </w:trPr>
        <w:tc>
          <w:tcPr>
            <w:tcW w:type="dxa" w:w="51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B</w:t>
            </w:r>
          </w:p>
        </w:tc>
        <w:tc>
          <w:tcPr>
            <w:tcW w:type="dxa" w:w="935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Baseline / punto di partenza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1247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Data o periodo e fonte; R o documento di riferimento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Dato iniziale, misura, aiuti e condizioni; se assente: “non disponibile”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Label"/>
        <w:keepNext w:val="0"/>
        <w:spacing w:after="40"/>
      </w:pPr>
      <w:r>
        <w:t>Priorità o informazioni del caregiver/altro — fonte distinta dalla prospettiva della persona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482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879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Data prevista di riesame / responsabile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Piano clinico, valutazioni o documenti collegati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Small"/>
        <w:keepNext w:val="0"/>
      </w:pPr>
      <w:r>
        <w:t>MOT non genera obiettivi clinici né diagnosi. Una baseline mancante non vale zero. Le regole di misura e il criterio individuale sono in S2; guida G3.</w:t>
      </w:r>
    </w:p>
    <w:p>
      <w:pPr>
        <w:pStyle w:val="AREyebrow"/>
        <w:keepNext/>
        <w:pageBreakBefore/>
      </w:pPr>
      <w:r>
        <w:t>SCHEDA / DEFINIZIONE · STESSA REVISIONE</w:t>
      </w:r>
    </w:p>
    <w:p>
      <w:pPr>
        <w:pStyle w:val="ARTitle"/>
        <w:keepNext/>
      </w:pPr>
      <w:r>
        <w:t>Regole di rilevazione</w:t>
      </w:r>
    </w:p>
    <w:p>
      <w:pPr>
        <w:pStyle w:val="ARSubtitle"/>
        <w:keepNext w:val="0"/>
      </w:pPr>
      <w:r>
        <w:t>Definire prima dell’osservazione. Nessun valore o aiuto predefinito da MOT.</w:t>
      </w:r>
    </w:p>
    <w:p>
      <w:pPr>
        <w:pStyle w:val="ARField"/>
        <w:keepNext w:val="0"/>
        <w:spacing w:after="160"/>
      </w:pPr>
      <w:r>
        <w:rPr>
          <w:sz w:val="19"/>
        </w:rPr>
        <w:t>Codice persona: __________________  Obiettivo O____  Revisione: ____</w:t>
      </w:r>
    </w:p>
    <w:p>
      <w:pPr>
        <w:pStyle w:val="ARField"/>
        <w:keepNext w:val="0"/>
        <w:spacing w:after="140"/>
      </w:pPr>
      <w:r>
        <w:rPr>
          <w:sz w:val="19"/>
        </w:rPr>
        <w:t>Misura principale:  □ n/N  □ frequenza  □ durata  □ latenza  □ descrizione strutturata  □ altro</w:t>
      </w:r>
    </w:p>
    <w:p>
      <w:pPr>
        <w:pStyle w:val="ARLabel"/>
        <w:keepNext w:val="0"/>
        <w:spacing w:after="40"/>
      </w:pPr>
      <w:r>
        <w:t>Unità / opportunità — inizio, fine, finestra temporale e condizioni necessarie per osservarla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454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Esito conforme al criterio — risposta attesa, parti essenziali, tempo se pertinente; cosa non basta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10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1049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Accessi, strumenti e supporti abituali da mantenere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Aiuti aggiuntivi ammessi nel criterio: tipo, momento, frequenza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1134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Non risposta / risposta parziale / dubbia: regola di registrazione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Esclusioni e dati non valutabili X: criteri, senza selezionare gli esiti migliori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Label"/>
        <w:keepNext w:val="0"/>
        <w:spacing w:after="40"/>
      </w:pPr>
      <w:r>
        <w:t>Tentativi, modelli e ripetizioni — quando restano nella stessa opportunità e come si separano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397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Criterio individuale di raggiungimento — risultato, condizioni e rilevazioni richieste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39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1191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Generalizzazione da verificare, se pertinente</w:t>
              <w:br/>
              <w:t>Quali altri partner / materiali / contesti e quali evidenze?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Stabilità / mantenimento da verificare</w:t>
              <w:br/>
              <w:t>Quando, con quali condizioni e criteri?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879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Piano di raccolta: autore, fonte, frequenza / occasione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Condivisione con persona / caregiver; data e modalità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Small"/>
        <w:keepNext w:val="0"/>
      </w:pPr>
      <w:r>
        <w:t>Per n/N, N contiene soltanto opportunità valide definite qui; X resta visibile a parte. N = 0: non calcolabile. Le percentuali sono facoltative. Cambiare queste regole richiede una revisione datata. Guida G3–G5.</w:t>
      </w:r>
    </w:p>
    <w:p>
      <w:pPr>
        <w:pStyle w:val="AREyebrow"/>
        <w:keepNext/>
        <w:pageBreakBefore/>
      </w:pPr>
      <w:r>
        <w:t>SCHEDA / RILEVAZIONE RAPIDA · RIPETIBILE</w:t>
      </w:r>
    </w:p>
    <w:p>
      <w:pPr>
        <w:pStyle w:val="ARTitle"/>
        <w:keepNext/>
      </w:pPr>
      <w:r>
        <w:t>Una rilevazione, un obiettivo</w:t>
      </w:r>
    </w:p>
    <w:p>
      <w:pPr>
        <w:pStyle w:val="ARSubtitle"/>
        <w:keepNext w:val="0"/>
      </w:pPr>
      <w:r>
        <w:t>Riporta condizioni e fonti reali. Duplica la pagina per blocchi non confrontabili.</w:t>
      </w:r>
    </w:p>
    <w:p>
      <w:pPr>
        <w:pStyle w:val="ARField"/>
        <w:keepNext w:val="0"/>
        <w:spacing w:after="160"/>
      </w:pPr>
      <w:r>
        <w:rPr>
          <w:sz w:val="19"/>
        </w:rPr>
        <w:t>Codice persona: __________________  Obiettivo O____  Revisione: ____  Rilevazione R____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879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Data / intervallo osservato — seduta o fonte collegata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Data di compilazione / autore della raccolta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Field"/>
        <w:keepNext w:val="0"/>
        <w:spacing w:after="140"/>
      </w:pPr>
      <w:r>
        <w:rPr>
          <w:sz w:val="19"/>
        </w:rPr>
        <w:t>Finalità del blocco: □ baseline  □ pratica/insegnamento  □ verifica concordata  □ follow-up</w:t>
      </w:r>
    </w:p>
    <w:p>
      <w:pPr>
        <w:pStyle w:val="ARLabel"/>
        <w:keepNext w:val="0"/>
        <w:spacing w:after="40"/>
      </w:pPr>
      <w:r>
        <w:t>Fonte — diretta dal vivo / da registrazione / riferita / documentale; chi, quando e quale periodo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369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Contesto effettivo, materiali, partner, modalità e accessi — cambiamenti rispetto a S2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10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Aiuti effettivi — tipo/contenuto, momento e frequenza; differenze rispetto agli aiuti ammessi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454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9354"/>
      </w:tblGrid>
      <w:tr>
        <w:trPr>
          <w:cantSplit/>
        </w:trPr>
        <w:tc>
          <w:tcPr>
            <w:tcW w:type="dxa" w:w="51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R</w:t>
            </w:r>
          </w:p>
        </w:tc>
        <w:tc>
          <w:tcPr>
            <w:tcW w:type="dxa" w:w="935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Risultato riferito alla regola di S2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1162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Conteggio facoltativo</w:t>
              <w:br/>
              <w:t>n conformi: ____ / N valide: ____  = ____ %</w:t>
              <w:br/>
              <w:t>□ conteggio osservato  □ conteggio da fonte specificata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X escluse/non valutabili: ____; motivi</w:t>
              <w:br/>
              <w:t>Altre situazioni non osservate o non conteggiate: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1077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Altra misura: valore, unità, intervallo, metodo</w:t>
              <w:br/>
              <w:t>□ misurato  □ stimato  □ riferito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Prima risposta / risposte dopo aiuti aggiuntivi</w:t>
              <w:br/>
              <w:t>Riportare separatamente, senza doppio conteggio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Label"/>
        <w:keepNext w:val="0"/>
        <w:spacing w:after="40"/>
      </w:pPr>
      <w:r>
        <w:t>Evidenza essenziale, strategie associate a esito favorevole, difficoltà e limiti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1049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Esperienza / preferenze riferite dalla persona o dal partner — fonte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Prossimo passo: azione, responsabile, occasione o data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Small"/>
        <w:keepNext w:val="0"/>
      </w:pPr>
      <w:r>
        <w:t>N = 0 o sconosciuto: niente percentuale. L’esito dopo un aiuto non ammesso in S2 non soddisfa quel criterio, ma si descrive. Rifiuti, pause e accessi mancanti non sono automaticamente errori. Dettaglio facoltativo S4; guida G4–G5.</w:t>
      </w:r>
    </w:p>
    <w:p>
      <w:pPr>
        <w:pStyle w:val="AREyebrow"/>
        <w:keepNext/>
        <w:pageBreakBefore/>
      </w:pPr>
      <w:r>
        <w:t>SCHEDA / OPPORTUNITÀ · FACOLTATIVO</w:t>
      </w:r>
    </w:p>
    <w:p>
      <w:pPr>
        <w:pStyle w:val="ARTitle"/>
        <w:keepNext/>
      </w:pPr>
      <w:r>
        <w:t>Che cosa è successo nei tentativi</w:t>
      </w:r>
    </w:p>
    <w:p>
      <w:pPr>
        <w:pStyle w:val="ARSubtitle"/>
        <w:keepNext w:val="0"/>
      </w:pPr>
      <w:r>
        <w:t>Un evento per riga; gli aiuti successivi restano collegati all’opportunità iniziale.</w:t>
      </w:r>
    </w:p>
    <w:p>
      <w:pPr>
        <w:pStyle w:val="ARField"/>
        <w:keepNext w:val="0"/>
        <w:spacing w:after="160"/>
      </w:pPr>
      <w:r>
        <w:rPr>
          <w:sz w:val="19"/>
        </w:rPr>
        <w:t>Codice persona: __________________  Obiettivo O____  Revisione: ____  Rilevazione R____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850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Data / intervallo e fonte della raccolta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Unità, criterio e regola di conteggio — richiamo S2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single" w:sz="4" w:color="CCD7CC"/>
        </w:tblBorders>
      </w:tblPr>
      <w:tblGrid>
        <w:gridCol w:w="1757"/>
        <w:gridCol w:w="2665"/>
        <w:gridCol w:w="3118"/>
        <w:gridCol w:w="2324"/>
      </w:tblGrid>
      <w:tr>
        <w:trPr>
          <w:cantSplit/>
          <w:tblHeader w:val="true"/>
        </w:trPr>
        <w:tc>
          <w:tcPr>
            <w:tcW w:type="dxa" w:w="17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OPPORTUNITÀ / CONDIZIONE</w:t>
            </w:r>
          </w:p>
        </w:tc>
        <w:tc>
          <w:tcPr>
            <w:tcW w:type="dxa" w:w="26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PRIMA RISPOSTA OSSERVATA</w:t>
            </w:r>
          </w:p>
        </w:tc>
        <w:tc>
          <w:tcPr>
            <w:tcW w:type="dxa" w:w="311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AIUTI SUCCESSIVI E RISPOSTA</w:t>
            </w:r>
          </w:p>
        </w:tc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INCLUSIONE / ESITO</w:t>
            </w:r>
          </w:p>
        </w:tc>
      </w:tr>
      <w:tr>
        <w:trPr>
          <w:cantSplit/>
          <w:trHeight w:val="879" w:hRule="atLeast"/>
        </w:trPr>
        <w:tc>
          <w:tcPr>
            <w:tcW w:type="dxa" w:w="17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6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311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879" w:hRule="atLeast"/>
        </w:trPr>
        <w:tc>
          <w:tcPr>
            <w:tcW w:type="dxa" w:w="17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6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311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879" w:hRule="atLeast"/>
        </w:trPr>
        <w:tc>
          <w:tcPr>
            <w:tcW w:type="dxa" w:w="17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6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311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879" w:hRule="atLeast"/>
        </w:trPr>
        <w:tc>
          <w:tcPr>
            <w:tcW w:type="dxa" w:w="17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6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311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879" w:hRule="atLeast"/>
        </w:trPr>
        <w:tc>
          <w:tcPr>
            <w:tcW w:type="dxa" w:w="17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6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311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879" w:hRule="atLeast"/>
        </w:trPr>
        <w:tc>
          <w:tcPr>
            <w:tcW w:type="dxa" w:w="1757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6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311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Small"/>
        <w:keepNext w:val="0"/>
      </w:pPr>
      <w:r>
        <w:t>Nell’ultima colonna: valida o X con motivo; se valida, conforme / non conforme / dato dubbio secondo S2. Documentare come si gestisce l’incertezza, senza assegnarla automaticamente a un errore. Non copiare la risposta dopo modello nella colonna iniziale.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1077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Totali: n ____ / N ____; X ____</w:t>
              <w:br/>
              <w:t>Confrontare con S3; nessun doppio conteggio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Episodi non conteggiati, discrepanze tra osservatori o limiti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Label"/>
        <w:keepNext w:val="0"/>
        <w:spacing w:after="40"/>
      </w:pPr>
      <w:r>
        <w:t>Che cosa aiuta a interpretare la sequenza — interventi del partner, interruzioni, accessi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10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Small"/>
        <w:keepNext w:val="0"/>
      </w:pPr>
      <w:r>
        <w:t>Dati diretti e riferiti si raccolgono su registri distinti. Una serie di tentativi nella stessa seduta non documenta da sola generalizzazione o mantenimento. Guida G4–G5.</w:t>
      </w:r>
    </w:p>
    <w:p>
      <w:pPr>
        <w:pStyle w:val="AREyebrow"/>
        <w:keepNext/>
        <w:pageBreakBefore/>
      </w:pPr>
      <w:r>
        <w:t>SCHEDA / SERIE LONGITUDINALE</w:t>
      </w:r>
    </w:p>
    <w:p>
      <w:pPr>
        <w:pStyle w:val="ARTitle"/>
        <w:keepNext/>
      </w:pPr>
      <w:r>
        <w:t>Andamento dello stesso obiettivo</w:t>
      </w:r>
    </w:p>
    <w:p>
      <w:pPr>
        <w:pStyle w:val="ARSubtitle"/>
        <w:keepNext w:val="0"/>
      </w:pPr>
      <w:r>
        <w:t>Conserva baseline, dati grezzi e cambiamenti nelle condizioni.</w:t>
      </w:r>
    </w:p>
    <w:p>
      <w:pPr>
        <w:pStyle w:val="ARField"/>
        <w:keepNext w:val="0"/>
        <w:spacing w:after="160"/>
      </w:pPr>
      <w:r>
        <w:rPr>
          <w:sz w:val="19"/>
        </w:rPr>
        <w:t>Codice persona: __________________  Obiettivo O____  Revisione: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879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Intervallo della sintesi / compilatore / data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Misura e criterio richiamati — revisione di S2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single" w:sz="4" w:color="CCD7CC"/>
        </w:tblBorders>
      </w:tblPr>
      <w:tblGrid>
        <w:gridCol w:w="1814"/>
        <w:gridCol w:w="2835"/>
        <w:gridCol w:w="2324"/>
        <w:gridCol w:w="2891"/>
      </w:tblGrid>
      <w:tr>
        <w:trPr>
          <w:cantSplit/>
          <w:tblHeader w:val="true"/>
        </w:trPr>
        <w:tc>
          <w:tcPr>
            <w:tcW w:type="dxa" w:w="18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R / DATA / FONTE</w:t>
            </w:r>
          </w:p>
        </w:tc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CONTESTO, PROCEDURA E AIUTI</w:t>
            </w:r>
          </w:p>
        </w:tc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RISULTATO / UNITÀ / X</w:t>
            </w:r>
          </w:p>
        </w:tc>
        <w:tc>
          <w:tcPr>
            <w:tcW w:type="dxa" w:w="289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CONFRONTABILITÀ E NOTE</w:t>
            </w:r>
          </w:p>
        </w:tc>
      </w:tr>
      <w:tr>
        <w:trPr>
          <w:cantSplit/>
          <w:trHeight w:val="879" w:hRule="atLeast"/>
        </w:trPr>
        <w:tc>
          <w:tcPr>
            <w:tcW w:type="dxa" w:w="18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Baseline</w:t>
              <w:br/>
              <w:t>R____</w:t>
            </w:r>
          </w:p>
        </w:tc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89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879" w:hRule="atLeast"/>
        </w:trPr>
        <w:tc>
          <w:tcPr>
            <w:tcW w:type="dxa" w:w="18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R____</w:t>
            </w:r>
          </w:p>
        </w:tc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89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879" w:hRule="atLeast"/>
        </w:trPr>
        <w:tc>
          <w:tcPr>
            <w:tcW w:type="dxa" w:w="18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R____</w:t>
            </w:r>
          </w:p>
        </w:tc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89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879" w:hRule="atLeast"/>
        </w:trPr>
        <w:tc>
          <w:tcPr>
            <w:tcW w:type="dxa" w:w="18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R____</w:t>
            </w:r>
          </w:p>
        </w:tc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89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879" w:hRule="atLeast"/>
        </w:trPr>
        <w:tc>
          <w:tcPr>
            <w:tcW w:type="dxa" w:w="18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R____</w:t>
            </w:r>
          </w:p>
        </w:tc>
        <w:tc>
          <w:tcPr>
            <w:tcW w:type="dxa" w:w="283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89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Che cosa appare ripetersi o cambiare — collegare le conclusioni alle rilevazioni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Limiti del confronto — definizioni, campioni, lingue, fonti, supporti o procedure differenti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tcMar>
              <w:top w:w="120" w:type="dxa"/>
              <w:start w:w="85" w:type="dxa"/>
              <w:bottom w:w="120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80" w:before="0"/>
            </w:pPr>
            <w:r>
              <w:rPr>
                <w:b/>
                <w:sz w:val="23"/>
              </w:rPr>
              <w:t>Non trasformare una serie eterogenea in una percentuale unica</w:t>
            </w:r>
          </w:p>
          <w:p>
            <w:pPr>
              <w:pStyle w:val="ARField"/>
              <w:keepNext w:val="0"/>
              <w:spacing w:after="0"/>
            </w:pPr>
            <w:r>
              <w:rPr>
                <w:sz w:val="21"/>
              </w:rPr>
              <w:t>Usa righe separate per condizioni diverse. Un aumento di n/N con più aiuti non dimostra da solo maggiore autonomia; un dato inferiore in un compito nuovo non prova un peggioramento. Nuova definizione del target: nuova revisione, mantenendo lo storico. Guida G7.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Eyebrow"/>
        <w:keepNext/>
        <w:pageBreakBefore/>
      </w:pPr>
      <w:r>
        <w:t>SCHEDA / TRASFERIMENTO · FACOLTATIVO</w:t>
      </w:r>
    </w:p>
    <w:p>
      <w:pPr>
        <w:pStyle w:val="ARTitle"/>
        <w:keepNext/>
      </w:pPr>
      <w:r>
        <w:t>Generalizzazione documentata</w:t>
      </w:r>
    </w:p>
    <w:p>
      <w:pPr>
        <w:pStyle w:val="ARSubtitle"/>
        <w:keepNext w:val="0"/>
      </w:pPr>
      <w:r>
        <w:t>Specificare il contesto ulteriore; nessuna generalizzazione a situazioni non osservate.</w:t>
      </w:r>
    </w:p>
    <w:p>
      <w:pPr>
        <w:pStyle w:val="ARField"/>
        <w:keepNext w:val="0"/>
        <w:spacing w:after="160"/>
      </w:pPr>
      <w:r>
        <w:rPr>
          <w:sz w:val="19"/>
        </w:rPr>
        <w:t>Codice persona: __________________  Obiettivo O____  Revisione: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879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Data della sintesi / autore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Criterio di trasferimento previsto in S2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single" w:sz="4" w:color="CCD7CC"/>
        </w:tblBorders>
      </w:tblPr>
      <w:tblGrid>
        <w:gridCol w:w="2381"/>
        <w:gridCol w:w="3742"/>
        <w:gridCol w:w="3742"/>
      </w:tblGrid>
      <w:tr>
        <w:trPr>
          <w:cantSplit/>
          <w:tblHeader w:val="true"/>
        </w:trPr>
        <w:tc>
          <w:tcPr>
            <w:tcW w:type="dxa" w:w="238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ELEMENTO</w:t>
            </w:r>
          </w:p>
        </w:tc>
        <w:tc>
          <w:tcPr>
            <w:tcW w:type="dxa" w:w="374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CONTESTO DI RIFERIMENTO</w:t>
            </w:r>
          </w:p>
        </w:tc>
        <w:tc>
          <w:tcPr>
            <w:tcW w:type="dxa" w:w="374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CONTESTO ULTERIORE</w:t>
            </w:r>
          </w:p>
        </w:tc>
      </w:tr>
      <w:tr>
        <w:trPr>
          <w:cantSplit/>
          <w:trHeight w:val="567" w:hRule="atLeast"/>
        </w:trPr>
        <w:tc>
          <w:tcPr>
            <w:tcW w:type="dxa" w:w="238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R, data/periodo e fonte</w:t>
            </w:r>
          </w:p>
        </w:tc>
        <w:tc>
          <w:tcPr>
            <w:tcW w:type="dxa" w:w="374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374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737" w:hRule="atLeast"/>
        </w:trPr>
        <w:tc>
          <w:tcPr>
            <w:tcW w:type="dxa" w:w="238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Partner, attività, materiali, lingua/modalità</w:t>
            </w:r>
          </w:p>
        </w:tc>
        <w:tc>
          <w:tcPr>
            <w:tcW w:type="dxa" w:w="374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374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680" w:hRule="atLeast"/>
        </w:trPr>
        <w:tc>
          <w:tcPr>
            <w:tcW w:type="dxa" w:w="238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Che cosa è già praticato o direttamente allenato</w:t>
            </w:r>
          </w:p>
        </w:tc>
        <w:tc>
          <w:tcPr>
            <w:tcW w:type="dxa" w:w="374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374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680" w:hRule="atLeast"/>
        </w:trPr>
        <w:tc>
          <w:tcPr>
            <w:tcW w:type="dxa" w:w="238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Accessi e aiuti effettivi</w:t>
            </w:r>
          </w:p>
        </w:tc>
        <w:tc>
          <w:tcPr>
            <w:tcW w:type="dxa" w:w="374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374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737" w:hRule="atLeast"/>
        </w:trPr>
        <w:tc>
          <w:tcPr>
            <w:tcW w:type="dxa" w:w="238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Risultato, misura e opportunità valide / X</w:t>
            </w:r>
          </w:p>
        </w:tc>
        <w:tc>
          <w:tcPr>
            <w:tcW w:type="dxa" w:w="374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374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737" w:hRule="atLeast"/>
        </w:trPr>
        <w:tc>
          <w:tcPr>
            <w:tcW w:type="dxa" w:w="238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Conferme in rilevazioni distinte / eccezioni</w:t>
            </w:r>
          </w:p>
        </w:tc>
        <w:tc>
          <w:tcPr>
            <w:tcW w:type="dxa" w:w="374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374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Che cosa è nuovo, che cosa è comparabile e quali aspetti non permettono un confronto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482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Conclusione circoscritta e dati ancora necessari — nessun esito automatico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482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935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Prospettiva della persona / partner — fonte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Prossima verifica: contesto, responsabile, data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Small"/>
        <w:keepNext w:val="0"/>
      </w:pPr>
      <w:r>
        <w:t>Un episodio riferito non diventa un’osservazione diretta. La voce “Generalizzato” richiede le evidenze previste, con confini e fonti espliciti; non dimostra mantenimento. Non togliere supporti essenziali né introdurre prove rischiose per completare la pagina. Guida G6–G7.</w:t>
      </w:r>
    </w:p>
    <w:p>
      <w:pPr>
        <w:pStyle w:val="AREyebrow"/>
        <w:keepNext/>
        <w:pageBreakBefore/>
      </w:pPr>
      <w:r>
        <w:t>SCHEDA / TEMPO · FACOLTATIVO</w:t>
      </w:r>
    </w:p>
    <w:p>
      <w:pPr>
        <w:pStyle w:val="ARTitle"/>
        <w:keepNext/>
      </w:pPr>
      <w:r>
        <w:t>Stabilità e mantenimento</w:t>
      </w:r>
    </w:p>
    <w:p>
      <w:pPr>
        <w:pStyle w:val="ARSubtitle"/>
        <w:keepNext w:val="0"/>
      </w:pPr>
      <w:r>
        <w:t>Rilevazioni distinte, intervalli e condizioni; non una somma di prove nella seduta.</w:t>
      </w:r>
    </w:p>
    <w:p>
      <w:pPr>
        <w:pStyle w:val="ARField"/>
        <w:keepNext w:val="0"/>
        <w:spacing w:after="160"/>
      </w:pPr>
      <w:r>
        <w:rPr>
          <w:sz w:val="19"/>
        </w:rPr>
        <w:t>Codice persona: __________________  Obiettivo O____  Revisione: ____</w:t>
      </w:r>
    </w:p>
    <w:p>
      <w:pPr>
        <w:pStyle w:val="ARField"/>
        <w:keepNext w:val="0"/>
        <w:spacing w:after="160"/>
      </w:pPr>
      <w:r>
        <w:t>Domanda: □ ripetibilità tra rilevazioni  □ mantenimento a distanza  □ entrambe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935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Rilevazione di riferimento / data / criterio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Controlli previsti: quando e perché; richiamo S2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single" w:sz="4" w:color="CCD7CC"/>
        </w:tblBorders>
      </w:tblPr>
      <w:tblGrid>
        <w:gridCol w:w="1814"/>
        <w:gridCol w:w="2438"/>
        <w:gridCol w:w="2891"/>
        <w:gridCol w:w="2721"/>
      </w:tblGrid>
      <w:tr>
        <w:trPr>
          <w:cantSplit/>
          <w:tblHeader w:val="true"/>
        </w:trPr>
        <w:tc>
          <w:tcPr>
            <w:tcW w:type="dxa" w:w="18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R / DATA / INTERVALLO</w:t>
            </w:r>
          </w:p>
        </w:tc>
        <w:tc>
          <w:tcPr>
            <w:tcW w:type="dxa" w:w="243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RISULTATO / MISURA / FONTE</w:t>
            </w:r>
          </w:p>
        </w:tc>
        <w:tc>
          <w:tcPr>
            <w:tcW w:type="dxa" w:w="289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SUPPORTI E PRATICA INTERCORSA</w:t>
            </w:r>
          </w:p>
        </w:tc>
        <w:tc>
          <w:tcPr>
            <w:tcW w:type="dxa" w:w="272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CONDIZIONI / CONFRONTABILITÀ</w:t>
            </w:r>
          </w:p>
        </w:tc>
      </w:tr>
      <w:tr>
        <w:trPr>
          <w:cantSplit/>
          <w:trHeight w:val="879" w:hRule="atLeast"/>
        </w:trPr>
        <w:tc>
          <w:tcPr>
            <w:tcW w:type="dxa" w:w="18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43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89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72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879" w:hRule="atLeast"/>
        </w:trPr>
        <w:tc>
          <w:tcPr>
            <w:tcW w:type="dxa" w:w="18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43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89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72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879" w:hRule="atLeast"/>
        </w:trPr>
        <w:tc>
          <w:tcPr>
            <w:tcW w:type="dxa" w:w="18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43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89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72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879" w:hRule="atLeast"/>
        </w:trPr>
        <w:tc>
          <w:tcPr>
            <w:tcW w:type="dxa" w:w="18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43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89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72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Che cosa si mantiene, varia o non è ancora verificabile — evidenze e limiti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Cambiamenti di contesto, salute o accesso riportati; autore/fonte, senza attribuzione causale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10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1077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Esperienza e sostenibilità riferite dalla persona / partner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Prossimo controllo: azione, responsabile, data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tcMar>
              <w:top w:w="120" w:type="dxa"/>
              <w:start w:w="85" w:type="dxa"/>
              <w:bottom w:w="120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80" w:before="0"/>
            </w:pPr>
            <w:r>
              <w:rPr>
                <w:b/>
                <w:sz w:val="23"/>
              </w:rPr>
              <w:t>Non serve togliere gli aiuti per “provare” il mantenimento</w:t>
            </w:r>
          </w:p>
          <w:p>
            <w:pPr>
              <w:pStyle w:val="ARField"/>
              <w:keepNext w:val="0"/>
              <w:spacing w:after="0"/>
            </w:pPr>
            <w:r>
              <w:rPr>
                <w:sz w:val="21"/>
              </w:rPr>
              <w:t>Annota i supporti e la pratica proseguiti tra le rilevazioni. Un controllo mancante non è una perdita dell’abilità; una sola prestazione favorevole non dimostra stabilità generale. Criteri e intervalli sono individuali. Guida G7–G8.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Eyebrow"/>
        <w:keepNext/>
        <w:pageBreakBefore/>
      </w:pPr>
      <w:r>
        <w:t>SCHEDA / STRATEGIE E DIFFICOLTÀ</w:t>
      </w:r>
    </w:p>
    <w:p>
      <w:pPr>
        <w:pStyle w:val="ARTitle"/>
        <w:keepNext/>
      </w:pPr>
      <w:r>
        <w:t>Che cosa facilita il target</w:t>
      </w:r>
    </w:p>
    <w:p>
      <w:pPr>
        <w:pStyle w:val="ARSubtitle"/>
        <w:keepNext w:val="0"/>
      </w:pPr>
      <w:r>
        <w:t>Separare il fatto osservato dalla spiegazione ipotizzata.</w:t>
      </w:r>
    </w:p>
    <w:p>
      <w:pPr>
        <w:pStyle w:val="ARField"/>
        <w:keepNext w:val="0"/>
        <w:spacing w:after="160"/>
      </w:pPr>
      <w:r>
        <w:rPr>
          <w:sz w:val="19"/>
        </w:rPr>
        <w:t>Codice persona: __________________  Obiettivo O____  Revisione: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879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Rilevazioni / date / fonti richiamate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Attività e persone coinvolte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9354"/>
      </w:tblGrid>
      <w:tr>
        <w:trPr>
          <w:cantSplit/>
        </w:trPr>
        <w:tc>
          <w:tcPr>
            <w:tcW w:type="dxa" w:w="51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01</w:t>
            </w:r>
          </w:p>
        </w:tc>
        <w:tc>
          <w:tcPr>
            <w:tcW w:type="dxa" w:w="935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Strategia e risposta documentata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Chi ha fatto che cosa — parole, azioni, strumenti, attesa e momento dell’intervento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Risposta della persona prima / dopo; condizioni cambiate ed evidenza di riferimento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Difficoltà e barriere osservate — compito, accesso, ambiente o supporti; evitare giudizi sulla persona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"/>
        <w:gridCol w:w="9354"/>
      </w:tblGrid>
      <w:tr>
        <w:trPr>
          <w:cantSplit/>
        </w:trPr>
        <w:tc>
          <w:tcPr>
            <w:tcW w:type="dxa" w:w="51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b/>
                <w:sz w:val="21"/>
              </w:rPr>
              <w:t>02</w:t>
            </w:r>
          </w:p>
        </w:tc>
        <w:tc>
          <w:tcPr>
            <w:tcW w:type="dxa" w:w="935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0" w:before="0"/>
            </w:pPr>
            <w:r>
              <w:rPr>
                <w:b/>
                <w:sz w:val="23"/>
              </w:rPr>
              <w:t>Esperienza, preferenze e sostenibilità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1361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Prospettiva della persona: parole, segnali e modalità utilizzate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Prospettiva del caregiver/partner: autore, periodo e contesto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Label"/>
        <w:keepNext w:val="0"/>
        <w:spacing w:after="40"/>
      </w:pPr>
      <w:r>
        <w:t>Che cosa mantenere o rivedere — motivazione, incertezze e ulteriori dati necessari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1077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Azione concordata / chi la realizza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Occasione o data di verifica / informazioni da condividere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Small"/>
        <w:keepNext w:val="0"/>
      </w:pPr>
      <w:r>
        <w:t>La scheda non prescrive tecniche né una gerarchia di aiuti. Un’associazione temporale non dimostra l’efficacia causale di una strategia. Una difficoltà può dipendere dalle condizioni della raccolta: indicare ciò che si sa e ciò che resta da approfondire. Guida G5 e G8.</w:t>
      </w:r>
    </w:p>
    <w:p>
      <w:pPr>
        <w:pStyle w:val="AREyebrow"/>
        <w:keepNext/>
        <w:pageBreakBefore/>
      </w:pPr>
      <w:r>
        <w:t>SCHEDA / REVISIONE PROFESSIONALE</w:t>
      </w:r>
    </w:p>
    <w:p>
      <w:pPr>
        <w:pStyle w:val="ARTitle"/>
        <w:keepNext/>
      </w:pPr>
      <w:r>
        <w:t>Sintesi e prossimo passo</w:t>
      </w:r>
    </w:p>
    <w:p>
      <w:pPr>
        <w:pStyle w:val="ARSubtitle"/>
        <w:keepNext w:val="0"/>
      </w:pPr>
      <w:r>
        <w:t>Un obiettivo alla volta; stato organizzativo distinto dal descrittore.</w:t>
      </w:r>
    </w:p>
    <w:p>
      <w:pPr>
        <w:pStyle w:val="ARField"/>
        <w:keepNext w:val="0"/>
        <w:spacing w:after="160"/>
      </w:pPr>
      <w:r>
        <w:rPr>
          <w:sz w:val="19"/>
        </w:rPr>
        <w:t>Codice persona: __________________  Obiettivo O____  Revisione: 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794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Data di revisione / professionista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Periodo, rilevazioni e fonti considerate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Label"/>
        <w:keepNext w:val="0"/>
        <w:spacing w:after="40"/>
      </w:pPr>
      <w:r>
        <w:t>Criterio individuale e risultato documentato — evidenze, supporti e limiti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454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Field"/>
        <w:keepNext w:val="0"/>
        <w:spacing w:after="140"/>
      </w:pPr>
      <w:r>
        <w:rPr>
          <w:sz w:val="19"/>
        </w:rPr>
        <w:t>Descrittore facoltativo — guida G6:</w:t>
        <w:br/>
        <w:t>□ Non emergente nel campione   □ Emergente   □ In acquisizione</w:t>
        <w:br/>
        <w:t>□ Funzionale nel contesto   □ Generalizzato nei contesti documentati</w:t>
      </w:r>
    </w:p>
    <w:p>
      <w:pPr>
        <w:pStyle w:val="ARField"/>
        <w:keepNext w:val="0"/>
        <w:spacing w:after="140"/>
      </w:pPr>
      <w:r>
        <w:rPr>
          <w:sz w:val="18"/>
        </w:rPr>
        <w:t>Oppure: □ dati insufficienti  □ non osservabile  □ non pertinente alla finalità  □ solo sintesi</w:t>
      </w:r>
    </w:p>
    <w:p>
      <w:pPr>
        <w:pStyle w:val="ARLabel"/>
        <w:keepNext w:val="0"/>
        <w:spacing w:after="40"/>
      </w:pPr>
      <w:r>
        <w:t>Motivazione della sintesi / descrittore — non un risultato automatico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454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1020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Generalizzazione: contesti documentati, fonti e limiti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Stabilità / mantenimento: intervallo, dati e condizioni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Label"/>
        <w:keepNext w:val="0"/>
        <w:spacing w:after="40"/>
      </w:pPr>
      <w:r>
        <w:t>Risorse, strategie utili, difficoltà e priorità espresse dalla persona / caregiver — fonti distinte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482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Field"/>
        <w:keepNext w:val="0"/>
        <w:spacing w:after="120"/>
      </w:pPr>
      <w:r>
        <w:rPr>
          <w:sz w:val="19"/>
        </w:rPr>
        <w:t>Decisione: □ proseguire  □ consolidare/mantenere  □ modificare strategia</w:t>
        <w:br/>
        <w:t>□ riformulare  □ sospendere  □ concludere questo obiettivo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1162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Motivo; stato: attivo / sospeso / concluso / sostituito</w:t>
              <w:br/>
              <w:t>Eventuale nuova revisione o nuovo codice O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Prossimo passo: comportamento o contesto da verificare</w:t>
              <w:br/>
              <w:t>Responsabile e data/occasione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879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Condivisione / accordi con persona e partner: chi e come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Professionista / firma / data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p>
      <w:pPr>
        <w:pStyle w:val="ARSmall"/>
        <w:keepNext w:val="0"/>
      </w:pPr>
      <w:r>
        <w:t>Una conclusione dell’obiettivo non è una dimissione automatica. Nessun descrittore attesta diagnosi, gravità o sicurezza. Se cambiano target o criteri, conserva lo storico e aggiorna S1–S2; modello MOT v1.0 invariato. Guida G6–G8.</w:t>
      </w:r>
    </w:p>
    <w:p>
      <w:pPr>
        <w:pStyle w:val="AREyebrow"/>
        <w:keepNext/>
        <w:pageBreakBefore/>
      </w:pPr>
      <w:r>
        <w:t>SCHEDA / PANORAMICA FACOLTATIVA</w:t>
      </w:r>
    </w:p>
    <w:p>
      <w:pPr>
        <w:pStyle w:val="ARTitle"/>
        <w:keepNext/>
      </w:pPr>
      <w:r>
        <w:t>Obiettivi del percorso</w:t>
      </w:r>
    </w:p>
    <w:p>
      <w:pPr>
        <w:pStyle w:val="ARSubtitle"/>
        <w:keepNext w:val="0"/>
      </w:pPr>
      <w:r>
        <w:t>Una vista d’insieme per orientare il lavoro, non un punteggio della persona.</w:t>
      </w:r>
    </w:p>
    <w:p>
      <w:pPr>
        <w:pStyle w:val="ARField"/>
        <w:keepNext w:val="0"/>
        <w:spacing w:after="160"/>
      </w:pPr>
      <w:r>
        <w:rPr>
          <w:sz w:val="19"/>
        </w:rPr>
        <w:t>Codice persona: __________________  Percorso: __________________  Data: 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2"/>
        <w:gridCol w:w="4932"/>
      </w:tblGrid>
      <w:tr>
        <w:trPr>
          <w:trHeight w:val="992" w:hRule="atLeast"/>
          <w:cantSplit/>
        </w:trPr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Professionista / periodo della panoramica</w:t>
            </w:r>
          </w:p>
        </w:tc>
        <w:tc>
          <w:tcPr>
            <w:tcW w:type="dxa" w:w="4932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0"/>
            </w:pPr>
            <w:r>
              <w:t>Priorità della persona e modalità di condivisione</w:t>
            </w:r>
          </w:p>
        </w:tc>
      </w:tr>
    </w:tbl>
    <w:p>
      <w:pPr>
        <w:spacing w:after="0" w:before="0" w:line="100" w:lineRule="exact"/>
      </w:pPr>
      <w:r>
        <w:rPr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single" w:sz="4" w:color="CCD7CC"/>
        </w:tblBorders>
      </w:tblPr>
      <w:tblGrid>
        <w:gridCol w:w="2324"/>
        <w:gridCol w:w="2494"/>
        <w:gridCol w:w="2381"/>
        <w:gridCol w:w="2665"/>
      </w:tblGrid>
      <w:tr>
        <w:trPr>
          <w:cantSplit/>
          <w:tblHeader w:val="true"/>
        </w:trPr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OBIETTIVO / REV. E PRIORITÀ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ULTIMA EVIDENZA / DATA / FONTE</w:t>
            </w:r>
          </w:p>
        </w:tc>
        <w:tc>
          <w:tcPr>
            <w:tcW w:type="dxa" w:w="238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SINTESI E STATO ORGANIZZATIVO</w:t>
            </w:r>
          </w:p>
        </w:tc>
        <w:tc>
          <w:tcPr>
            <w:tcW w:type="dxa" w:w="26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0F5ED"/>
          </w:tcPr>
          <w:p>
            <w:pPr>
              <w:pStyle w:val="ARLabel"/>
              <w:keepNext w:val="0"/>
              <w:spacing w:after="0" w:before="0"/>
            </w:pPr>
            <w:r>
              <w:rPr>
                <w:sz w:val="18"/>
              </w:rPr>
              <w:t>PROSSIMO PASSO / CHI / QUANDO</w:t>
            </w:r>
          </w:p>
        </w:tc>
      </w:tr>
      <w:tr>
        <w:trPr>
          <w:cantSplit/>
          <w:trHeight w:val="1134" w:hRule="atLeast"/>
        </w:trPr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O____</w:t>
              <w:br/>
              <w:t>rev. ____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38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6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1134" w:hRule="atLeast"/>
        </w:trPr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O____</w:t>
              <w:br/>
              <w:t>rev. ____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38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6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1134" w:hRule="atLeast"/>
        </w:trPr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O____</w:t>
              <w:br/>
              <w:t>rev. ____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38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6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  <w:tr>
        <w:trPr>
          <w:cantSplit/>
          <w:trHeight w:val="1134" w:hRule="atLeast"/>
        </w:trPr>
        <w:tc>
          <w:tcPr>
            <w:tcW w:type="dxa" w:w="23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  <w:r>
              <w:rPr>
                <w:sz w:val="20"/>
              </w:rPr>
              <w:t>O____</w:t>
              <w:br/>
              <w:t>rev. ____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381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  <w:tc>
          <w:tcPr>
            <w:tcW w:type="dxa" w:w="26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Collegamenti o sovrapposizioni tra obiettivi — che cosa tenere distinto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Label"/>
        <w:keepNext w:val="0"/>
        <w:spacing w:after="40"/>
      </w:pPr>
      <w:r>
        <w:t>Priorità condivise per il prossimo periodo e informazioni da passare ai partner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  <w:spacing w:after="0" w:before="0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tcMar>
              <w:top w:w="120" w:type="dxa"/>
              <w:start w:w="85" w:type="dxa"/>
              <w:bottom w:w="120" w:type="dxa"/>
              <w:end w:w="85" w:type="dxa"/>
            </w:tcMar>
            <w:shd w:fill="F0F5ED"/>
          </w:tcPr>
          <w:p>
            <w:pPr>
              <w:pStyle w:val="ARSection"/>
              <w:keepNext w:val="0"/>
              <w:spacing w:after="80" w:before="0"/>
            </w:pPr>
            <w:r>
              <w:rPr>
                <w:b/>
                <w:sz w:val="23"/>
              </w:rPr>
              <w:t>Ogni riga conserva la propria definizione</w:t>
            </w:r>
          </w:p>
          <w:p>
            <w:pPr>
              <w:pStyle w:val="ARField"/>
              <w:keepNext w:val="0"/>
              <w:spacing w:after="0"/>
            </w:pPr>
            <w:r>
              <w:rPr>
                <w:sz w:val="21"/>
              </w:rPr>
              <w:t>Non sommare i descrittori, non calcolare una percentuale di “guarigione” e non confrontare persone o aree con questa panoramica. Un obiettivo sospeso o senza dati non è un fallimento. I dettagli e le motivazioni restano nelle schede dei singoli obiettivi.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ARSmall"/>
        <w:keepNext w:val="0"/>
      </w:pPr>
      <w:r>
        <w:t>Collegamenti pertinenti: valutazioni e profili CP03, PCI, PIP, OFF, PLO o OPA possono documentare il punto di partenza; non producono automaticamente obiettivi o esiti MOT. Per il contesto digitale conservare i riferimenti a obiettivo, revisione, seduta e fonte. Guida G2 e G8.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2211" w:right="1020" w:bottom="1020" w:left="1020" w:header="510" w:footer="51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</w:p>
  <w:p>
    <w:pPr>
      <w:spacing w:after="120" w:before="0" w:line="20" w:lineRule="exact"/>
      <w:pBdr>
        <w:bottom w:val="single" w:sz="4" w:color="CCD7CC" w:space="1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1474"/>
    </w:tblGrid>
    <w:tr>
      <w:trPr>
        <w:cantSplit/>
      </w:trPr>
      <w:tc>
        <w:tcPr>
          <w:tcW w:type="dxa" w:w="839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</w:pPr>
          <w:r>
            <w:t>ARMONIA · MOT v1.0 · Monitoraggio non standardizzato</w:t>
          </w:r>
        </w:p>
      </w:tc>
      <w:tc>
        <w:tcPr>
          <w:tcW w:type="dxa" w:w="1474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  <w:jc w:val="right"/>
          </w:pPr>
          <w:r>
            <w:t>G</w:t>
          </w:r>
          <w:fldSimple w:instr="PAGE">
            <w:r>
              <w:t>1</w:t>
            </w:r>
          </w:fldSimple>
          <w:r>
            <w:t xml:space="preserve"> / 10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</w:p>
  <w:p>
    <w:pPr>
      <w:spacing w:after="120" w:before="0" w:line="20" w:lineRule="exact"/>
      <w:pBdr>
        <w:bottom w:val="single" w:sz="4" w:color="CCD7CC" w:space="1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1474"/>
    </w:tblGrid>
    <w:tr>
      <w:trPr>
        <w:cantSplit/>
      </w:trPr>
      <w:tc>
        <w:tcPr>
          <w:tcW w:type="dxa" w:w="839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</w:pPr>
          <w:r>
            <w:t>ARMONIA · MOT v1.0 · Monitoraggio non standardizzato</w:t>
          </w:r>
        </w:p>
      </w:tc>
      <w:tc>
        <w:tcPr>
          <w:tcW w:type="dxa" w:w="1474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  <w:jc w:val="right"/>
          </w:pPr>
          <w:r>
            <w:t>S</w:t>
          </w:r>
          <w:fldSimple w:instr="PAGE">
            <w:r>
              <w:t>1</w:t>
            </w:r>
          </w:fldSimple>
          <w:r>
            <w:t xml:space="preserve"> / 10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71"/>
      <w:gridCol w:w="7994"/>
    </w:tblGrid>
    <w:tr>
      <w:trPr>
        <w:cantSplit/>
      </w:trPr>
      <w:tc>
        <w:tcPr>
          <w:tcW w:type="dxa" w:w="187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00000" cy="827069"/>
                <wp:docPr id="1" name="Picture 1" descr="Logo ARMONI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original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270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Eyebrow"/>
            <w:spacing w:after="120"/>
            <w:jc w:val="right"/>
          </w:pPr>
          <w:r>
            <w:rPr>
              <w:rFonts w:ascii="Arial" w:hAnsi="Arial" w:cs="Arial" w:eastAsia="Arial"/>
            </w:rPr>
            <w:t>SCHEDE OSSERVATIVE</w:t>
            <w:br/>
            <w:t>E DI MONITORAGGIO</w:t>
          </w:r>
        </w:p>
        <w:p>
          <w:pPr>
            <w:pStyle w:val="ARSmall"/>
            <w:spacing w:after="0"/>
            <w:jc w:val="right"/>
          </w:pPr>
          <w:r>
            <w:rPr>
              <w:rFonts w:ascii="Arial" w:hAnsi="Arial" w:cs="Arial" w:eastAsia="Arial"/>
            </w:rPr>
            <w:t>GUIDA ALLO STRUMENTO · MOT</w:t>
          </w:r>
        </w:p>
      </w:tc>
    </w:tr>
  </w:tbl>
  <w:p>
    <w:pPr>
      <w:spacing w:after="0" w:before="0" w:line="20" w:lineRule="exact"/>
      <w:pBdr>
        <w:bottom w:val="single" w:sz="5" w:color="CCD7CC" w:space="1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71"/>
      <w:gridCol w:w="7994"/>
    </w:tblGrid>
    <w:tr>
      <w:trPr>
        <w:cantSplit/>
      </w:trPr>
      <w:tc>
        <w:tcPr>
          <w:tcW w:type="dxa" w:w="187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00000" cy="827069"/>
                <wp:docPr id="1" name="Picture 1" descr="Logo ARMONI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original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270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Eyebrow"/>
            <w:spacing w:after="120"/>
            <w:jc w:val="right"/>
          </w:pPr>
          <w:r>
            <w:rPr>
              <w:rFonts w:ascii="Arial" w:hAnsi="Arial" w:cs="Arial" w:eastAsia="Arial"/>
            </w:rPr>
            <w:t>SCHEDE OSSERVATIVE</w:t>
            <w:br/>
            <w:t>E DI MONITORAGGIO</w:t>
          </w:r>
        </w:p>
        <w:p>
          <w:pPr>
            <w:pStyle w:val="ARSmall"/>
            <w:spacing w:after="0"/>
            <w:jc w:val="right"/>
          </w:pPr>
          <w:r>
            <w:rPr>
              <w:rFonts w:ascii="Arial" w:hAnsi="Arial" w:cs="Arial" w:eastAsia="Arial"/>
            </w:rPr>
            <w:t>SCHEDA OPERATIVA · MOT</w:t>
          </w:r>
        </w:p>
      </w:tc>
    </w:tr>
  </w:tbl>
  <w:p>
    <w:pPr>
      <w:spacing w:after="0" w:before="0" w:line="20" w:lineRule="exact"/>
      <w:pBdr>
        <w:bottom w:val="single" w:sz="5" w:color="CCD7CC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Arial" w:hAnsi="Arial"/>
      <w:color w:val="24332D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lang w:val="it-IT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lang w:val="it-IT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3C2C"/>
      <w:sz w:val="56"/>
      <w:szCs w:val="28"/>
      <w:lang w:val="it-I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3C2C"/>
      <w:sz w:val="26"/>
      <w:szCs w:val="26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3C2C"/>
      <w:sz w:val="22"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lang w:val="it-I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lang w:val="it-IT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lang w:val="it-IT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lang w:val="it-IT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  <w:lang w:val="it-IT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lang w:val="it-IT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  <w:lang w:val="it-IT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lang w:val="it-IT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lang w:val="it-IT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lang w:val="it-IT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  <w:lang w:val="it-IT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lang w:val="it-IT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lang w:val="it-IT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lang w:val="it-IT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lang w:val="it-I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lang w:val="it-I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lang w:val="it-I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lang w:val="it-I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lang w:val="it-IT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lang w:val="it-IT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lang w:val="it-IT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lang w:val="it-IT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lang w:val="it-IT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  <w:lang w:val="it-IT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Arial" w:hAnsi="Arial"/>
      <w:i/>
      <w:iCs/>
      <w:color w:val="000000" w:themeColor="text1"/>
      <w:lang w:val="it-IT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  <w:lang w:val="it-IT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lang w:val="it-I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lang w:val="it-IT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Eyebrow">
    <w:name w:val="AR Eyebrow"/>
    <w:basedOn w:val="Normal"/>
    <w:pPr>
      <w:keepNext/>
      <w:widowControl/>
      <w:spacing w:before="0" w:after="160" w:line="269" w:lineRule="auto"/>
    </w:pPr>
    <w:rPr>
      <w:rFonts w:ascii="Arial" w:hAnsi="Arial"/>
      <w:b/>
      <w:color w:val="2F694B"/>
      <w:sz w:val="17"/>
      <w:lang w:val="it-IT"/>
    </w:rPr>
  </w:style>
  <w:style w:type="paragraph" w:customStyle="1" w:styleId="ARTitle">
    <w:name w:val="AR Title"/>
    <w:basedOn w:val="Normal"/>
    <w:pPr>
      <w:keepNext/>
      <w:widowControl/>
      <w:spacing w:before="0" w:after="160" w:line="269" w:lineRule="auto"/>
      <w:outlineLvl w:val="0"/>
    </w:pPr>
    <w:rPr>
      <w:rFonts w:ascii="Arial" w:hAnsi="Arial"/>
      <w:b w:val="0"/>
      <w:color w:val="003C2C"/>
      <w:sz w:val="56"/>
      <w:lang w:val="it-IT"/>
    </w:rPr>
  </w:style>
  <w:style w:type="paragraph" w:customStyle="1" w:styleId="ARSubtitle">
    <w:name w:val="AR Subtitle"/>
    <w:basedOn w:val="Normal"/>
    <w:pPr>
      <w:keepNext w:val="0"/>
      <w:widowControl/>
      <w:spacing w:before="0" w:after="240" w:line="269" w:lineRule="auto"/>
    </w:pPr>
    <w:rPr>
      <w:rFonts w:ascii="Arial" w:hAnsi="Arial"/>
      <w:b w:val="0"/>
      <w:color w:val="526359"/>
      <w:sz w:val="24"/>
      <w:lang w:val="it-IT"/>
    </w:rPr>
  </w:style>
  <w:style w:type="paragraph" w:customStyle="1" w:styleId="ARSection">
    <w:name w:val="AR Section"/>
    <w:basedOn w:val="Normal"/>
    <w:pPr>
      <w:keepNext/>
      <w:widowControl/>
      <w:spacing w:before="160" w:after="100" w:line="269" w:lineRule="auto"/>
      <w:outlineLvl w:val="1"/>
    </w:pPr>
    <w:rPr>
      <w:rFonts w:ascii="Arial" w:hAnsi="Arial"/>
      <w:b/>
      <w:color w:val="003C2C"/>
      <w:sz w:val="26"/>
      <w:lang w:val="it-IT"/>
    </w:rPr>
  </w:style>
  <w:style w:type="paragraph" w:customStyle="1" w:styleId="ARSmall">
    <w:name w:val="AR Small"/>
    <w:basedOn w:val="Normal"/>
    <w:pPr>
      <w:keepNext w:val="0"/>
      <w:widowControl/>
      <w:spacing w:before="0" w:after="100" w:line="269" w:lineRule="auto"/>
    </w:pPr>
    <w:rPr>
      <w:rFonts w:ascii="Arial" w:hAnsi="Arial"/>
      <w:b w:val="0"/>
      <w:color w:val="526359"/>
      <w:sz w:val="18"/>
      <w:lang w:val="it-IT"/>
    </w:rPr>
  </w:style>
  <w:style w:type="paragraph" w:customStyle="1" w:styleId="ARLabel">
    <w:name w:val="AR Label"/>
    <w:basedOn w:val="Normal"/>
    <w:pPr>
      <w:keepNext/>
      <w:widowControl/>
      <w:spacing w:before="0" w:after="80" w:line="269" w:lineRule="auto"/>
    </w:pPr>
    <w:rPr>
      <w:rFonts w:ascii="Arial" w:hAnsi="Arial"/>
      <w:b/>
      <w:color w:val="003C2C"/>
      <w:sz w:val="18"/>
      <w:lang w:val="it-IT"/>
    </w:rPr>
  </w:style>
  <w:style w:type="paragraph" w:customStyle="1" w:styleId="ARPlaceholder">
    <w:name w:val="AR Placeholder"/>
    <w:basedOn w:val="Normal"/>
    <w:pPr>
      <w:keepNext w:val="0"/>
      <w:widowControl/>
      <w:spacing w:before="0" w:after="120" w:line="269" w:lineRule="auto"/>
    </w:pPr>
    <w:rPr>
      <w:rFonts w:ascii="Arial" w:hAnsi="Arial"/>
      <w:b w:val="0"/>
      <w:color w:val="6B6252"/>
      <w:sz w:val="22"/>
    </w:rPr>
  </w:style>
  <w:style w:type="paragraph" w:customStyle="1" w:styleId="ARFooter">
    <w:name w:val="AR Footer"/>
    <w:basedOn w:val="Normal"/>
    <w:pPr>
      <w:keepNext w:val="0"/>
      <w:widowControl/>
      <w:spacing w:before="0" w:after="0" w:line="269" w:lineRule="auto"/>
    </w:pPr>
    <w:rPr>
      <w:rFonts w:ascii="Arial" w:hAnsi="Arial"/>
      <w:b w:val="0"/>
      <w:color w:val="526359"/>
      <w:sz w:val="16"/>
      <w:lang w:val="it-IT"/>
    </w:rPr>
  </w:style>
  <w:style w:type="paragraph" w:customStyle="1" w:styleId="ARField">
    <w:name w:val="AR Field"/>
    <w:basedOn w:val="Normal"/>
    <w:pPr>
      <w:keepNext w:val="0"/>
      <w:widowControl/>
      <w:spacing w:before="0" w:after="0" w:line="269" w:lineRule="auto"/>
    </w:pPr>
    <w:rPr>
      <w:rFonts w:ascii="Arial" w:hAnsi="Arial"/>
      <w:b w:val="0"/>
      <w:color w:val="24332D"/>
      <w:sz w:val="20"/>
      <w:lang w:val="it-I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4" Type="http://schemas.openxmlformats.org/officeDocument/2006/relationships/hyperlink" Target="https://www.asha.org/practice-portal/resources/assessment-tools-techniques-and-data-sources/" TargetMode="External"/><Relationship Id="rId15" Type="http://schemas.openxmlformats.org/officeDocument/2006/relationships/hyperlink" Target="https://www.asha.org/practice-portal/professional-issues/augmentative-and-alternative-communication/" TargetMode="External"/><Relationship Id="rId16" Type="http://schemas.openxmlformats.org/officeDocument/2006/relationships/hyperlink" Target="https://www.asha.org/practice-portal/clinical-topics/autism/" TargetMode="External"/><Relationship Id="rId18" Type="http://schemas.openxmlformats.org/officeDocument/2006/relationships/hyperlink" Target="https://www.asha.org/practice-portal/clinical-topics/social-communication-disorder/" TargetMode="External"/><Relationship Id="rId19" Type="http://schemas.openxmlformats.org/officeDocument/2006/relationships/hyperlink" Target="https://www.who.int/standards/classifications/international-classification-of-functioning-disability-and-health" TargetMode="External"/><Relationship Id="rId13" Type="http://schemas.openxmlformats.org/officeDocument/2006/relationships/hyperlink" Target="https://www.asha.org/practice-portal/clinical-topics/articulation-and-phonology/" TargetMode="External"/><Relationship Id="rId17" Type="http://schemas.openxmlformats.org/officeDocument/2006/relationships/hyperlink" Target="https://www.asha.org/practice-portal/clinical-topics/dysarthria-in-adults/" TargetMode="External"/><Relationship Id="rId20" Type="http://schemas.openxmlformats.org/officeDocument/2006/relationships/hyperlink" Target="https://www.asha.org/practice-portal/professional-issues/multilingual-service-delivery/" TargetMode="External"/><Relationship Id="rId21" Type="http://schemas.openxmlformats.org/officeDocument/2006/relationships/hyperlink" Target="https://www.asha.org/practice-portal/clinical-topics/childhood-apraxia-of-speech/" TargetMode="External"/><Relationship Id="rId22" Type="http://schemas.openxmlformats.org/officeDocument/2006/relationships/hyperlink" Target="https://www.asha.org/practice-portal/clinical-topics/acquired-apraxia-of-speech/" TargetMode="External"/><Relationship Id="rId23" Type="http://schemas.openxmlformats.org/officeDocument/2006/relationships/hyperlink" Target="https://www.internationalphoneticassociation.org/content/ipa-chart" TargetMode="External"/><Relationship Id="rId24" Type="http://schemas.openxmlformats.org/officeDocument/2006/relationships/hyperlink" Target="https://www.asha.org/practice-portal/clinical-topics/spoken-language-disorders/" TargetMode="External"/><Relationship Id="rId25" Type="http://schemas.openxmlformats.org/officeDocument/2006/relationships/hyperlink" Target="https://www.asha.org/practice-portal/clinical-topics/aphasia/" TargetMode="External"/><Relationship Id="rId26" Type="http://schemas.openxmlformats.org/officeDocument/2006/relationships/hyperlink" Target="https://www.asha.org/practice-portal/professional-issues/documentation-in-health-care/" TargetMode="External"/><Relationship Id="rId27" Type="http://schemas.openxmlformats.org/officeDocument/2006/relationships/hyperlink" Target="https://www.who.int/news-room/fact-sheets/detail/rehabilitation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ARMONIA — Monitoraggio degli obiettivi terapeutici · MOT v1.0</dc:title>
  <dc:subject>Guida e scheda di monitoraggio non standardizzato</dc:subject>
  <dc:creator>ARMONIA</dc:creator>
  <cp:keywords>ARMONIA, MOT, obiettivi terapeutici, logopedia, monitoraggio</cp:keywords>
  <dc:description>Edizione editoriale v1.0. Revisione clinica e validazione psicometrica non eseguite.</dc:description>
  <cp:lastModifiedBy>ARMONIA</cp:lastModifiedBy>
  <cp:revision>1</cp:revision>
  <dcterms:created xsi:type="dcterms:W3CDTF">2026-10-03T12:00:00Z</dcterms:created>
  <dcterms:modified xsi:type="dcterms:W3CDTF">2026-10-03T12:00:00Z</dcterms:modified>
  <cp:category>Schede osservative e di monitoraggio</cp:category>
  <dc:language>it-IT</dc:language>
  <cp:version>1.0</cp:version>
</cp:coreProperties>
</file>