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Eyebrow"/>
        <w:keepNext/>
        <w:pageBreakBefore w:val="0"/>
      </w:pPr>
      <w:r>
        <w:rPr>
          <w:rFonts w:ascii="Arial" w:hAnsi="Arial" w:cs="Arial" w:eastAsia="Arial"/>
          <w:lang w:val="it-IT"/>
        </w:rPr>
        <w:t>01 / GUIDA ALLO STRUMENTO</w:t>
      </w:r>
    </w:p>
    <w:p>
      <w:pPr>
        <w:pStyle w:val="ARTitle"/>
        <w:keepNext/>
        <w:outlineLvl w:val="0"/>
      </w:pPr>
      <w:bookmarkStart w:id="500" w:name="OFF_G1"/>
      <w:r>
        <w:rPr>
          <w:rFonts w:ascii="Arial" w:hAnsi="Arial" w:cs="Arial" w:eastAsia="Arial"/>
          <w:lang w:val="it-IT"/>
        </w:rPr>
        <w:t>Osservazione</w:t>
        <w:br/>
        <w:t>fonetico-fonologica qualitativa</w:t>
      </w:r>
      <w:bookmarkEnd w:id="500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Suoni prodotti, forme delle parole e condizioni di produzione.</w:t>
      </w:r>
    </w:p>
    <w:p>
      <w:pPr>
        <w:pStyle w:val="ARSmall"/>
        <w:keepNext w:val="0"/>
        <w:spacing w:after="100"/>
      </w:pPr>
      <w:r>
        <w:rPr>
          <w:rFonts w:ascii="Arial" w:hAnsi="Arial" w:cs="Arial" w:eastAsia="Arial"/>
          <w:lang w:val="it-IT"/>
        </w:rPr>
        <w:t>Bambini e adulti  /  Raccolta adattata alla persona  /  OFF · Versione 1.0</w:t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A cosa serve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Organizza campioni di parlato e osservazioni su suoni, omissioni, sostituzioni, distorsioni, struttura sillabica, ricorrenze, variabilità, stimolabilità e autocorrezione. Ogni descrizione rimanda a una produzione concreta e alle condizioni in cui è stata raccolta.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Section"/>
              <w:keepNext w:val="0"/>
              <w:spacing w:after="80"/>
            </w:pPr>
            <w:r>
              <w:rPr>
                <w:rFonts w:ascii="Arial" w:hAnsi="Arial" w:cs="Arial" w:eastAsia="Arial"/>
                <w:lang w:val="it-IT"/>
              </w:rPr>
              <w:t>A chi è rivolta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A logopedisti con competenze fonetico-fonologiche. Attività e riferimenti linguistici si adattano alla persona; non sono richiesti lettura, denominazione o ripetizione quando non accessibili.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Section"/>
              <w:keepNext w:val="0"/>
              <w:spacing w:after="80"/>
            </w:pPr>
            <w:r>
              <w:rPr>
                <w:rFonts w:ascii="Arial" w:hAnsi="Arial" w:cs="Arial" w:eastAsia="Arial"/>
                <w:lang w:val="it-IT"/>
              </w:rPr>
              <w:t>Che cosa restituisce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Un inventario osservato e una sintesi qualitativa circoscritta ai campioni. Non dimostra la completezza del repertorio né attribuisce automaticamente un meccanismo alle differenze rilevate.</w:t>
            </w: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Strumento osservativo non standardizzato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Non è un test articolatorio né uno screening diagnostico. Non sostituisce test standardizzati o valutazioni specialistiche appropriate. Non produce punteggi, percentili, soglie, età equivalenti o diagnosi.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Due parti, un percorso di lettura</w:t>
      </w:r>
    </w:p>
    <w:p>
      <w:pPr>
        <w:pStyle w:val="ARSmall"/>
        <w:keepNext w:val="0"/>
        <w:spacing w:after="100"/>
      </w:pPr>
      <w:r>
        <w:rPr>
          <w:rFonts w:ascii="Arial" w:hAnsi="Arial" w:cs="Arial" w:eastAsia="Arial"/>
          <w:b/>
          <w:lang w:val="it-IT"/>
        </w:rPr>
        <w:t>Guida G1–G10</w:t>
      </w:r>
      <w:r>
        <w:rPr>
          <w:rFonts w:ascii="Arial" w:hAnsi="Arial" w:cs="Arial" w:eastAsia="Arial"/>
          <w:lang w:val="it-IT"/>
        </w:rPr>
        <w:t xml:space="preserve"> — Uso, convenzioni, spiegazioni, esempi fittizi, limiti e fonti.</w:t>
      </w:r>
    </w:p>
    <w:p>
      <w:pPr>
        <w:pStyle w:val="ARSmall"/>
        <w:keepNext w:val="0"/>
        <w:spacing w:after="100"/>
      </w:pPr>
      <w:r>
        <w:rPr>
          <w:rFonts w:ascii="Arial" w:hAnsi="Arial" w:cs="Arial" w:eastAsia="Arial"/>
          <w:b/>
          <w:lang w:val="it-IT"/>
        </w:rPr>
        <w:t>Scheda S1–S11</w:t>
      </w:r>
      <w:r>
        <w:rPr>
          <w:rFonts w:ascii="Arial" w:hAnsi="Arial" w:cs="Arial" w:eastAsia="Arial"/>
          <w:lang w:val="it-IT"/>
        </w:rPr>
        <w:t xml:space="preserve"> — Contesto e campioni; inventario; episodi; strutture; ricorrenze; ripetizioni; stimolabilità; autocorrezione; confronto tra compiti; sintesi.</w:t>
      </w:r>
    </w:p>
    <w:p>
      <w:pPr>
        <w:pStyle w:val="ARSmall"/>
        <w:keepNext w:val="0"/>
        <w:spacing w:after="100"/>
      </w:pPr>
      <w:r>
        <w:rPr>
          <w:rFonts w:ascii="Arial" w:hAnsi="Arial" w:cs="Arial" w:eastAsia="Arial"/>
          <w:b/>
          <w:lang w:val="it-IT"/>
        </w:rPr>
        <w:t>Uso essenziale</w:t>
      </w:r>
      <w:r>
        <w:rPr>
          <w:rFonts w:ascii="Arial" w:hAnsi="Arial" w:cs="Arial" w:eastAsia="Arial"/>
          <w:lang w:val="it-IT"/>
        </w:rPr>
        <w:t xml:space="preserve"> — S1 contesto → S2 campione → S4 produzioni → S11 sintesi. Aggiungi S3 per l’inventario e le altre pagine solo quando pertinenti. I registri possono essere duplicati.</w:t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Tutte le situazioni esemplificative sono fittizie. Le parole citate illustrano la compilazione: non costituiscono una lista di stimoli, una procedura di somministrazione o un riferimento normativo.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MODALITÀ D’USO</w:t>
      </w:r>
    </w:p>
    <w:p>
      <w:pPr>
        <w:pStyle w:val="ARTitle"/>
        <w:keepNext/>
        <w:outlineLvl w:val="0"/>
      </w:pPr>
      <w:bookmarkStart w:id="501" w:name="OFF_G2"/>
      <w:r>
        <w:rPr>
          <w:rFonts w:ascii="Arial" w:hAnsi="Arial" w:cs="Arial" w:eastAsia="Arial"/>
          <w:lang w:val="it-IT"/>
        </w:rPr>
        <w:t>Dal campione alla descrizione</w:t>
      </w:r>
      <w:bookmarkEnd w:id="501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Una domanda osservativa precisa, senza obbligo di completare tutte le pagine.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01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Definisci lo scopo e il riferimento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Individua ciò che vuoi documentare e la lingua o varietà pertinente. Concorda attività accessibili e conserva gli ausili abituali. Le differenze tra lingue, dialetti o accenti non vanno trattate automaticamente come errori. 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02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Raccogli senza confondere i compiti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Quando utile e possibile, raccogli il parlato spontaneo prima di offrire modelli. Indica denominazione, ripetizione, lettura o altra attività. Non imporre durata, numero di parole o ripetizioni: l’OFF non stabilisce una quantità minima validata.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03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Assegna codici e conserva l’episodio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Identifica il campione in S2, per esempio C01; identifica la produzione in S4, per esempio E01. Registra ciò che senti, la parola presumibilmente intesa e il motivo per cui la ritieni tale. Non correggere mentalmente la pronuncia.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04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Approfondisci una domanda alla volta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Usa le pagine specifiche per inventario, strutture, ricorrenze, produzioni ripetute, stimolabilità e autocorrezione. Se cambia il compito, il modello o il supporto, rendilo visibile. Interrompi o adatta l’attività in caso di disagio o affaticamento.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05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Chiudi con evidenze e limiti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In S11 indica risorse, differenze documentate, eccezioni, facilitatori e aspetti da approfondire. Il numero di righe compilate non è un punteggio. Lo stesso E01 richiamato in più pagine resta un unico episodio.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Tre fonti, da non fondere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sz w:val="21"/>
                <w:lang w:val="it-IT"/>
              </w:rPr>
              <w:t>Diretta dal vivo:</w:t>
            </w:r>
            <w:r>
              <w:rPr>
                <w:rFonts w:ascii="Arial" w:hAnsi="Arial" w:cs="Arial" w:eastAsia="Arial"/>
                <w:sz w:val="21"/>
                <w:lang w:val="it-IT"/>
              </w:rPr>
              <w:t xml:space="preserve"> produzione ascoltata nell’incontro. </w:t>
            </w:r>
            <w:r>
              <w:rPr>
                <w:rFonts w:ascii="Arial" w:hAnsi="Arial" w:cs="Arial" w:eastAsia="Arial"/>
                <w:b/>
                <w:sz w:val="21"/>
                <w:lang w:val="it-IT"/>
              </w:rPr>
              <w:t>Diretta da registrazione:</w:t>
            </w:r>
            <w:r>
              <w:rPr>
                <w:rFonts w:ascii="Arial" w:hAnsi="Arial" w:cs="Arial" w:eastAsia="Arial"/>
                <w:sz w:val="21"/>
                <w:lang w:val="it-IT"/>
              </w:rPr>
              <w:t xml:space="preserve"> indica estratto e riascolti. </w:t>
            </w:r>
            <w:r>
              <w:rPr>
                <w:rFonts w:ascii="Arial" w:hAnsi="Arial" w:cs="Arial" w:eastAsia="Arial"/>
                <w:b/>
                <w:sz w:val="21"/>
                <w:lang w:val="it-IT"/>
              </w:rPr>
              <w:t>Riferita:</w:t>
            </w:r>
            <w:r>
              <w:rPr>
                <w:rFonts w:ascii="Arial" w:hAnsi="Arial" w:cs="Arial" w:eastAsia="Arial"/>
                <w:sz w:val="21"/>
                <w:lang w:val="it-IT"/>
              </w:rPr>
              <w:t xml:space="preserve"> riporta parole della persona o del caregiver, fonte e periodo; non convertirle in una trascrizione fonetica mai ascoltata.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La registrazione è facoltativa. Se utilizzata, conserva file e autorizzazioni secondo le procedure del servizio; nel documento usa un identificativo interno, non un collegamento pubblico. Un audio non interpretabile resta un limite del dato.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CONVENZIONI DI REGISTRAZIONE</w:t>
      </w:r>
    </w:p>
    <w:p>
      <w:pPr>
        <w:pStyle w:val="ARTitle"/>
        <w:keepNext/>
        <w:outlineLvl w:val="0"/>
      </w:pPr>
      <w:bookmarkStart w:id="502" w:name="OFF_G3"/>
      <w:r>
        <w:rPr>
          <w:rFonts w:ascii="Arial" w:hAnsi="Arial" w:cs="Arial" w:eastAsia="Arial"/>
          <w:lang w:val="it-IT"/>
        </w:rPr>
        <w:t>Scrivere ciò che si sente</w:t>
      </w:r>
      <w:bookmarkEnd w:id="502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Parola, bersaglio e produzione devono restare distinguibili.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Le convenzioni seguenti appartengono alla raccolta OFF. Per i simboli fonetici consulta il riferimento ufficiale IPA; la sua tavola non è riprodotta in questo documento. 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CAMPO / SEGNO</w:t>
            </w:r>
          </w:p>
        </w:tc>
        <w:tc>
          <w:tcPr>
            <w:tcW w:type="dxa" w:w="731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COME USARLO</w:t>
            </w:r>
          </w:p>
        </w:tc>
      </w:tr>
      <w:tr>
        <w:trPr>
          <w:cantSplit/>
          <w:trHeight w:val="397" w:hRule="atLeast"/>
        </w:trPr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Parola o messaggio inteso</w:t>
            </w:r>
          </w:p>
        </w:tc>
        <w:tc>
          <w:tcPr>
            <w:tcW w:type="dxa" w:w="731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Scrivi la parola tra virgolette, per esempio “cane”. Indica se è certa, ipotizzata o non identificata e su quali indizi ti basi.</w:t>
            </w:r>
          </w:p>
        </w:tc>
      </w:tr>
      <w:tr>
        <w:trPr>
          <w:cantSplit/>
          <w:trHeight w:val="397" w:hRule="atLeast"/>
        </w:trPr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Bersaglio /…/</w:t>
            </w:r>
          </w:p>
        </w:tc>
        <w:tc>
          <w:tcPr>
            <w:tcW w:type="dxa" w:w="731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Indica il fonema o la forma fonologica di riferimento, quando giustificata nella lingua o varietà pertinente. Il bersaglio non è la semplice lettera scritta.</w:t>
            </w:r>
          </w:p>
        </w:tc>
      </w:tr>
      <w:tr>
        <w:trPr>
          <w:cantSplit/>
          <w:trHeight w:val="397" w:hRule="atLeast"/>
        </w:trPr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Produzione […]</w:t>
            </w:r>
          </w:p>
        </w:tc>
        <w:tc>
          <w:tcPr>
            <w:tcW w:type="dxa" w:w="731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Trascrivi i suoni ascoltati. Specifica trascrizione ampia o di dettaglio; aggiungi solo diacritici che sai sostenere con il dato.</w:t>
            </w:r>
          </w:p>
        </w:tc>
      </w:tr>
      <w:tr>
        <w:trPr>
          <w:cantSplit/>
          <w:trHeight w:val="397" w:hRule="atLeast"/>
        </w:trPr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Descrizione percettiva</w:t>
            </w:r>
          </w:p>
        </w:tc>
        <w:tc>
          <w:tcPr>
            <w:tcW w:type="dxa" w:w="731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Se non trascrivi, descrivi il tratto udibile e il limite. Una grafia approssimativa va dichiarata come tale, non presentata come IPA.</w:t>
            </w:r>
          </w:p>
        </w:tc>
      </w:tr>
      <w:tr>
        <w:trPr>
          <w:cantSplit/>
          <w:trHeight w:val="397" w:hRule="atLeast"/>
        </w:trPr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Incertezza o tratto non udibile</w:t>
            </w:r>
          </w:p>
        </w:tc>
        <w:tc>
          <w:tcPr>
            <w:tcW w:type="dxa" w:w="731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Annota quale segmento non puoi definire e perché. Non completare una produzione sulla base del bersaglio; conserva traccia dell’incertezza iniziale e delle eventuali revisioni.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Stati della raccolta, non livelli di abilità</w:t>
      </w:r>
    </w:p>
    <w:p>
      <w:pPr>
        <w:keepNext w:val="0"/>
      </w:pPr>
      <w:r>
        <w:rPr>
          <w:rFonts w:ascii="Arial" w:hAnsi="Arial" w:cs="Arial" w:eastAsia="Arial"/>
          <w:b/>
          <w:sz w:val="21"/>
          <w:lang w:val="it-IT"/>
        </w:rPr>
        <w:t>Non esplorato:</w:t>
      </w:r>
      <w:r>
        <w:rPr>
          <w:rFonts w:ascii="Arial" w:hAnsi="Arial" w:cs="Arial" w:eastAsia="Arial"/>
          <w:sz w:val="21"/>
          <w:lang w:val="it-IT"/>
        </w:rPr>
        <w:t xml:space="preserve"> non hai indagato quell’aspetto. </w:t>
      </w:r>
      <w:r>
        <w:rPr>
          <w:rFonts w:ascii="Arial" w:hAnsi="Arial" w:cs="Arial" w:eastAsia="Arial"/>
          <w:b/>
          <w:sz w:val="21"/>
          <w:lang w:val="it-IT"/>
        </w:rPr>
        <w:t>Non osservabile:</w:t>
      </w:r>
      <w:r>
        <w:rPr>
          <w:rFonts w:ascii="Arial" w:hAnsi="Arial" w:cs="Arial" w:eastAsia="Arial"/>
          <w:sz w:val="21"/>
          <w:lang w:val="it-IT"/>
        </w:rPr>
        <w:t xml:space="preserve"> mancano condizioni o materiale interpretabile; specifica il motivo. </w:t>
      </w:r>
      <w:r>
        <w:rPr>
          <w:rFonts w:ascii="Arial" w:hAnsi="Arial" w:cs="Arial" w:eastAsia="Arial"/>
          <w:b/>
          <w:sz w:val="21"/>
          <w:lang w:val="it-IT"/>
        </w:rPr>
        <w:t>Non pertinente:</w:t>
      </w:r>
      <w:r>
        <w:rPr>
          <w:rFonts w:ascii="Arial" w:hAnsi="Arial" w:cs="Arial" w:eastAsia="Arial"/>
          <w:sz w:val="21"/>
          <w:lang w:val="it-IT"/>
        </w:rPr>
        <w:t xml:space="preserve"> l’aspetto non serve alla domanda attuale. Un campo vuoto non significa “assente”.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“Non rilevato” richiede un contesto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Scrivi “suono non rilevato nei campioni C01 e C02”, precisando se vi erano opportunità pertinenti. Non trasformarlo in “suono assente dal repertorio”. Una mancata risposta o il rifiuto non sono omissioni fonetiche.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Gli esempi fonetici della guida usano trascrizioni ampie e schematiche: non rappresentano ogni dettaglio allofonico o temporale. I codici C/E e le etichette OFF sono organizzativi, senza numeri di livello o significato psicometrico.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EPISODI DI PRODUZIONE · S4</w:t>
      </w:r>
    </w:p>
    <w:p>
      <w:pPr>
        <w:pStyle w:val="ARTitle"/>
        <w:keepNext/>
        <w:outlineLvl w:val="0"/>
      </w:pPr>
      <w:bookmarkStart w:id="503" w:name="OFF_G4"/>
      <w:r>
        <w:rPr>
          <w:rFonts w:ascii="Arial" w:hAnsi="Arial" w:cs="Arial" w:eastAsia="Arial"/>
          <w:lang w:val="it-IT"/>
        </w:rPr>
        <w:t>Descrivere prima di classificare</w:t>
      </w:r>
      <w:bookmarkEnd w:id="503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Una produzione può richiedere più annotazioni, oppure nessuna etichetta.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In S4 separa la forma di riferimento dalla produzione ascoltata. Registra lingua, compito, posizione nella parola e contesto fonetico. Le categorie sotto sono descrizioni operative: non identificano da sole un disturbo articolatorio o fonologico.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01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Omissione</w:t>
            </w:r>
          </w:p>
        </w:tc>
      </w:tr>
    </w:tbl>
    <w:p>
      <w:pPr>
        <w:keepNext w:val="0"/>
        <w:spacing w:after="60"/>
      </w:pPr>
      <w:r>
        <w:rPr>
          <w:rFonts w:ascii="Arial" w:hAnsi="Arial" w:cs="Arial" w:eastAsia="Arial"/>
          <w:sz w:val="20"/>
          <w:lang w:val="it-IT"/>
        </w:rPr>
        <w:t>Nel confronto con un bersaglio attendibile, non rilevi un segmento atteso all’interno di una produzione disponibile. Specifica quale e dove; non usare questa voce per l’assenza dell’intera risposta.</w:t>
      </w:r>
    </w:p>
    <w:p>
      <w:pPr>
        <w:pStyle w:val="ARSmall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Esempio fittizio —</w:t>
      </w:r>
      <w:r>
        <w:rPr>
          <w:rFonts w:ascii="Arial" w:hAnsi="Arial" w:cs="Arial" w:eastAsia="Arial"/>
          <w:lang w:val="it-IT"/>
        </w:rPr>
        <w:t xml:space="preserve"> “Treno” /ˈtreno/ viene prodotto [ˈteno]: annota /r/ non rilevato nel gruppo /tr/.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02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Sostituzione</w:t>
            </w:r>
          </w:p>
        </w:tc>
      </w:tr>
    </w:tbl>
    <w:p>
      <w:pPr>
        <w:keepNext w:val="0"/>
        <w:spacing w:after="60"/>
      </w:pPr>
      <w:r>
        <w:rPr>
          <w:rFonts w:ascii="Arial" w:hAnsi="Arial" w:cs="Arial" w:eastAsia="Arial"/>
          <w:sz w:val="20"/>
          <w:lang w:val="it-IT"/>
        </w:rPr>
        <w:t>Rilevi un segmento diverso in corrispondenza del bersaglio. Conserva entrambi; non dedurre subito una regola valida per tutti i suoni o tutte le posizioni.</w:t>
      </w:r>
    </w:p>
    <w:p>
      <w:pPr>
        <w:pStyle w:val="ARSmall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Esempio fittizio —</w:t>
      </w:r>
      <w:r>
        <w:rPr>
          <w:rFonts w:ascii="Arial" w:hAnsi="Arial" w:cs="Arial" w:eastAsia="Arial"/>
          <w:lang w:val="it-IT"/>
        </w:rPr>
        <w:t xml:space="preserve"> “Cane” /ˈkane/ viene prodotto [ˈtane]: descrivi /k/ → [t] in posizione iniziale.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03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Distorsione o approssimazione</w:t>
            </w:r>
          </w:p>
        </w:tc>
      </w:tr>
    </w:tbl>
    <w:p>
      <w:pPr>
        <w:keepNext w:val="0"/>
        <w:spacing w:after="60"/>
      </w:pPr>
      <w:r>
        <w:rPr>
          <w:rFonts w:ascii="Arial" w:hAnsi="Arial" w:cs="Arial" w:eastAsia="Arial"/>
          <w:sz w:val="20"/>
          <w:lang w:val="it-IT"/>
        </w:rPr>
        <w:t>La realizzazione presenta caratteristiche percettive da descrivere, senza ricondurla con sicurezza a una sostituzione netta. Non attribuire una posizione articolatoria interna dal solo ascolto.</w:t>
      </w:r>
    </w:p>
    <w:p>
      <w:pPr>
        <w:pStyle w:val="ARSmall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Esempio fittizio —</w:t>
      </w:r>
      <w:r>
        <w:rPr>
          <w:rFonts w:ascii="Arial" w:hAnsi="Arial" w:cs="Arial" w:eastAsia="Arial"/>
          <w:lang w:val="it-IT"/>
        </w:rPr>
        <w:t xml:space="preserve"> Durante “sole”, il tratto iniziale è percepito come sibilante poco definito: la nota resta percettiva e l’etichetta è provvisoria.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04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Inserzione o variazione dell’ordine</w:t>
            </w:r>
          </w:p>
        </w:tc>
      </w:tr>
    </w:tbl>
    <w:p>
      <w:pPr>
        <w:keepNext w:val="0"/>
        <w:spacing w:after="60"/>
      </w:pPr>
      <w:r>
        <w:rPr>
          <w:rFonts w:ascii="Arial" w:hAnsi="Arial" w:cs="Arial" w:eastAsia="Arial"/>
          <w:sz w:val="20"/>
          <w:lang w:val="it-IT"/>
        </w:rPr>
        <w:t>Annota materiale aggiuntivo o una sequenza differente, con sede e forma osservata. Un’interruzione o una ripartenza non equivale automaticamente a un segmento inserito.</w:t>
      </w:r>
    </w:p>
    <w:p>
      <w:pPr>
        <w:pStyle w:val="ARSmall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Esempio fittizio —</w:t>
      </w:r>
      <w:r>
        <w:rPr>
          <w:rFonts w:ascii="Arial" w:hAnsi="Arial" w:cs="Arial" w:eastAsia="Arial"/>
          <w:lang w:val="it-IT"/>
        </w:rPr>
        <w:t xml:space="preserve"> Per “treno”, in [təˈreno] annota il segmento vocalico aggiuntivo tra /t/ e /r/; in [ˈterno] annota la diversa sequenza.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Un unico evento può avere due letture descrittive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/ˈtreno/ → [ˈteno] può essere annotato come omissione del segmento /r/ e riduzione del gruppo consonantico. Il codice dell’episodio resta lo stesso: non contarlo come due produzioni distinte.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Categorie e modalità di analisi del parlato sono discusse nelle fonti cliniche generali. [1] Nell’OFF mantieni anche le produzioni in linea con il riferimento: servono per descrivere risorse ed eccezioni. Scheda: S4; strutture: S5.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INVENTARIO E RICORRENZE · S3, S6</w:t>
      </w:r>
    </w:p>
    <w:p>
      <w:pPr>
        <w:pStyle w:val="ARTitle"/>
        <w:keepNext/>
        <w:outlineLvl w:val="0"/>
      </w:pPr>
      <w:bookmarkStart w:id="504" w:name="OFF_G5"/>
      <w:r>
        <w:rPr>
          <w:rFonts w:ascii="Arial" w:hAnsi="Arial" w:cs="Arial" w:eastAsia="Arial"/>
          <w:lang w:val="it-IT"/>
        </w:rPr>
        <w:t>Dal suono al possibile schema</w:t>
      </w:r>
      <w:bookmarkEnd w:id="504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Inventario osservato, corrispondenza con il bersaglio e ipotesi sono piani diversi.</w:t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S3 · Inventario dei suoni effettivamente prodotti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Registra consonanti e vocali ascoltate, eventuali varianti e i campioni in cui compaiono. Puoi raggruppare le consonanti per modo, luogo e sonorità, o le vocali per caratteristiche pertinenti, senza trasformare la pagina in una lista normativa da completare.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L’inventario comprende il suono che è stato prodotto anche quando compare al posto di un altro. In /ˈkane/ → [ˈtane], [t] è documentato; quell’episodio non documenta [k]. Una produzione imitata resta distinta da una spontanea. Non scrivere “acquisito” sulla base di una singola comparsa.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Esempio fittizio: presenza e uso non coincidono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In C01 compare [t] per “tana” e anche al posto del bersaglio /k/ in “cane”. In C03, dopo modello, compare [k]. In S3 registra entrambi i suoni, ma con i rispettivi compiti e contesti: non concludere che il contrasto /k–t/ sia usato stabilmente.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S6 · Ricorrenze e possibili semplificazioni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Collega più episodi distinti: quale bersaglio tende a corrispondere a quale produzione, in quali parole, posizioni e condizioni? Cerca anche esempi che non seguono l’ipotesi. Specifica se descrivi un suono, una sequenza o una classe. “Semplificazione” indica qui una trasformazione documentata, come la riduzione di un gruppo o di una sillaba: non attribuisce un valore normativo o una spiegazione evolutiva.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“In due parole con /k/ iniziale ho rilevato [t]” è una descrizione delimitata. “Tutte le velari sono anteriorizzate” richiede altre evidenze, che quelle due parole non offrono. Ripetere la stessa parola non equivale a osservare lo stesso fenomeno su parole diverse.</w:t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Contrasti: non basta conoscere un solo bersaglio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Per esplorare una possibile sovrapposizione, documenta le produzioni di entrambi i bersagli in contesti pertinenti. Il fatto che /k/ sia realizzato [t] non dimostra, da solo, come venga realizzato /t/. Conserva il confronto in forma qualitativa, senza inventare un indice.</w:t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Usa “possibile schema da approfondire” quando la copertura è limitata; annota eccezioni e spiegazioni alternative. Non importare età di acquisizione o aspettative da un’altra lingua. Scheda: S3 inventario · S6 ricorrenze · S11 sintesi.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STRUTTURA E VARIABILITÀ · S5, S7</w:t>
      </w:r>
    </w:p>
    <w:p>
      <w:pPr>
        <w:pStyle w:val="ARTitle"/>
        <w:keepNext/>
        <w:outlineLvl w:val="0"/>
      </w:pPr>
      <w:bookmarkStart w:id="505" w:name="OFF_G6"/>
      <w:r>
        <w:rPr>
          <w:rFonts w:ascii="Arial" w:hAnsi="Arial" w:cs="Arial" w:eastAsia="Arial"/>
          <w:lang w:val="it-IT"/>
        </w:rPr>
        <w:t>Quale parte cambia, e quando</w:t>
      </w:r>
      <w:bookmarkEnd w:id="505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La parola intera, la posizione del segmento e le singole riproduzioni.</w:t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S5 · Struttura sillabica e forma della parola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Descrivi numero di sillabe, sequenza consonante/vocale, gruppi consonantici, accento e durata quando pertinenti. Distingui posizione nella parola (iniziale, interna, finale) e ruolo nella sillaba (attacco, nucleo, coda). Annota anche i suoni vicini; non usare la posizione delle lettere al posto del contesto fonetico.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La sigla C indica una consonante e V una vocale: è una notazione sintetica, non una trascrizione. Gruppi, affricate, geminate e sequenze vocaliche richiedono convenzioni coerenti con la lingua; se l’analisi sillabica è incerta, descrivi la sequenza senza forzarla.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Esempi fittizi di struttura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sz w:val="21"/>
                <w:lang w:val="it-IT"/>
              </w:rPr>
              <w:t>Gruppo:</w:t>
            </w:r>
            <w:r>
              <w:rPr>
                <w:rFonts w:ascii="Arial" w:hAnsi="Arial" w:cs="Arial" w:eastAsia="Arial"/>
                <w:sz w:val="21"/>
                <w:lang w:val="it-IT"/>
              </w:rPr>
              <w:t xml:space="preserve"> /ˈtreno/ → [ˈteno], forma CCV.CV → CV.CV nella notazione scelta. </w:t>
            </w:r>
            <w:r>
              <w:rPr>
                <w:rFonts w:ascii="Arial" w:hAnsi="Arial" w:cs="Arial" w:eastAsia="Arial"/>
                <w:b/>
                <w:sz w:val="21"/>
                <w:lang w:val="it-IT"/>
              </w:rPr>
              <w:t>Durata:</w:t>
            </w:r>
            <w:r>
              <w:rPr>
                <w:rFonts w:ascii="Arial" w:hAnsi="Arial" w:cs="Arial" w:eastAsia="Arial"/>
                <w:sz w:val="21"/>
                <w:lang w:val="it-IT"/>
              </w:rPr>
              <w:t xml:space="preserve"> per il bersaglio “palla” annoti una realizzazione percepita come breve, simile a “pala”; senza una misura acustica non attribuire millisecondi alla consonante. Registra il tratto percepito e il riferimento linguistico.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S7 · Consistenza nella stessa forma e nello stesso compito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Per “consistenza” si intende qui la somiglianza tra produzioni ripetute dello stesso bersaglio in condizioni descritte. Trascrivi ogni tentativo: una produzione può essere ripetutamente diversa dal riferimento, oppure variare tra tentativi. Stabilità e corrispondenza al bersaglio non sono sinonimi.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Annota intervallo, modello, indizi e supporti. Se uno cambia, segnala il cambio e confronta separatamente le condizioni; non riassumere tutto come “inconsistente”. Una sola produzione non permette il confronto. Le righe stampate non impongono un numero di ripetizioni.</w:t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Non ricavare una diagnosi dalla variabilità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La variabilità è un’osservazione, non una diagnosi di aprassia o di disturbo fonologico inconsistente. La valutazione differenziale richiede un insieme di dati; la sola variazione tra ripetizioni non basta. [3]</w:t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Variabilità dello stesso bersaglio → S7. Ricorrenza su parole diverse → S6. Differenze tra spontaneo, denominazione e ripetizione → S10. Queste tre domande non sono intercambiabili.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STIMOLABILITÀ · S8</w:t>
      </w:r>
    </w:p>
    <w:p>
      <w:pPr>
        <w:pStyle w:val="ARTitle"/>
        <w:keepNext/>
        <w:outlineLvl w:val="0"/>
      </w:pPr>
      <w:bookmarkStart w:id="506" w:name="OFF_G7"/>
      <w:r>
        <w:rPr>
          <w:rFonts w:ascii="Arial" w:hAnsi="Arial" w:cs="Arial" w:eastAsia="Arial"/>
          <w:lang w:val="it-IT"/>
        </w:rPr>
        <w:t>Documentare la risposta al modello</w:t>
      </w:r>
      <w:bookmarkEnd w:id="506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Non “sa / non sa fare il suono”, ma che cosa accade nelle condizioni provate.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La stimolabilità riguarda la possibilità di riprodurre il suono bersaglio dopo un modello, in un contesto specificato. [1] Nell’OFF si documentano produzione iniziale, modalità di presentazione, aiuti e risposta; non si applicano soglie né procedure standardizzate.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01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Definisci il bersaglio e il criterio osservativo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Indica suono, sillaba, parola o frase e che cosa consideri una realizzazione in linea con il riferimento. Registra prima il campione disponibile senza nuovo modello; se manca, dichiaralo.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02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Descrivi esattamente l’aiuto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Distingui modello uditivo, visione del parlato, produzione simultanea, indicazione verbale o altro supporto effettivamente usato. Non basta scrivere “con aiuto”. Non è prevista una gerarchia universale di prompting.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03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Conserva la sequenza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Trascrivi la risposta di ogni tentativo e segnala quando cambi contesto o supporto. Distingui realizzazione in linea con il criterio, approssimazione, produzione diversa e dato non interpretabile, senza attribuire numeri.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04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Limita la conclusione</w:t>
            </w:r>
          </w:p>
        </w:tc>
      </w:tr>
    </w:tbl>
    <w:p>
      <w:pPr>
        <w:keepNext w:val="0"/>
        <w:spacing w:after="160"/>
      </w:pPr>
      <w:r>
        <w:rPr>
          <w:rFonts w:ascii="Arial" w:hAnsi="Arial" w:cs="Arial" w:eastAsia="Arial"/>
          <w:sz w:val="21"/>
          <w:lang w:val="it-IT"/>
        </w:rPr>
        <w:t>Puoi scrivere “produzione rilevata in sillaba dopo modello simultaneo”; non “suono acquisito”. Un’assenza di risposta o un tentativo non interpretabile non dimostrano non-stimolabilità. La mancata riuscita vale solo per le condizioni esplorate.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Esempio fittizio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Per /k/ iniziale in “cane” documenti [t]. In sillaba, dopo modello e produzione simultanea, rilevi [ka]; nella parola dopo solo modello rilevi ancora [ˈtane]. Registra il diverso esito per unità e supporto. Non estendere il risultato in sillaba alla parola o al parlato spontaneo.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L’OFF non prescrive manovre intraorali, esercizi non verbali o tecniche terapeutiche. Mantieni la partecipazione volontaria e gli ausili di comunicazione. Non ricavare prognosi, scelta automatica degli obiettivi o generalizzazione dall’esito di questa pagina.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AUTOCORREZIONE E COMPITI · S9, S10</w:t>
      </w:r>
    </w:p>
    <w:p>
      <w:pPr>
        <w:pStyle w:val="ARTitle"/>
        <w:keepNext/>
        <w:outlineLvl w:val="0"/>
      </w:pPr>
      <w:bookmarkStart w:id="507" w:name="OFF_G8"/>
      <w:r>
        <w:rPr>
          <w:rFonts w:ascii="Arial" w:hAnsi="Arial" w:cs="Arial" w:eastAsia="Arial"/>
          <w:lang w:val="it-IT"/>
        </w:rPr>
        <w:t>Cambiamento spontaneo o guidato?</w:t>
      </w:r>
      <w:bookmarkEnd w:id="507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La sequenza prima–dopo e il modo in cui la produzione viene richiesta.</w:t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S9 · Autocorrezione: che cosa avvia il cambiamento</w:t>
      </w:r>
    </w:p>
    <w:p>
      <w:pPr>
        <w:keepNext w:val="0"/>
      </w:pPr>
      <w:r>
        <w:rPr>
          <w:rFonts w:ascii="Arial" w:hAnsi="Arial" w:cs="Arial" w:eastAsia="Arial"/>
          <w:lang w:val="it-IT"/>
        </w:rPr>
        <w:t>Registra la prima produzione, la produzione successiva e ciò che accade tra le due. Distingui cambiamento avviato dalla persona senza segnale esterno rilevato, cambiamento dopo richiesta o feedback del partner, e iniziativa non determinabile.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Un’autocorrezione può produrre una forma in linea con il bersaglio, una nuova approssimazione o una forma diversa. Annotare il tentativo non significa certificarne l’esito. Un silenzio non dimostra mancanza di consapevolezza; una ripartenza non è sempre una correzione fonetica.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Esempio fittizio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La persona dice [ˈtane], si interrompe e produce [ˈkane] prima che il partner parli: documenta la sequenza e l’assenza di un segnale esterno osservato. Se il partner aveva detto “riprova”, descrivi invece una modifica dopo richiesta. Le due situazioni restano distinte.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S10 · Confrontare spontaneo, denominazione e ripetizione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COMPITO</w:t>
            </w:r>
          </w:p>
        </w:tc>
        <w:tc>
          <w:tcPr>
            <w:tcW w:type="dxa" w:w="748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CHE COSA ANNOTARE</w:t>
            </w:r>
          </w:p>
        </w:tc>
      </w:tr>
      <w:tr>
        <w:trPr>
          <w:cantSplit/>
          <w:trHeight w:val="369" w:hRule="atLeast"/>
        </w:trPr>
        <w:tc>
          <w:tcPr>
            <w:tcW w:type="dxa" w:w="238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Spontaneo</w:t>
            </w:r>
          </w:p>
        </w:tc>
        <w:tc>
          <w:tcPr>
            <w:tcW w:type="dxa" w:w="748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Scambio o attività, certezza della parola intesa e presenza di un modello recente. “Spontaneo” non significa privo di contesto.</w:t>
            </w:r>
          </w:p>
        </w:tc>
      </w:tr>
      <w:tr>
        <w:trPr>
          <w:cantSplit/>
          <w:trHeight w:val="369" w:hRule="atLeast"/>
        </w:trPr>
        <w:tc>
          <w:tcPr>
            <w:tcW w:type="dxa" w:w="238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Denominazione</w:t>
            </w:r>
          </w:p>
        </w:tc>
        <w:tc>
          <w:tcPr>
            <w:tcW w:type="dxa" w:w="748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Oggetto o immagine, risposta autonoma e eventuali indizi. Una parola diversa o nessuna risposta non sono automaticamente un errore fonetico.</w:t>
            </w:r>
          </w:p>
        </w:tc>
      </w:tr>
      <w:tr>
        <w:trPr>
          <w:cantSplit/>
          <w:trHeight w:val="369" w:hRule="atLeast"/>
        </w:trPr>
        <w:tc>
          <w:tcPr>
            <w:tcW w:type="dxa" w:w="238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Ripetizione</w:t>
            </w:r>
          </w:p>
        </w:tc>
        <w:tc>
          <w:tcPr>
            <w:tcW w:type="dxa" w:w="748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Modello esatto, chi lo offre, immediata o differita, eventuali segmentazioni e ulteriori aiuti.</w:t>
            </w:r>
          </w:p>
        </w:tc>
      </w:tr>
      <w:tr>
        <w:trPr>
          <w:cantSplit/>
          <w:trHeight w:val="369" w:hRule="atLeast"/>
        </w:trPr>
        <w:tc>
          <w:tcPr>
            <w:tcW w:type="dxa" w:w="238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Altro, se pertinente</w:t>
            </w:r>
          </w:p>
        </w:tc>
        <w:tc>
          <w:tcPr>
            <w:tcW w:type="dxa" w:w="748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Lettura o altra attività: indica quale. Non è un requisito della scheda e non va confusa con la ripetizione.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Confronta, quando possibile, la stessa parola e lo stesso bersaglio. Se cambiano lingua, parole, posizione, momento o supporti, dichiaralo. Non attribuire automaticamente la differenza al compito né a un meccanismo motorio o linguistico.</w:t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Nell’adulto, caratteristiche simili del parlato possono richiedere una valutazione differenziale specialistica. [4, 6] L’OFF documenta le produzioni; non distingue da solo afasia, aprassia, disartria o altre cause. Sintesi: S11.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ESEMPIO DI COMPILAZIONE</w:t>
      </w:r>
    </w:p>
    <w:p>
      <w:pPr>
        <w:pStyle w:val="ARTitle"/>
        <w:keepNext/>
        <w:outlineLvl w:val="0"/>
      </w:pPr>
      <w:bookmarkStart w:id="508" w:name="OFF_G9"/>
      <w:r>
        <w:rPr>
          <w:rFonts w:ascii="Arial" w:hAnsi="Arial" w:cs="Arial" w:eastAsia="Arial"/>
          <w:lang w:val="it-IT"/>
        </w:rPr>
        <w:t>Un percorso completo, senza punteggi</w:t>
      </w:r>
      <w:bookmarkEnd w:id="508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Esempio interamente fittizio: i campioni non sono un protocollo da somministrare.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Domanda osservativa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Documentare la realizzazione del bersaglio /k/ iniziale in alcune parole e verificare se compiti e supporti modificano le produzioni. Nell’esempio le forme di riferimento sono italiane e sono indicate accanto alle parole; non si ipotizza un’età di acquisizione.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891"/>
        <w:gridCol w:w="6973"/>
      </w:tblGrid>
      <w:tr>
        <w:trPr>
          <w:cantSplit/>
          <w:tblHeader/>
        </w:trPr>
        <w:tc>
          <w:tcPr>
            <w:tcW w:type="dxa" w:w="289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CODICE / CONDIZIONE</w:t>
            </w:r>
          </w:p>
        </w:tc>
        <w:tc>
          <w:tcPr>
            <w:tcW w:type="dxa" w:w="697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PRODUZIONI E INFORMAZIONI CONSERVATE</w:t>
            </w:r>
          </w:p>
        </w:tc>
      </w:tr>
      <w:tr>
        <w:trPr>
          <w:cantSplit/>
          <w:trHeight w:val="408" w:hRule="atLeast"/>
        </w:trPr>
        <w:tc>
          <w:tcPr>
            <w:tcW w:type="dxa" w:w="289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C01 · denominazione</w:t>
              <w:br/>
              <w:t>Nessun modello fonologico</w:t>
            </w:r>
          </w:p>
        </w:tc>
        <w:tc>
          <w:tcPr>
            <w:tcW w:type="dxa" w:w="697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E01: “cane” /ˈkane/ → [ˈtane].</w:t>
              <w:br/>
              <w:t>E02: “cubo” /ˈkubo/ → [ˈtubo].</w:t>
              <w:br/>
              <w:t>E03: “tana” /ˈtana/ → [ˈtana].</w:t>
            </w:r>
          </w:p>
        </w:tc>
      </w:tr>
      <w:tr>
        <w:trPr>
          <w:cantSplit/>
          <w:trHeight w:val="408" w:hRule="atLeast"/>
        </w:trPr>
        <w:tc>
          <w:tcPr>
            <w:tcW w:type="dxa" w:w="289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C02 · stessa parola, stesso compito</w:t>
              <w:br/>
              <w:t>Nessun nuovo modello</w:t>
            </w:r>
          </w:p>
        </w:tc>
        <w:tc>
          <w:tcPr>
            <w:tcW w:type="dxa" w:w="697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“Cane”: [ˈtane], [ˈtane], [ˈkane]. Intervalli e ordine registrati. Non sono tre parole diverse.</w:t>
            </w:r>
          </w:p>
        </w:tc>
      </w:tr>
      <w:tr>
        <w:trPr>
          <w:cantSplit/>
          <w:trHeight w:val="408" w:hRule="atLeast"/>
        </w:trPr>
        <w:tc>
          <w:tcPr>
            <w:tcW w:type="dxa" w:w="289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C03 · dopo modello</w:t>
            </w:r>
          </w:p>
        </w:tc>
        <w:tc>
          <w:tcPr>
            <w:tcW w:type="dxa" w:w="697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[ka] compare in produzione simultanea; nella parola, dopo solo modello, compare [ˈtane]. I supporti restano separati.</w:t>
            </w:r>
          </w:p>
        </w:tc>
      </w:tr>
      <w:tr>
        <w:trPr>
          <w:cantSplit/>
          <w:trHeight w:val="408" w:hRule="atLeast"/>
        </w:trPr>
        <w:tc>
          <w:tcPr>
            <w:tcW w:type="dxa" w:w="289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C04 · scambio spontaneo</w:t>
            </w:r>
          </w:p>
        </w:tc>
        <w:tc>
          <w:tcPr>
            <w:tcW w:type="dxa" w:w="6973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Compare [ˈkane], con parola intesa attendibile. Nessun modello nell’episodio, ma C04 segue C03: l’esposizione precedente è dichiarata.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Come passano i dati nelle pagine</w:t>
      </w:r>
    </w:p>
    <w:p>
      <w:pPr>
        <w:keepNext w:val="0"/>
      </w:pPr>
      <w:r>
        <w:rPr>
          <w:rFonts w:ascii="Arial" w:hAnsi="Arial" w:cs="Arial" w:eastAsia="Arial"/>
          <w:b/>
          <w:sz w:val="21"/>
          <w:lang w:val="it-IT"/>
        </w:rPr>
        <w:t>S3:</w:t>
      </w:r>
      <w:r>
        <w:rPr>
          <w:rFonts w:ascii="Arial" w:hAnsi="Arial" w:cs="Arial" w:eastAsia="Arial"/>
          <w:sz w:val="21"/>
          <w:lang w:val="it-IT"/>
        </w:rPr>
        <w:t xml:space="preserve"> [t] e [k] sono documentati, con campioni e compiti distinti. </w:t>
      </w:r>
      <w:r>
        <w:rPr>
          <w:rFonts w:ascii="Arial" w:hAnsi="Arial" w:cs="Arial" w:eastAsia="Arial"/>
          <w:b/>
          <w:sz w:val="21"/>
          <w:lang w:val="it-IT"/>
        </w:rPr>
        <w:t>S4:</w:t>
      </w:r>
      <w:r>
        <w:rPr>
          <w:rFonts w:ascii="Arial" w:hAnsi="Arial" w:cs="Arial" w:eastAsia="Arial"/>
          <w:sz w:val="21"/>
          <w:lang w:val="it-IT"/>
        </w:rPr>
        <w:t xml:space="preserve"> si conserva la coppia bersaglio–produzione per ogni episodio. </w:t>
      </w:r>
      <w:r>
        <w:rPr>
          <w:rFonts w:ascii="Arial" w:hAnsi="Arial" w:cs="Arial" w:eastAsia="Arial"/>
          <w:b/>
          <w:sz w:val="21"/>
          <w:lang w:val="it-IT"/>
        </w:rPr>
        <w:t>S6:</w:t>
      </w:r>
      <w:r>
        <w:rPr>
          <w:rFonts w:ascii="Arial" w:hAnsi="Arial" w:cs="Arial" w:eastAsia="Arial"/>
          <w:sz w:val="21"/>
          <w:lang w:val="it-IT"/>
        </w:rPr>
        <w:t xml:space="preserve"> /k/ → [t] ricorre in posizione iniziale in due parole di C01; C02 e C04 mostrano eccezioni. Non si estende la descrizione a /g/, ad altre posizioni o a tutte le velari.</w:t>
      </w:r>
    </w:p>
    <w:p>
      <w:pPr>
        <w:keepNext w:val="0"/>
      </w:pPr>
      <w:r>
        <w:rPr>
          <w:rFonts w:ascii="Arial" w:hAnsi="Arial" w:cs="Arial" w:eastAsia="Arial"/>
          <w:b/>
          <w:sz w:val="21"/>
          <w:lang w:val="it-IT"/>
        </w:rPr>
        <w:t>S7:</w:t>
      </w:r>
      <w:r>
        <w:rPr>
          <w:rFonts w:ascii="Arial" w:hAnsi="Arial" w:cs="Arial" w:eastAsia="Arial"/>
          <w:sz w:val="21"/>
          <w:lang w:val="it-IT"/>
        </w:rPr>
        <w:t xml:space="preserve"> nelle tre denominazioni di “cane” si osservano due forme diverse; non si assegna un indice di inconsistenza. </w:t>
      </w:r>
      <w:r>
        <w:rPr>
          <w:rFonts w:ascii="Arial" w:hAnsi="Arial" w:cs="Arial" w:eastAsia="Arial"/>
          <w:b/>
          <w:sz w:val="21"/>
          <w:lang w:val="it-IT"/>
        </w:rPr>
        <w:t>S8:</w:t>
      </w:r>
      <w:r>
        <w:rPr>
          <w:rFonts w:ascii="Arial" w:hAnsi="Arial" w:cs="Arial" w:eastAsia="Arial"/>
          <w:sz w:val="21"/>
          <w:lang w:val="it-IT"/>
        </w:rPr>
        <w:t xml:space="preserve"> [ka] è rilevato con quel supporto in sillaba, non come abilità generalizzata. </w:t>
      </w:r>
      <w:r>
        <w:rPr>
          <w:rFonts w:ascii="Arial" w:hAnsi="Arial" w:cs="Arial" w:eastAsia="Arial"/>
          <w:b/>
          <w:sz w:val="21"/>
          <w:lang w:val="it-IT"/>
        </w:rPr>
        <w:t>S10:</w:t>
      </w:r>
      <w:r>
        <w:rPr>
          <w:rFonts w:ascii="Arial" w:hAnsi="Arial" w:cs="Arial" w:eastAsia="Arial"/>
          <w:sz w:val="21"/>
          <w:lang w:val="it-IT"/>
        </w:rPr>
        <w:t xml:space="preserve"> il confronto mantiene visibili sequenza temporale e modello precedente.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Esempio di sintesi S11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“Nei campioni disponibili sono documentati [t] e [k]. In C01 il bersaglio /k/ iniziale corrisponde a [t] in due parole; in C02 e C04 si osservano anche produzioni con [k]. Il dato suggerisce di ampliare parole e contesti senza modello recente. Non consente di definire un inventario completo o una causa delle differenze.”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I numeri indicano solo episodi registrati: non sono soglie diagnostiche. Per un adulto usa attività appropriate e lo stesso rigore descrittivo, senza applicare spiegazioni evolutive a un quadro acquisito.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GUIDA / LIMITI, FONTI E VERSIONE</w:t>
      </w:r>
    </w:p>
    <w:p>
      <w:pPr>
        <w:pStyle w:val="ARTitle"/>
        <w:keepNext/>
        <w:outlineLvl w:val="0"/>
      </w:pPr>
      <w:bookmarkStart w:id="509" w:name="OFF_G10"/>
      <w:r>
        <w:rPr>
          <w:rFonts w:ascii="Arial" w:hAnsi="Arial" w:cs="Arial" w:eastAsia="Arial"/>
          <w:lang w:val="it-IT"/>
        </w:rPr>
        <w:t>Riferimenti e confini d’uso</w:t>
      </w:r>
      <w:bookmarkEnd w:id="509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Le fonti sostengono principi generali, non validano questa scheda.</w:t>
      </w:r>
    </w:p>
    <w:p>
      <w:pPr>
        <w:keepNext w:val="0"/>
      </w:pPr>
      <w:r>
        <w:rPr>
          <w:rFonts w:ascii="Arial" w:hAnsi="Arial" w:cs="Arial" w:eastAsia="Arial"/>
          <w:b/>
          <w:sz w:val="21"/>
          <w:lang w:val="it-IT"/>
        </w:rPr>
        <w:t>OFF v1.0 · Edizione editoriale del 03/10/2026.</w:t>
      </w:r>
      <w:r>
        <w:rPr>
          <w:rFonts w:ascii="Arial" w:hAnsi="Arial" w:cs="Arial" w:eastAsia="Arial"/>
          <w:sz w:val="21"/>
          <w:lang w:val="it-IT"/>
        </w:rPr>
        <w:t xml:space="preserve"> Revisione clinica e validazione psicometrica non eseguite. Non sono disponibili studi sull’affidabilità tra osservatori, sulla sensibilità al cambiamento o sulle proprietà diagnostiche, né dati normativi. “Versione 1.0” identifica l’edizione, non una certificazione.</w:t>
      </w:r>
    </w:p>
    <w:p>
      <w:pPr>
        <w:keepNext w:val="0"/>
      </w:pPr>
      <w:r>
        <w:rPr>
          <w:rFonts w:ascii="Arial" w:hAnsi="Arial" w:cs="Arial" w:eastAsia="Arial"/>
          <w:sz w:val="21"/>
          <w:lang w:val="it-IT"/>
        </w:rPr>
        <w:t>La raccolta non sostituisce valutazioni di udito, strutture e funzioni orofacciali, linguaggio o motricità del parlato quando indicate. Le fonti pediatriche non forniscono norme per adulti o per l’italiano. Non dedurre dal solo profilo un disturbo, un’eziologia o l’efficacia di un trattamento.</w:t>
      </w:r>
    </w:p>
    <w:p>
      <w:pPr>
        <w:pStyle w:val="ARSection"/>
        <w:keepNext/>
      </w:pPr>
      <w:r>
        <w:rPr>
          <w:rFonts w:ascii="Arial" w:hAnsi="Arial" w:cs="Arial" w:eastAsia="Arial"/>
          <w:lang w:val="it-IT"/>
        </w:rPr>
        <w:t>Fonti professionali consultate</w:t>
      </w:r>
    </w:p>
    <w:p>
      <w:pPr>
        <w:pStyle w:val="ARSmall"/>
        <w:keepNext w:val="0"/>
        <w:spacing w:after="20"/>
      </w:pPr>
      <w:r>
        <w:rPr>
          <w:rFonts w:ascii="Arial" w:hAnsi="Arial" w:cs="Arial" w:eastAsia="Arial"/>
          <w:b/>
          <w:lang w:val="it-IT"/>
        </w:rPr>
        <w:t>[1] American Speech-Language-Hearing Association (ASHA).</w:t>
      </w:r>
      <w:r>
        <w:rPr>
          <w:rFonts w:ascii="Arial" w:hAnsi="Arial" w:cs="Arial" w:eastAsia="Arial"/>
          <w:lang w:val="it-IT"/>
        </w:rPr>
        <w:t xml:space="preserve"> Speech Sound Disorders: Articulation and Phonology. Practice Portal.</w:t>
      </w:r>
    </w:p>
    <w:p>
      <w:pPr>
        <w:pStyle w:val="ARSmall"/>
        <w:keepNext w:val="0"/>
        <w:spacing w:after="120"/>
      </w:pPr>
      <w:hyperlink r:id="rId13">
        <w:r>
          <w:rPr>
            <w:rFonts w:ascii="Arial" w:hAnsi="Arial"/>
            <w:color w:val="2F694B"/>
            <w:sz w:val="17"/>
          </w:rPr>
          <w:t>https://www.asha.org/practice-portal/clinical-topics/articulation-and-phonology/</w:t>
        </w:r>
      </w:hyperlink>
    </w:p>
    <w:p>
      <w:pPr>
        <w:pStyle w:val="ARSmall"/>
        <w:keepNext w:val="0"/>
        <w:spacing w:after="20"/>
      </w:pPr>
      <w:r>
        <w:rPr>
          <w:rFonts w:ascii="Arial" w:hAnsi="Arial" w:cs="Arial" w:eastAsia="Arial"/>
          <w:b/>
          <w:lang w:val="it-IT"/>
        </w:rPr>
        <w:t>[2] ASHA.</w:t>
      </w:r>
      <w:r>
        <w:rPr>
          <w:rFonts w:ascii="Arial" w:hAnsi="Arial" w:cs="Arial" w:eastAsia="Arial"/>
          <w:lang w:val="it-IT"/>
        </w:rPr>
        <w:t xml:space="preserve"> Multilingual Service Delivery in Audiology and Speech-Language Pathology. Practice Portal.</w:t>
      </w:r>
    </w:p>
    <w:p>
      <w:pPr>
        <w:pStyle w:val="ARSmall"/>
        <w:keepNext w:val="0"/>
        <w:spacing w:after="120"/>
      </w:pPr>
      <w:hyperlink r:id="rId20">
        <w:r>
          <w:rPr>
            <w:rFonts w:ascii="Arial" w:hAnsi="Arial"/>
            <w:color w:val="2F694B"/>
            <w:sz w:val="17"/>
          </w:rPr>
          <w:t>https://www.asha.org/practice-portal/professional-issues/multilingual-service-delivery/</w:t>
        </w:r>
      </w:hyperlink>
    </w:p>
    <w:p>
      <w:pPr>
        <w:pStyle w:val="ARSmall"/>
        <w:keepNext w:val="0"/>
        <w:spacing w:after="20"/>
      </w:pPr>
      <w:r>
        <w:rPr>
          <w:rFonts w:ascii="Arial" w:hAnsi="Arial" w:cs="Arial" w:eastAsia="Arial"/>
          <w:b/>
          <w:lang w:val="it-IT"/>
        </w:rPr>
        <w:t>[3] ASHA.</w:t>
      </w:r>
      <w:r>
        <w:rPr>
          <w:rFonts w:ascii="Arial" w:hAnsi="Arial" w:cs="Arial" w:eastAsia="Arial"/>
          <w:lang w:val="it-IT"/>
        </w:rPr>
        <w:t xml:space="preserve"> Childhood Apraxia of Speech. Practice Portal.</w:t>
      </w:r>
    </w:p>
    <w:p>
      <w:pPr>
        <w:pStyle w:val="ARSmall"/>
        <w:keepNext w:val="0"/>
        <w:spacing w:after="120"/>
      </w:pPr>
      <w:hyperlink r:id="rId21">
        <w:r>
          <w:rPr>
            <w:rFonts w:ascii="Arial" w:hAnsi="Arial"/>
            <w:color w:val="2F694B"/>
            <w:sz w:val="17"/>
          </w:rPr>
          <w:t>https://www.asha.org/practice-portal/clinical-topics/childhood-apraxia-of-speech/</w:t>
        </w:r>
      </w:hyperlink>
    </w:p>
    <w:p>
      <w:pPr>
        <w:pStyle w:val="ARSmall"/>
        <w:keepNext w:val="0"/>
        <w:spacing w:after="20"/>
      </w:pPr>
      <w:r>
        <w:rPr>
          <w:rFonts w:ascii="Arial" w:hAnsi="Arial" w:cs="Arial" w:eastAsia="Arial"/>
          <w:b/>
          <w:lang w:val="it-IT"/>
        </w:rPr>
        <w:t>[4] ASHA.</w:t>
      </w:r>
      <w:r>
        <w:rPr>
          <w:rFonts w:ascii="Arial" w:hAnsi="Arial" w:cs="Arial" w:eastAsia="Arial"/>
          <w:lang w:val="it-IT"/>
        </w:rPr>
        <w:t xml:space="preserve"> Acquired Apraxia of Speech. Practice Portal.</w:t>
      </w:r>
    </w:p>
    <w:p>
      <w:pPr>
        <w:pStyle w:val="ARSmall"/>
        <w:keepNext w:val="0"/>
        <w:spacing w:after="120"/>
      </w:pPr>
      <w:hyperlink r:id="rId22">
        <w:r>
          <w:rPr>
            <w:rFonts w:ascii="Arial" w:hAnsi="Arial"/>
            <w:color w:val="2F694B"/>
            <w:sz w:val="17"/>
          </w:rPr>
          <w:t>https://www.asha.org/practice-portal/clinical-topics/acquired-apraxia-of-speech/</w:t>
        </w:r>
      </w:hyperlink>
    </w:p>
    <w:p>
      <w:pPr>
        <w:pStyle w:val="ARSmall"/>
        <w:keepNext w:val="0"/>
        <w:spacing w:after="20"/>
      </w:pPr>
      <w:r>
        <w:rPr>
          <w:rFonts w:ascii="Arial" w:hAnsi="Arial" w:cs="Arial" w:eastAsia="Arial"/>
          <w:b/>
          <w:lang w:val="it-IT"/>
        </w:rPr>
        <w:t>[5] International Phonetic Association.</w:t>
      </w:r>
      <w:r>
        <w:rPr>
          <w:rFonts w:ascii="Arial" w:hAnsi="Arial" w:cs="Arial" w:eastAsia="Arial"/>
          <w:lang w:val="it-IT"/>
        </w:rPr>
        <w:t xml:space="preserve"> The International Phonetic Alphabet and the IPA Chart.</w:t>
      </w:r>
    </w:p>
    <w:p>
      <w:pPr>
        <w:pStyle w:val="ARSmall"/>
        <w:keepNext w:val="0"/>
        <w:spacing w:after="120"/>
      </w:pPr>
      <w:hyperlink r:id="rId23">
        <w:r>
          <w:rPr>
            <w:rFonts w:ascii="Arial" w:hAnsi="Arial"/>
            <w:color w:val="2F694B"/>
            <w:sz w:val="17"/>
          </w:rPr>
          <w:t>https://www.internationalphoneticassociation.org/content/ipa-chart</w:t>
        </w:r>
      </w:hyperlink>
    </w:p>
    <w:p>
      <w:pPr>
        <w:pStyle w:val="ARSmall"/>
        <w:keepNext w:val="0"/>
        <w:spacing w:after="20"/>
      </w:pPr>
      <w:r>
        <w:rPr>
          <w:rFonts w:ascii="Arial" w:hAnsi="Arial" w:cs="Arial" w:eastAsia="Arial"/>
          <w:b/>
          <w:lang w:val="it-IT"/>
        </w:rPr>
        <w:t>[6] ASHA.</w:t>
      </w:r>
      <w:r>
        <w:rPr>
          <w:rFonts w:ascii="Arial" w:hAnsi="Arial" w:cs="Arial" w:eastAsia="Arial"/>
          <w:lang w:val="it-IT"/>
        </w:rPr>
        <w:t xml:space="preserve"> Dysarthria in Adults. Practice Portal.</w:t>
      </w:r>
    </w:p>
    <w:p>
      <w:pPr>
        <w:pStyle w:val="ARSmall"/>
        <w:keepNext w:val="0"/>
        <w:spacing w:after="120"/>
      </w:pPr>
      <w:hyperlink r:id="rId17">
        <w:r>
          <w:rPr>
            <w:rFonts w:ascii="Arial" w:hAnsi="Arial"/>
            <w:color w:val="2F694B"/>
            <w:sz w:val="17"/>
          </w:rPr>
          <w:t>https://www.asha.org/practice-portal/clinical-topics/dysarthria-in-adults/</w:t>
        </w:r>
      </w:hyperlink>
    </w:p>
    <w:p>
      <w:pPr>
        <w:pStyle w:val="ARSmall"/>
        <w:keepNext w:val="0"/>
        <w:spacing w:after="140"/>
      </w:pPr>
      <w:r>
        <w:rPr>
          <w:rFonts w:ascii="Arial" w:hAnsi="Arial" w:cs="Arial" w:eastAsia="Arial"/>
          <w:lang w:val="it-IT"/>
        </w:rPr>
        <w:t>Consultazione delle fonti online: 03/10/2026. I richiami [1]–[6] indicano le fonti dei principi generali, non una derivazione di item o punteggi.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Contenuti editoriali e distribuzione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Campi, percorsi di compilazione ed esempi sono formulazioni editoriali ARMONIA. Non sono riprodotti item di batterie, liste di stimoli proprietarie o la tavola IPA. Conserva codice e versione nelle copie; registra separatamente eventuali adattamenti clinici.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Dossier: guida G1–G10 + scheda S1–S11. La guida va resa disponibile con la scheda. PDF per stampa e annotazione, senza campi interattivi; sorgente DOCX modificabile.</w:t>
      </w:r>
    </w:p>
    <w:p>
      <w:pPr>
        <w:spacing w:before="0" w:after="0" w:line="20" w:lineRule="exact"/>
        <w:sectPr>
          <w:headerReference w:type="default" r:id="rId9"/>
          <w:footerReference w:type="default" r:id="rId10"/>
          <w:pgSz w:w="11906" w:h="16838"/>
          <w:pgMar w:top="2211" w:right="1020" w:bottom="1020" w:left="1020" w:header="510" w:footer="510" w:gutter="0"/>
          <w:cols w:space="720"/>
          <w:docGrid w:linePitch="360"/>
        </w:sectPr>
      </w:pPr>
    </w:p>
    <w:p>
      <w:pPr>
        <w:pStyle w:val="AREyebrow"/>
        <w:keepNext/>
        <w:pageBreakBefore w:val="0"/>
      </w:pPr>
      <w:r>
        <w:rPr>
          <w:rFonts w:ascii="Arial" w:hAnsi="Arial" w:cs="Arial" w:eastAsia="Arial"/>
          <w:lang w:val="it-IT"/>
        </w:rPr>
        <w:t>02 / SCHEDA OPERATIVA</w:t>
      </w:r>
    </w:p>
    <w:p>
      <w:pPr>
        <w:pStyle w:val="ARTitle"/>
        <w:keepNext/>
        <w:outlineLvl w:val="0"/>
      </w:pPr>
      <w:bookmarkStart w:id="510" w:name="OFF_S1"/>
      <w:r>
        <w:rPr>
          <w:rFonts w:ascii="Arial" w:hAnsi="Arial" w:cs="Arial" w:eastAsia="Arial"/>
          <w:lang w:val="it-IT"/>
        </w:rPr>
        <w:t>Osservazione</w:t>
        <w:br/>
        <w:t>fonetico-fonologica qualitativa</w:t>
      </w:r>
      <w:bookmarkEnd w:id="510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Contesto della raccolta e domanda osservativa.</w:t>
      </w:r>
    </w:p>
    <w:p>
      <w:pPr>
        <w:pStyle w:val="ARSmall"/>
        <w:keepNext w:val="0"/>
        <w:spacing w:after="100"/>
      </w:pPr>
      <w:r>
        <w:rPr>
          <w:rFonts w:ascii="Arial" w:hAnsi="Arial" w:cs="Arial" w:eastAsia="Arial"/>
          <w:lang w:val="it-IT"/>
        </w:rPr>
        <w:t>OFF · Versione 1.0  /  Leggere la guida G1–G10  /  Compilare solo le parti pertinenti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  <w:sz w:val="21"/>
          <w:lang w:val="it-IT"/>
        </w:rPr>
        <w:t>Codice persona:</w:t>
      </w:r>
      <w:r>
        <w:rPr>
          <w:rFonts w:ascii="Arial" w:hAnsi="Arial" w:cs="Arial" w:eastAsia="Arial"/>
          <w:sz w:val="21"/>
          <w:lang w:val="it-IT"/>
        </w:rPr>
        <w:t xml:space="preserve"> __________________________________________________________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lang w:val="it-IT"/>
        </w:rPr>
        <w:t>Età alla raccolta:</w:t>
      </w:r>
      <w:r>
        <w:rPr>
          <w:rFonts w:ascii="Arial" w:hAnsi="Arial" w:cs="Arial" w:eastAsia="Arial"/>
          <w:lang w:val="it-IT"/>
        </w:rPr>
        <w:t xml:space="preserve"> ______________    </w:t>
      </w:r>
      <w:r>
        <w:rPr>
          <w:rFonts w:ascii="Arial" w:hAnsi="Arial" w:cs="Arial" w:eastAsia="Arial"/>
          <w:b/>
          <w:lang w:val="it-IT"/>
        </w:rPr>
        <w:t>Professionista:</w:t>
      </w:r>
      <w:r>
        <w:rPr>
          <w:rFonts w:ascii="Arial" w:hAnsi="Arial" w:cs="Arial" w:eastAsia="Arial"/>
          <w:lang w:val="it-IT"/>
        </w:rPr>
        <w:t xml:space="preserve"> __________________________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lang w:val="it-IT"/>
        </w:rPr>
        <w:t>Data/e osservazione:</w:t>
      </w:r>
      <w:r>
        <w:rPr>
          <w:rFonts w:ascii="Arial" w:hAnsi="Arial" w:cs="Arial" w:eastAsia="Arial"/>
          <w:lang w:val="it-IT"/>
        </w:rPr>
        <w:t xml:space="preserve"> ______________    </w:t>
      </w:r>
      <w:r>
        <w:rPr>
          <w:rFonts w:ascii="Arial" w:hAnsi="Arial" w:cs="Arial" w:eastAsia="Arial"/>
          <w:b/>
          <w:lang w:val="it-IT"/>
        </w:rPr>
        <w:t>Data compilazione:</w:t>
      </w:r>
      <w:r>
        <w:rPr>
          <w:rFonts w:ascii="Arial" w:hAnsi="Arial" w:cs="Arial" w:eastAsia="Arial"/>
          <w:lang w:val="it-IT"/>
        </w:rPr>
        <w:t xml:space="preserve"> ____________________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sz w:val="19"/>
          <w:lang w:val="it-IT"/>
        </w:rPr>
        <w:t>Finalità:</w:t>
      </w:r>
      <w:r>
        <w:rPr>
          <w:rFonts w:ascii="Arial" w:hAnsi="Arial" w:cs="Arial" w:eastAsia="Arial"/>
          <w:sz w:val="19"/>
          <w:lang w:val="it-IT"/>
        </w:rPr>
        <w:t xml:space="preserve"> □ Prima raccolta  □ Approfondimento  □ Monitoraggio  □ Altro 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Domanda osservativa e priorità della persona / caregiver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Lingua/e e varietà d’uso; pronuncia di riferimento e competenze disponibili per interpretarla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652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Setting, interlocutori, attività accessibili, ausili abituali e condizioni che possono influire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Informazioni pertinenti già disponibili e relativa fonte / data; ciò che non è stato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Percorso essenziale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S2 identifica i campioni → S4 conserva le produzioni → S11 riassume. Aggiungi S3 per l’inventario e S5–S10 per domande specifiche. I registri sono ripetibili; nessuna pagina è obbligatoria in ogni incontro.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Strumento osservativo non standardizzato. Non sostituisce test articolatori o valutazioni specialistiche. Non usare “omissione” per un’assenza di risposta. Nessun punteggio, soglia o esito diagnostico. I dati riferiti restano distinti da quelli ascoltati.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REGISTRO DEI CAMPIONI</w:t>
      </w:r>
    </w:p>
    <w:p>
      <w:pPr>
        <w:pStyle w:val="ARTitle"/>
        <w:keepNext/>
        <w:outlineLvl w:val="0"/>
      </w:pPr>
      <w:bookmarkStart w:id="511" w:name="OFF_S2"/>
      <w:r>
        <w:rPr>
          <w:rFonts w:ascii="Arial" w:hAnsi="Arial" w:cs="Arial" w:eastAsia="Arial"/>
          <w:lang w:val="it-IT"/>
        </w:rPr>
        <w:t>Campioni di riferimento</w:t>
      </w:r>
      <w:bookmarkEnd w:id="511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Un codice identifica un campione, non un livello.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C…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Campione ____________________</w:t>
            </w:r>
          </w:p>
        </w:tc>
      </w:tr>
    </w:tbl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Data / momento:</w:t>
      </w:r>
      <w:r>
        <w:rPr>
          <w:rFonts w:ascii="Arial" w:hAnsi="Arial" w:cs="Arial" w:eastAsia="Arial"/>
          <w:sz w:val="19"/>
          <w:lang w:val="it-IT"/>
        </w:rPr>
        <w:t xml:space="preserve"> __________________    </w:t>
      </w:r>
      <w:r>
        <w:rPr>
          <w:rFonts w:ascii="Arial" w:hAnsi="Arial" w:cs="Arial" w:eastAsia="Arial"/>
          <w:b/>
          <w:sz w:val="19"/>
          <w:lang w:val="it-IT"/>
        </w:rPr>
        <w:t>Durata o quantità raccolta:</w:t>
      </w:r>
      <w:r>
        <w:rPr>
          <w:rFonts w:ascii="Arial" w:hAnsi="Arial" w:cs="Arial" w:eastAsia="Arial"/>
          <w:sz w:val="19"/>
          <w:lang w:val="it-IT"/>
        </w:rPr>
        <w:t xml:space="preserve"> 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Compito:</w:t>
      </w:r>
      <w:r>
        <w:rPr>
          <w:rFonts w:ascii="Arial" w:hAnsi="Arial" w:cs="Arial" w:eastAsia="Arial"/>
          <w:sz w:val="19"/>
          <w:lang w:val="it-IT"/>
        </w:rPr>
        <w:t xml:space="preserve"> □ Spontaneo  □ Denominazione  □ Ripetizione  □ Altro __________________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b/>
          <w:sz w:val="19"/>
          <w:lang w:val="it-IT"/>
        </w:rPr>
        <w:t>Fonte:</w:t>
      </w:r>
      <w:r>
        <w:rPr>
          <w:rFonts w:ascii="Arial" w:hAnsi="Arial" w:cs="Arial" w:eastAsia="Arial"/>
          <w:sz w:val="19"/>
          <w:lang w:val="it-IT"/>
        </w:rPr>
        <w:t xml:space="preserve"> □ Diretta dal vivo  □ Diretta da registrazione  □ Riferita (specificare)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Lingua / varietà:</w:t>
      </w:r>
      <w:r>
        <w:rPr>
          <w:rFonts w:ascii="Arial" w:hAnsi="Arial" w:cs="Arial" w:eastAsia="Arial"/>
          <w:sz w:val="19"/>
          <w:lang w:val="it-IT"/>
        </w:rPr>
        <w:t xml:space="preserve"> __________________    </w:t>
      </w:r>
      <w:r>
        <w:rPr>
          <w:rFonts w:ascii="Arial" w:hAnsi="Arial" w:cs="Arial" w:eastAsia="Arial"/>
          <w:b/>
          <w:sz w:val="19"/>
          <w:lang w:val="it-IT"/>
        </w:rPr>
        <w:t>Osservatore / fonte:</w:t>
      </w:r>
      <w:r>
        <w:rPr>
          <w:rFonts w:ascii="Arial" w:hAnsi="Arial" w:cs="Arial" w:eastAsia="Arial"/>
          <w:sz w:val="19"/>
          <w:lang w:val="it-IT"/>
        </w:rPr>
        <w:t xml:space="preserve"> __________________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Attività, interlocutore, supporti e modello eventualmente già presentato (quando / quale)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Estratto / ID interno, tempo nel file e riascolti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Qualità del dato, certezza dei bersagli e limiti</w:t>
            </w:r>
          </w:p>
        </w:tc>
      </w:tr>
      <w:tr>
        <w:trPr>
          <w:cantSplit/>
          <w:trHeight w:val="510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4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C…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Campione ____________________</w:t>
            </w:r>
          </w:p>
        </w:tc>
      </w:tr>
    </w:tbl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Data / momento:</w:t>
      </w:r>
      <w:r>
        <w:rPr>
          <w:rFonts w:ascii="Arial" w:hAnsi="Arial" w:cs="Arial" w:eastAsia="Arial"/>
          <w:sz w:val="19"/>
          <w:lang w:val="it-IT"/>
        </w:rPr>
        <w:t xml:space="preserve"> __________________    </w:t>
      </w:r>
      <w:r>
        <w:rPr>
          <w:rFonts w:ascii="Arial" w:hAnsi="Arial" w:cs="Arial" w:eastAsia="Arial"/>
          <w:b/>
          <w:sz w:val="19"/>
          <w:lang w:val="it-IT"/>
        </w:rPr>
        <w:t>Durata o quantità raccolta:</w:t>
      </w:r>
      <w:r>
        <w:rPr>
          <w:rFonts w:ascii="Arial" w:hAnsi="Arial" w:cs="Arial" w:eastAsia="Arial"/>
          <w:sz w:val="19"/>
          <w:lang w:val="it-IT"/>
        </w:rPr>
        <w:t xml:space="preserve"> 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Compito:</w:t>
      </w:r>
      <w:r>
        <w:rPr>
          <w:rFonts w:ascii="Arial" w:hAnsi="Arial" w:cs="Arial" w:eastAsia="Arial"/>
          <w:sz w:val="19"/>
          <w:lang w:val="it-IT"/>
        </w:rPr>
        <w:t xml:space="preserve"> □ Spontaneo  □ Denominazione  □ Ripetizione  □ Altro __________________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b/>
          <w:sz w:val="19"/>
          <w:lang w:val="it-IT"/>
        </w:rPr>
        <w:t>Fonte:</w:t>
      </w:r>
      <w:r>
        <w:rPr>
          <w:rFonts w:ascii="Arial" w:hAnsi="Arial" w:cs="Arial" w:eastAsia="Arial"/>
          <w:sz w:val="19"/>
          <w:lang w:val="it-IT"/>
        </w:rPr>
        <w:t xml:space="preserve"> □ Diretta dal vivo  □ Diretta da registrazione  □ Riferita (specificare)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Lingua / varietà:</w:t>
      </w:r>
      <w:r>
        <w:rPr>
          <w:rFonts w:ascii="Arial" w:hAnsi="Arial" w:cs="Arial" w:eastAsia="Arial"/>
          <w:sz w:val="19"/>
          <w:lang w:val="it-IT"/>
        </w:rPr>
        <w:t xml:space="preserve"> __________________    </w:t>
      </w:r>
      <w:r>
        <w:rPr>
          <w:rFonts w:ascii="Arial" w:hAnsi="Arial" w:cs="Arial" w:eastAsia="Arial"/>
          <w:b/>
          <w:sz w:val="19"/>
          <w:lang w:val="it-IT"/>
        </w:rPr>
        <w:t>Osservatore / fonte:</w:t>
      </w:r>
      <w:r>
        <w:rPr>
          <w:rFonts w:ascii="Arial" w:hAnsi="Arial" w:cs="Arial" w:eastAsia="Arial"/>
          <w:sz w:val="19"/>
          <w:lang w:val="it-IT"/>
        </w:rPr>
        <w:t xml:space="preserve"> __________________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Attività, interlocutore, supporti e modello eventualmente già presentato (quando / quale)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Estratto / ID interno, tempo nel file e riascolti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Qualità del dato, certezza dei bersagli e limiti</w:t>
            </w:r>
          </w:p>
        </w:tc>
      </w:tr>
      <w:tr>
        <w:trPr>
          <w:cantSplit/>
          <w:trHeight w:val="510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4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G2–G3. Un resoconto senza audio non diventa una trascrizione diretta. Le voci sintetiche di un ausilio non documentano i suoni prodotti dalla persona. Nessuna durata o quantità minima è imposta; indica se manca parlato interpretabile.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INVENTARIO OSSERVATO</w:t>
      </w:r>
    </w:p>
    <w:p>
      <w:pPr>
        <w:pStyle w:val="ARTitle"/>
        <w:keepNext/>
        <w:outlineLvl w:val="0"/>
      </w:pPr>
      <w:bookmarkStart w:id="512" w:name="OFF_S3"/>
      <w:r>
        <w:rPr>
          <w:rFonts w:ascii="Arial" w:hAnsi="Arial" w:cs="Arial" w:eastAsia="Arial"/>
          <w:lang w:val="it-IT"/>
        </w:rPr>
        <w:t>Suoni effettivamente prodotti</w:t>
      </w:r>
      <w:bookmarkEnd w:id="512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Registra ciò che compare, anche quando differisce dal bersaglio.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  <w:lang w:val="it-IT"/>
        </w:rPr>
        <w:t>Campione/i:</w:t>
      </w:r>
      <w:r>
        <w:rPr>
          <w:rFonts w:ascii="Arial" w:hAnsi="Arial" w:cs="Arial" w:eastAsia="Arial"/>
          <w:lang w:val="it-IT"/>
        </w:rPr>
        <w:t xml:space="preserve"> ____________________    </w:t>
      </w:r>
      <w:r>
        <w:rPr>
          <w:rFonts w:ascii="Arial" w:hAnsi="Arial" w:cs="Arial" w:eastAsia="Arial"/>
          <w:b/>
          <w:lang w:val="it-IT"/>
        </w:rPr>
        <w:t>Lingua / varietà:</w:t>
      </w:r>
      <w:r>
        <w:rPr>
          <w:rFonts w:ascii="Arial" w:hAnsi="Arial" w:cs="Arial" w:eastAsia="Arial"/>
          <w:lang w:val="it-IT"/>
        </w:rPr>
        <w:t xml:space="preserve"> ________________________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20"/>
          <w:lang w:val="it-IT"/>
        </w:rPr>
        <w:t>Ambito di questa pagina:</w:t>
      </w:r>
      <w:r>
        <w:rPr>
          <w:rFonts w:ascii="Arial" w:hAnsi="Arial" w:cs="Arial" w:eastAsia="Arial"/>
          <w:sz w:val="20"/>
          <w:lang w:val="it-IT"/>
        </w:rPr>
        <w:t xml:space="preserve"> □ Consonanti  □ Vocali  □ Misto / altro __________________</w:t>
      </w:r>
    </w:p>
    <w:p>
      <w:pPr>
        <w:pStyle w:val="ARSmall"/>
        <w:keepNext w:val="0"/>
        <w:spacing w:after="100"/>
      </w:pPr>
      <w:r>
        <w:rPr>
          <w:rFonts w:ascii="Arial" w:hAnsi="Arial" w:cs="Arial" w:eastAsia="Arial"/>
          <w:lang w:val="it-IT"/>
        </w:rPr>
        <w:t>Trascrivi in […] oppure dichiara una descrizione percettiva. Includi posizione, suoni vicini e compito; una produzione imitata non documenta automaticamente l’uso spontaneo.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1701"/>
        <w:gridCol w:w="3005"/>
        <w:gridCol w:w="2721"/>
        <w:gridCol w:w="2438"/>
      </w:tblGrid>
      <w:tr>
        <w:trPr>
          <w:cantSplit/>
          <w:tblHeader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SUONO /</w:t>
              <w:br/>
              <w:t>VARIANTE</w:t>
            </w: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PAROLA / PRODUZIONE</w:t>
              <w:br/>
              <w:t>E POSIZIONE</w:t>
            </w: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COMPITO, MODELLO</w:t>
              <w:br/>
              <w:t>E CONTESTO</w:t>
            </w: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CAMPIONE / EPISODIO</w:t>
              <w:br/>
              <w:t>E CERTEZZA</w:t>
            </w: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00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43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Suoni o contesti da esplorare; opportunità effettivamente disponibili e limiti dell’inventario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709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Presenza non significa acquisizione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Un suono comparso una volta, oppure dopo modello, resta documentato in quelle condizioni. “Non rilevato nei campioni” non equivale ad “assente dal repertorio”. Non calcolare una percentuale di inventario completato.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G5. I dati soltanto riferiti possono essere annotati nella nota con fonte e periodo, ma non presentati come suoni ascoltati. Dettagli delle produzioni: S4. Puoi duplicare la pagina per altre lingue, contesti o gruppi di suoni.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EPISODI FONETICO-FONOLOGICI</w:t>
      </w:r>
    </w:p>
    <w:p>
      <w:pPr>
        <w:pStyle w:val="ARTitle"/>
        <w:keepNext/>
        <w:outlineLvl w:val="0"/>
      </w:pPr>
      <w:bookmarkStart w:id="513" w:name="OFF_S4"/>
      <w:r>
        <w:rPr>
          <w:rFonts w:ascii="Arial" w:hAnsi="Arial" w:cs="Arial" w:eastAsia="Arial"/>
          <w:lang w:val="it-IT"/>
        </w:rPr>
        <w:t>Bersaglio e produzione</w:t>
      </w:r>
      <w:bookmarkEnd w:id="513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Conserva anche gli episodi in linea con il riferimento.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E…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Produzione ____________________</w:t>
            </w:r>
          </w:p>
        </w:tc>
      </w:tr>
    </w:tbl>
    <w:p>
      <w:pPr>
        <w:pStyle w:val="ARField"/>
        <w:keepNext w:val="0"/>
        <w:spacing w:after="80"/>
      </w:pPr>
      <w:r>
        <w:rPr>
          <w:rFonts w:ascii="Arial" w:hAnsi="Arial" w:cs="Arial" w:eastAsia="Arial"/>
          <w:b/>
          <w:sz w:val="19"/>
          <w:lang w:val="it-IT"/>
        </w:rPr>
        <w:t>Campione / estratto:</w:t>
      </w:r>
      <w:r>
        <w:rPr>
          <w:rFonts w:ascii="Arial" w:hAnsi="Arial" w:cs="Arial" w:eastAsia="Arial"/>
          <w:sz w:val="19"/>
          <w:lang w:val="it-IT"/>
        </w:rPr>
        <w:t xml:space="preserve"> __________________    </w:t>
      </w:r>
      <w:r>
        <w:rPr>
          <w:rFonts w:ascii="Arial" w:hAnsi="Arial" w:cs="Arial" w:eastAsia="Arial"/>
          <w:b/>
          <w:sz w:val="19"/>
          <w:lang w:val="it-IT"/>
        </w:rPr>
        <w:t>Compito:</w:t>
      </w:r>
      <w:r>
        <w:rPr>
          <w:rFonts w:ascii="Arial" w:hAnsi="Arial" w:cs="Arial" w:eastAsia="Arial"/>
          <w:sz w:val="19"/>
          <w:lang w:val="it-IT"/>
        </w:rPr>
        <w:t xml:space="preserve"> _________________________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b/>
          <w:sz w:val="19"/>
          <w:lang w:val="it-IT"/>
        </w:rPr>
        <w:t>Parola intesa:</w:t>
      </w:r>
      <w:r>
        <w:rPr>
          <w:rFonts w:ascii="Arial" w:hAnsi="Arial" w:cs="Arial" w:eastAsia="Arial"/>
          <w:sz w:val="19"/>
          <w:lang w:val="it-IT"/>
        </w:rPr>
        <w:t xml:space="preserve"> __________________  □ Certa  □ Ipotizzata  □ Non identificata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Bersaglio /…/ o forma di riferimento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Produzione […] o descrizione percettiva</w:t>
            </w:r>
          </w:p>
        </w:tc>
      </w:tr>
      <w:tr>
        <w:trPr>
          <w:cantSplit/>
          <w:trHeight w:val="482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Posizione nella parola e nella sillaba, suoni vicini; lingua / varietà e fonte del riferimento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2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Field"/>
        <w:keepNext w:val="0"/>
        <w:spacing w:after="60"/>
      </w:pPr>
      <w:r>
        <w:rPr>
          <w:rFonts w:ascii="Arial" w:hAnsi="Arial" w:cs="Arial" w:eastAsia="Arial"/>
          <w:b/>
          <w:sz w:val="19"/>
          <w:lang w:val="it-IT"/>
        </w:rPr>
        <w:t>Annotazione facoltativa:</w:t>
      </w:r>
      <w:r>
        <w:rPr>
          <w:rFonts w:ascii="Arial" w:hAnsi="Arial" w:cs="Arial" w:eastAsia="Arial"/>
          <w:sz w:val="19"/>
          <w:lang w:val="it-IT"/>
        </w:rPr>
        <w:t xml:space="preserve"> □ In linea con il riferimento  □ Omissione  □ Sostituzione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sz w:val="19"/>
          <w:lang w:val="it-IT"/>
        </w:rPr>
        <w:t>□ Distorsione / approssimazione  □ Inserzione  □ Ordine  □ Struttura  □ Non classificata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Evidenza, grado di certezza e dettagli percettivi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Modelli / aiuti; informazioni riferite e fonte</w:t>
            </w:r>
          </w:p>
        </w:tc>
      </w:tr>
      <w:tr>
        <w:trPr>
          <w:cantSplit/>
          <w:trHeight w:val="539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4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E…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Produzione ____________________</w:t>
            </w:r>
          </w:p>
        </w:tc>
      </w:tr>
    </w:tbl>
    <w:p>
      <w:pPr>
        <w:pStyle w:val="ARField"/>
        <w:keepNext w:val="0"/>
        <w:spacing w:after="80"/>
      </w:pPr>
      <w:r>
        <w:rPr>
          <w:rFonts w:ascii="Arial" w:hAnsi="Arial" w:cs="Arial" w:eastAsia="Arial"/>
          <w:b/>
          <w:sz w:val="19"/>
          <w:lang w:val="it-IT"/>
        </w:rPr>
        <w:t>Campione / estratto:</w:t>
      </w:r>
      <w:r>
        <w:rPr>
          <w:rFonts w:ascii="Arial" w:hAnsi="Arial" w:cs="Arial" w:eastAsia="Arial"/>
          <w:sz w:val="19"/>
          <w:lang w:val="it-IT"/>
        </w:rPr>
        <w:t xml:space="preserve"> __________________    </w:t>
      </w:r>
      <w:r>
        <w:rPr>
          <w:rFonts w:ascii="Arial" w:hAnsi="Arial" w:cs="Arial" w:eastAsia="Arial"/>
          <w:b/>
          <w:sz w:val="19"/>
          <w:lang w:val="it-IT"/>
        </w:rPr>
        <w:t>Compito:</w:t>
      </w:r>
      <w:r>
        <w:rPr>
          <w:rFonts w:ascii="Arial" w:hAnsi="Arial" w:cs="Arial" w:eastAsia="Arial"/>
          <w:sz w:val="19"/>
          <w:lang w:val="it-IT"/>
        </w:rPr>
        <w:t xml:space="preserve"> _________________________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b/>
          <w:sz w:val="19"/>
          <w:lang w:val="it-IT"/>
        </w:rPr>
        <w:t>Parola intesa:</w:t>
      </w:r>
      <w:r>
        <w:rPr>
          <w:rFonts w:ascii="Arial" w:hAnsi="Arial" w:cs="Arial" w:eastAsia="Arial"/>
          <w:sz w:val="19"/>
          <w:lang w:val="it-IT"/>
        </w:rPr>
        <w:t xml:space="preserve"> __________________  □ Certa  □ Ipotizzata  □ Non identificata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Bersaglio /…/ o forma di riferimento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Produzione […] o descrizione percettiva</w:t>
            </w:r>
          </w:p>
        </w:tc>
      </w:tr>
      <w:tr>
        <w:trPr>
          <w:cantSplit/>
          <w:trHeight w:val="482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Posizione nella parola e nella sillaba, suoni vicini; lingua / varietà e fonte del riferimento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2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Field"/>
        <w:keepNext w:val="0"/>
        <w:spacing w:after="60"/>
      </w:pPr>
      <w:r>
        <w:rPr>
          <w:rFonts w:ascii="Arial" w:hAnsi="Arial" w:cs="Arial" w:eastAsia="Arial"/>
          <w:b/>
          <w:sz w:val="19"/>
          <w:lang w:val="it-IT"/>
        </w:rPr>
        <w:t>Annotazione facoltativa:</w:t>
      </w:r>
      <w:r>
        <w:rPr>
          <w:rFonts w:ascii="Arial" w:hAnsi="Arial" w:cs="Arial" w:eastAsia="Arial"/>
          <w:sz w:val="19"/>
          <w:lang w:val="it-IT"/>
        </w:rPr>
        <w:t xml:space="preserve"> □ In linea con il riferimento  □ Omissione  □ Sostituzione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sz w:val="19"/>
          <w:lang w:val="it-IT"/>
        </w:rPr>
        <w:t>□ Distorsione / approssimazione  □ Inserzione  □ Ordine  □ Struttura  □ Non classificata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Evidenza, grado di certezza e dettagli percettivi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Modelli / aiuti; informazioni riferite e fonte</w:t>
            </w:r>
          </w:p>
        </w:tc>
      </w:tr>
      <w:tr>
        <w:trPr>
          <w:cantSplit/>
          <w:trHeight w:val="539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4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G3–G4. Etichette non esclusive e solo con un riferimento attendibile; motiva la scelta. Per dati non interpretabili specifica il motivo. Un solo episodio può richiamare più fenomeni, senza diventare più osservazioni distinte. Nessuna risposta ≠ omissione.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PAROLA, SILLABA E SEQUENZE</w:t>
      </w:r>
    </w:p>
    <w:p>
      <w:pPr>
        <w:pStyle w:val="ARTitle"/>
        <w:keepNext/>
        <w:outlineLvl w:val="0"/>
      </w:pPr>
      <w:bookmarkStart w:id="514" w:name="OFF_S5"/>
      <w:r>
        <w:rPr>
          <w:rFonts w:ascii="Arial" w:hAnsi="Arial" w:cs="Arial" w:eastAsia="Arial"/>
          <w:lang w:val="it-IT"/>
        </w:rPr>
        <w:t>Strutture e posizioni</w:t>
      </w:r>
      <w:bookmarkEnd w:id="514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Distingui sequenza osservata e interpretazione.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01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Sillabe, gruppi e ordine</w:t>
            </w:r>
          </w:p>
        </w:tc>
      </w:tr>
    </w:tbl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Campione / episodio:</w:t>
      </w:r>
      <w:r>
        <w:rPr>
          <w:rFonts w:ascii="Arial" w:hAnsi="Arial" w:cs="Arial" w:eastAsia="Arial"/>
          <w:sz w:val="19"/>
          <w:lang w:val="it-IT"/>
        </w:rPr>
        <w:t xml:space="preserve"> ____________________    </w:t>
      </w:r>
      <w:r>
        <w:rPr>
          <w:rFonts w:ascii="Arial" w:hAnsi="Arial" w:cs="Arial" w:eastAsia="Arial"/>
          <w:b/>
          <w:sz w:val="19"/>
          <w:lang w:val="it-IT"/>
        </w:rPr>
        <w:t>Compito:</w:t>
      </w:r>
      <w:r>
        <w:rPr>
          <w:rFonts w:ascii="Arial" w:hAnsi="Arial" w:cs="Arial" w:eastAsia="Arial"/>
          <w:sz w:val="19"/>
          <w:lang w:val="it-IT"/>
        </w:rPr>
        <w:t xml:space="preserve"> 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Parola e forma di riferimento /…/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Produzione […] o descrizione percettiva</w:t>
            </w:r>
          </w:p>
        </w:tc>
      </w:tr>
      <w:tr>
        <w:trPr>
          <w:cantSplit/>
          <w:trHeight w:val="425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Numero di sillabe, schema C/V se utile, gruppi e posizione dei cambiamenti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Suoni vicini / contesto e supporti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Convenzioni, incertezze ed eccezioni</w:t>
            </w:r>
          </w:p>
        </w:tc>
      </w:tr>
      <w:tr>
        <w:trPr>
          <w:cantSplit/>
          <w:trHeight w:val="482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4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02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Accento, durata e continuità</w:t>
            </w:r>
          </w:p>
        </w:tc>
      </w:tr>
    </w:tbl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Campione / episodio:</w:t>
      </w:r>
      <w:r>
        <w:rPr>
          <w:rFonts w:ascii="Arial" w:hAnsi="Arial" w:cs="Arial" w:eastAsia="Arial"/>
          <w:sz w:val="19"/>
          <w:lang w:val="it-IT"/>
        </w:rPr>
        <w:t xml:space="preserve"> ____________________    </w:t>
      </w:r>
      <w:r>
        <w:rPr>
          <w:rFonts w:ascii="Arial" w:hAnsi="Arial" w:cs="Arial" w:eastAsia="Arial"/>
          <w:b/>
          <w:sz w:val="19"/>
          <w:lang w:val="it-IT"/>
        </w:rPr>
        <w:t>Compito:</w:t>
      </w:r>
      <w:r>
        <w:rPr>
          <w:rFonts w:ascii="Arial" w:hAnsi="Arial" w:cs="Arial" w:eastAsia="Arial"/>
          <w:sz w:val="19"/>
          <w:lang w:val="it-IT"/>
        </w:rPr>
        <w:t xml:space="preserve"> 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Parola e forma di riferimento /…/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Produzione […] o descrizione percettiva</w:t>
            </w:r>
          </w:p>
        </w:tc>
      </w:tr>
      <w:tr>
        <w:trPr>
          <w:cantSplit/>
          <w:trHeight w:val="425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Accento, consonanti brevi / lunghe, vocali e passaggi tra suoni: tratti percepiti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Suoni vicini / contesto e supporti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Convenzioni, incertezze ed eccezioni</w:t>
            </w:r>
          </w:p>
        </w:tc>
      </w:tr>
      <w:tr>
        <w:trPr>
          <w:cantSplit/>
          <w:trHeight w:val="482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4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G6. Specifica la lingua e non trasferire automaticamente convenzioni sillabiche da altri sistemi. Durate percepite non sono misure acustiche; un accento o una durata diversi non identificano da soli un disturbo. Dettaglio dell’episodio: S4.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CORRISPONDENZE E RICORRENZE</w:t>
      </w:r>
    </w:p>
    <w:p>
      <w:pPr>
        <w:pStyle w:val="ARTitle"/>
        <w:keepNext/>
        <w:outlineLvl w:val="0"/>
      </w:pPr>
      <w:bookmarkStart w:id="515" w:name="OFF_S6"/>
      <w:r>
        <w:rPr>
          <w:rFonts w:ascii="Arial" w:hAnsi="Arial" w:cs="Arial" w:eastAsia="Arial"/>
          <w:lang w:val="it-IT"/>
        </w:rPr>
        <w:t>Possibili schemi da approfondire</w:t>
      </w:r>
      <w:bookmarkEnd w:id="515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Parole diverse ed eccezioni rendono leggibile l’ipotesi.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01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Corrispondenza / ricorrenza ____________________</w:t>
            </w:r>
          </w:p>
        </w:tc>
      </w:tr>
    </w:tbl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Descrizione circoscritta: quale bersaglio, quale produzione, in quali posizioni o strutture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2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Episodi che sostengono la descrizione</w:t>
              <w:br/>
              <w:t>Parole e codici distinti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Eccezioni o dati contrastanti</w:t>
              <w:br/>
              <w:t>Parole e codici distinti</w:t>
            </w:r>
          </w:p>
        </w:tc>
      </w:tr>
      <w:tr>
        <w:trPr>
          <w:cantSplit/>
          <w:trHeight w:val="652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Compiti, lingua, supporti e contesti comuni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Limiti, riferimenti incerti e cosa verificare</w:t>
            </w:r>
          </w:p>
        </w:tc>
      </w:tr>
      <w:tr>
        <w:trPr>
          <w:cantSplit/>
          <w:trHeight w:val="510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8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02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Corrispondenza / ricorrenza ____________________</w:t>
            </w:r>
          </w:p>
        </w:tc>
      </w:tr>
    </w:tbl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Descrizione circoscritta: quale bersaglio, quale produzione, in quali posizioni o strutture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2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Episodi che sostengono la descrizione</w:t>
              <w:br/>
              <w:t>Parole e codici distinti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Eccezioni o dati contrastanti</w:t>
              <w:br/>
              <w:t>Parole e codici distinti</w:t>
            </w:r>
          </w:p>
        </w:tc>
      </w:tr>
      <w:tr>
        <w:trPr>
          <w:cantSplit/>
          <w:trHeight w:val="652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Compiti, lingua, supporti e contesti comuni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Limiti, riferimenti incerti e cosa verificare</w:t>
            </w:r>
          </w:p>
        </w:tc>
      </w:tr>
      <w:tr>
        <w:trPr>
          <w:cantSplit/>
          <w:trHeight w:val="510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8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G5. Non attribuire una regola a una classe intera da un unico bersaglio. Le ripetizioni della stessa parola si documentano in S7; non sostituiscono esempi su parole diverse. Più etichette sullo stesso episodio non moltiplicano il dato. Nessun punteggio di processo.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RIPRODUZIONI DELLO STESSO BERSAGLIO</w:t>
      </w:r>
    </w:p>
    <w:p>
      <w:pPr>
        <w:pStyle w:val="ARTitle"/>
        <w:keepNext/>
        <w:outlineLvl w:val="0"/>
      </w:pPr>
      <w:bookmarkStart w:id="516" w:name="OFF_S7"/>
      <w:r>
        <w:rPr>
          <w:rFonts w:ascii="Arial" w:hAnsi="Arial" w:cs="Arial" w:eastAsia="Arial"/>
          <w:lang w:val="it-IT"/>
        </w:rPr>
        <w:t>Consistenza e variabilità</w:t>
      </w:r>
      <w:bookmarkEnd w:id="516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Trascrivi ogni tentativo e rendi visibili i cambiamenti di condizione.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lang w:val="it-IT"/>
        </w:rPr>
        <w:t>Parola / bersaglio: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Campione/i: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lang w:val="it-IT"/>
        </w:rPr>
        <w:t>Lingua / varietà:</w:t>
      </w:r>
      <w:r>
        <w:rPr>
          <w:rFonts w:ascii="Arial" w:hAnsi="Arial" w:cs="Arial" w:eastAsia="Arial"/>
          <w:lang w:val="it-IT"/>
        </w:rPr>
        <w:t xml:space="preserve"> _______________________    </w:t>
      </w:r>
      <w:r>
        <w:rPr>
          <w:rFonts w:ascii="Arial" w:hAnsi="Arial" w:cs="Arial" w:eastAsia="Arial"/>
          <w:b/>
          <w:lang w:val="it-IT"/>
        </w:rPr>
        <w:t>Compito di riferimento:</w:t>
      </w:r>
      <w:r>
        <w:rPr>
          <w:rFonts w:ascii="Arial" w:hAnsi="Arial" w:cs="Arial" w:eastAsia="Arial"/>
          <w:lang w:val="it-IT"/>
        </w:rPr>
        <w:t xml:space="preserve"> 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Condizione iniziale: modello, aiuti, intervallo previsto e contesto; cosa resta comparabile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1701"/>
        <w:gridCol w:w="2948"/>
        <w:gridCol w:w="3175"/>
        <w:gridCol w:w="2041"/>
      </w:tblGrid>
      <w:tr>
        <w:trPr>
          <w:cantSplit/>
          <w:tblHeader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TENTATIVO /</w:t>
              <w:br/>
              <w:t>DATA O TEMPO</w:t>
            </w:r>
          </w:p>
        </w:tc>
        <w:tc>
          <w:tcPr>
            <w:tcW w:type="dxa" w:w="294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PRODUZIONE […]</w:t>
              <w:br/>
              <w:t>O DESCRIZIONE</w:t>
            </w:r>
          </w:p>
        </w:tc>
        <w:tc>
          <w:tcPr>
            <w:tcW w:type="dxa" w:w="317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MODELLO / AIUTI</w:t>
              <w:br/>
              <w:t>E CAMBI DI CONDIZIONE</w:t>
            </w:r>
          </w:p>
        </w:tc>
        <w:tc>
          <w:tcPr>
            <w:tcW w:type="dxa" w:w="204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NOTE /</w:t>
              <w:br/>
              <w:t>INTERPRETABILITÀ</w:t>
            </w: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94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7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04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94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7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04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94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7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04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94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7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04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94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7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04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67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94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7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04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Che cosa rimane simile e che cosa cambia; distinguere segmenti, sillabe e parola intera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Quali tentativi sono confrontabili e quali no; limiti della raccolta e ulteriori dati utili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Stabilità e corrispondenza al bersaglio non coincidono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Una forma può ripetersi stabilmente pur essendo diversa dal riferimento. Se cambiano modello, supporto o compito, descrivi condizioni separate. Da una sola produzione non si valuta la variabilità; non derivare un indice o una diagnosi.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G6. Il numero di righe è solo uno spazio di registrazione, non un numero richiesto di tentativi. Lascia inutilizzate le righe non necessarie; duplica se serve. Confronto tra compiti: S10.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RISPOSTA A MODELLO E SUPPORTI</w:t>
      </w:r>
    </w:p>
    <w:p>
      <w:pPr>
        <w:pStyle w:val="ARTitle"/>
        <w:keepNext/>
        <w:outlineLvl w:val="0"/>
      </w:pPr>
      <w:bookmarkStart w:id="517" w:name="OFF_S8"/>
      <w:r>
        <w:rPr>
          <w:rFonts w:ascii="Arial" w:hAnsi="Arial" w:cs="Arial" w:eastAsia="Arial"/>
          <w:lang w:val="it-IT"/>
        </w:rPr>
        <w:t>Stimolabilità osservata</w:t>
      </w:r>
      <w:bookmarkEnd w:id="517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Un bersaglio e criteri espliciti, senza un esito globale sì/no.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lang w:val="it-IT"/>
        </w:rPr>
        <w:t>Bersaglio:</w:t>
      </w:r>
      <w:r>
        <w:rPr>
          <w:rFonts w:ascii="Arial" w:hAnsi="Arial" w:cs="Arial" w:eastAsia="Arial"/>
          <w:lang w:val="it-IT"/>
        </w:rPr>
        <w:t xml:space="preserve"> __________________________    </w:t>
      </w:r>
      <w:r>
        <w:rPr>
          <w:rFonts w:ascii="Arial" w:hAnsi="Arial" w:cs="Arial" w:eastAsia="Arial"/>
          <w:b/>
          <w:lang w:val="it-IT"/>
        </w:rPr>
        <w:t>Lingua / varietà:</w:t>
      </w:r>
      <w:r>
        <w:rPr>
          <w:rFonts w:ascii="Arial" w:hAnsi="Arial" w:cs="Arial" w:eastAsia="Arial"/>
          <w:lang w:val="it-IT"/>
        </w:rPr>
        <w:t xml:space="preserve"> ____________________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Unità:</w:t>
      </w:r>
      <w:r>
        <w:rPr>
          <w:rFonts w:ascii="Arial" w:hAnsi="Arial" w:cs="Arial" w:eastAsia="Arial"/>
          <w:sz w:val="19"/>
          <w:lang w:val="it-IT"/>
        </w:rPr>
        <w:t xml:space="preserve"> □ Suono  □ Sillaba  □ Parola  □ Frase     </w:t>
      </w:r>
      <w:r>
        <w:rPr>
          <w:rFonts w:ascii="Arial" w:hAnsi="Arial" w:cs="Arial" w:eastAsia="Arial"/>
          <w:b/>
          <w:sz w:val="19"/>
          <w:lang w:val="it-IT"/>
        </w:rPr>
        <w:t>Campione/i:</w:t>
      </w:r>
      <w:r>
        <w:rPr>
          <w:rFonts w:ascii="Arial" w:hAnsi="Arial" w:cs="Arial" w:eastAsia="Arial"/>
          <w:sz w:val="19"/>
          <w:lang w:val="it-IT"/>
        </w:rPr>
        <w:t xml:space="preserve"> ____________________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Criterio descrittivo per una produzione in linea con il riferimento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39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Produzione prima del nuovo modello (codice / trascrizione); se manca, indicarlo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1361"/>
        <w:gridCol w:w="3118"/>
        <w:gridCol w:w="2835"/>
        <w:gridCol w:w="2551"/>
      </w:tblGrid>
      <w:tr>
        <w:trPr>
          <w:cantSplit/>
          <w:tblHeader/>
        </w:trPr>
        <w:tc>
          <w:tcPr>
            <w:tcW w:type="dxa" w:w="136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TENTATIVO /</w:t>
              <w:br/>
              <w:t>UNITÀ</w:t>
            </w: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MODELLO E AIUTO</w:t>
              <w:br/>
              <w:t>EFFETTIVAMENTE USATI</w:t>
            </w:r>
          </w:p>
        </w:tc>
        <w:tc>
          <w:tcPr>
            <w:tcW w:type="dxa" w:w="283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PRODUZIONE […]</w:t>
              <w:br/>
              <w:t>O DESCRIZIONE</w:t>
            </w:r>
          </w:p>
        </w:tc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ESITO DESCRITTIVO</w:t>
              <w:br/>
              <w:t>E LIMITI</w:t>
            </w:r>
          </w:p>
        </w:tc>
      </w:tr>
      <w:tr>
        <w:trPr>
          <w:cantSplit/>
          <w:trHeight w:val="578" w:hRule="atLeast"/>
        </w:trPr>
        <w:tc>
          <w:tcPr>
            <w:tcW w:type="dxa" w:w="136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83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78" w:hRule="atLeast"/>
        </w:trPr>
        <w:tc>
          <w:tcPr>
            <w:tcW w:type="dxa" w:w="136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83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78" w:hRule="atLeast"/>
        </w:trPr>
        <w:tc>
          <w:tcPr>
            <w:tcW w:type="dxa" w:w="136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83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578" w:hRule="atLeast"/>
        </w:trPr>
        <w:tc>
          <w:tcPr>
            <w:tcW w:type="dxa" w:w="136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835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55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100"/>
      </w:pPr>
      <w:r>
        <w:rPr>
          <w:rFonts w:ascii="Arial" w:hAnsi="Arial" w:cs="Arial" w:eastAsia="Arial"/>
          <w:lang w:val="it-IT"/>
        </w:rPr>
        <w:t>Per l’esito: descrivi corrispondenza al criterio, approssimazione, forma diversa o dato non interpretabile. Le descrizioni non sono livelli numerici; conserva sempre la produzione.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Condizioni in cui compare la produzione cercata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Condizioni esplorate senza rilevarla / limiti</w:t>
            </w:r>
          </w:p>
        </w:tc>
      </w:tr>
      <w:tr>
        <w:trPr>
          <w:cantSplit/>
          <w:trHeight w:val="595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Eventuale osservazione successiva senza nuovo modello: episodio, intervallo e contesto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2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G7. Non interpretare assenza di risposta o rifiuto come non-stimolabilità. La riuscita in sillaba con un aiuto non implica riuscita in parola, acquisizione o generalizzazione. Nessuna procedura invasiva o esercizio terapeutico è prescritto da questa pagina.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CAMBIAMENTI NELLA PRODUZIONE</w:t>
      </w:r>
    </w:p>
    <w:p>
      <w:pPr>
        <w:pStyle w:val="ARTitle"/>
        <w:keepNext/>
        <w:outlineLvl w:val="0"/>
      </w:pPr>
      <w:bookmarkStart w:id="518" w:name="OFF_S9"/>
      <w:r>
        <w:rPr>
          <w:rFonts w:ascii="Arial" w:hAnsi="Arial" w:cs="Arial" w:eastAsia="Arial"/>
          <w:lang w:val="it-IT"/>
        </w:rPr>
        <w:t>Autocorrezione e modifiche</w:t>
      </w:r>
      <w:bookmarkEnd w:id="518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Conserva la sequenza, non soltanto l’ultima risposta.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01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Episodio ____________________</w:t>
            </w:r>
          </w:p>
        </w:tc>
      </w:tr>
    </w:tbl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Campione / parola / compito:</w:t>
      </w:r>
      <w:r>
        <w:rPr>
          <w:rFonts w:ascii="Arial" w:hAnsi="Arial" w:cs="Arial" w:eastAsia="Arial"/>
          <w:sz w:val="19"/>
          <w:lang w:val="it-IT"/>
        </w:rPr>
        <w:t xml:space="preserve"> 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Prima produzione […] / descrizione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Produzione successiva […] / descrizione</w:t>
            </w:r>
          </w:p>
        </w:tc>
      </w:tr>
      <w:tr>
        <w:trPr>
          <w:cantSplit/>
          <w:trHeight w:val="510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Field"/>
        <w:keepNext w:val="0"/>
        <w:spacing w:after="60"/>
      </w:pPr>
      <w:r>
        <w:rPr>
          <w:rFonts w:ascii="Arial" w:hAnsi="Arial" w:cs="Arial" w:eastAsia="Arial"/>
          <w:b/>
          <w:sz w:val="19"/>
          <w:lang w:val="it-IT"/>
        </w:rPr>
        <w:t>Avvio della modifica:</w:t>
      </w:r>
      <w:r>
        <w:rPr>
          <w:rFonts w:ascii="Arial" w:hAnsi="Arial" w:cs="Arial" w:eastAsia="Arial"/>
          <w:sz w:val="19"/>
          <w:lang w:val="it-IT"/>
        </w:rPr>
        <w:t xml:space="preserve"> □ Senza segnale esterno rilevato  □ Dopo richiesta / feedback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sz w:val="19"/>
          <w:lang w:val="it-IT"/>
        </w:rPr>
        <w:t xml:space="preserve">□ Non determinabile     </w:t>
      </w:r>
      <w:r>
        <w:rPr>
          <w:rFonts w:ascii="Arial" w:hAnsi="Arial" w:cs="Arial" w:eastAsia="Arial"/>
          <w:b/>
          <w:sz w:val="19"/>
          <w:lang w:val="it-IT"/>
        </w:rPr>
        <w:t>Eventuale richiesta / segnale:</w:t>
      </w:r>
      <w:r>
        <w:rPr>
          <w:rFonts w:ascii="Arial" w:hAnsi="Arial" w:cs="Arial" w:eastAsia="Arial"/>
          <w:sz w:val="19"/>
          <w:lang w:val="it-IT"/>
        </w:rPr>
        <w:t xml:space="preserve"> __________________________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Sequenza prima–dopo, supporti, esito e ciò che la persona dice della modifica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8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003C2C"/>
          </w:tcPr>
          <w:p>
            <w:pPr>
              <w:keepNext/>
              <w:spacing w:after="0"/>
            </w:pPr>
            <w:r>
              <w:rPr>
                <w:rFonts w:ascii="Arial" w:hAnsi="Arial" w:cs="Arial" w:eastAsia="Arial"/>
                <w:b/>
                <w:color w:val="FFFFFF"/>
                <w:sz w:val="21"/>
                <w:lang w:val="it-IT"/>
              </w:rPr>
              <w:t>02</w:t>
            </w:r>
          </w:p>
        </w:tc>
        <w:tc>
          <w:tcPr>
            <w:tcW w:type="dxa" w:w="9156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22"/>
                <w:lang w:val="it-IT"/>
              </w:rPr>
              <w:t>Episodio ____________________</w:t>
            </w:r>
          </w:p>
        </w:tc>
      </w:tr>
    </w:tbl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  <w:lang w:val="it-IT"/>
        </w:rPr>
        <w:t>Campione / parola / compito:</w:t>
      </w:r>
      <w:r>
        <w:rPr>
          <w:rFonts w:ascii="Arial" w:hAnsi="Arial" w:cs="Arial" w:eastAsia="Arial"/>
          <w:sz w:val="19"/>
          <w:lang w:val="it-IT"/>
        </w:rPr>
        <w:t xml:space="preserve"> 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Prima produzione […] / descrizione</w:t>
            </w: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rFonts w:ascii="Arial" w:hAnsi="Arial" w:cs="Arial" w:eastAsia="Arial"/>
                <w:lang w:val="it-IT"/>
              </w:rPr>
              <w:t>Produzione successiva […] / descrizione</w:t>
            </w:r>
          </w:p>
        </w:tc>
      </w:tr>
      <w:tr>
        <w:trPr>
          <w:cantSplit/>
          <w:trHeight w:val="510" w:hRule="atLeast"/>
        </w:trPr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  <w:tc>
          <w:tcPr>
            <w:tcW w:type="dxa" w:w="567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Field"/>
        <w:keepNext w:val="0"/>
        <w:spacing w:after="60"/>
      </w:pPr>
      <w:r>
        <w:rPr>
          <w:rFonts w:ascii="Arial" w:hAnsi="Arial" w:cs="Arial" w:eastAsia="Arial"/>
          <w:b/>
          <w:sz w:val="19"/>
          <w:lang w:val="it-IT"/>
        </w:rPr>
        <w:t>Avvio della modifica:</w:t>
      </w:r>
      <w:r>
        <w:rPr>
          <w:rFonts w:ascii="Arial" w:hAnsi="Arial" w:cs="Arial" w:eastAsia="Arial"/>
          <w:sz w:val="19"/>
          <w:lang w:val="it-IT"/>
        </w:rPr>
        <w:t xml:space="preserve"> □ Senza segnale esterno rilevato  □ Dopo richiesta / feedback</w:t>
      </w:r>
    </w:p>
    <w:p>
      <w:pPr>
        <w:pStyle w:val="ARField"/>
        <w:keepNext w:val="0"/>
        <w:spacing w:after="80"/>
      </w:pPr>
      <w:r>
        <w:rPr>
          <w:rFonts w:ascii="Arial" w:hAnsi="Arial" w:cs="Arial" w:eastAsia="Arial"/>
          <w:sz w:val="19"/>
          <w:lang w:val="it-IT"/>
        </w:rPr>
        <w:t xml:space="preserve">□ Non determinabile     </w:t>
      </w:r>
      <w:r>
        <w:rPr>
          <w:rFonts w:ascii="Arial" w:hAnsi="Arial" w:cs="Arial" w:eastAsia="Arial"/>
          <w:b/>
          <w:sz w:val="19"/>
          <w:lang w:val="it-IT"/>
        </w:rPr>
        <w:t>Eventuale richiesta / segnale:</w:t>
      </w:r>
      <w:r>
        <w:rPr>
          <w:rFonts w:ascii="Arial" w:hAnsi="Arial" w:cs="Arial" w:eastAsia="Arial"/>
          <w:sz w:val="19"/>
          <w:lang w:val="it-IT"/>
        </w:rPr>
        <w:t xml:space="preserve"> __________________________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Sequenza prima–dopo, supporti, esito e ciò che la persona dice della modifica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spacing w:after="0" w:before="0" w:line="18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G8. Non inferire consapevolezza dal silenzio. Una ripartenza può modificare il contenuto, non i suoni: distingui le due situazioni. Il tentativo può avvicinarsi al bersaglio o produrre un’altra forma. Se il dato è riferito, indica fonte e periodo nella nota.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CONFRONTO TRA COMPITI</w:t>
      </w:r>
    </w:p>
    <w:p>
      <w:pPr>
        <w:pStyle w:val="ARTitle"/>
        <w:keepNext/>
        <w:outlineLvl w:val="0"/>
      </w:pPr>
      <w:bookmarkStart w:id="519" w:name="OFF_S10"/>
      <w:r>
        <w:rPr>
          <w:rFonts w:ascii="Arial" w:hAnsi="Arial" w:cs="Arial" w:eastAsia="Arial"/>
          <w:lang w:val="it-IT"/>
        </w:rPr>
        <w:t>Spontaneo, denominazione, ripetizione</w:t>
      </w:r>
      <w:bookmarkEnd w:id="519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Pagina ripetibile. Un bersaglio comune, condizioni e fonti ben riconoscibili.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lang w:val="it-IT"/>
        </w:rPr>
        <w:t>Parola / bersaglio:</w:t>
      </w:r>
      <w:r>
        <w:rPr>
          <w:rFonts w:ascii="Arial" w:hAnsi="Arial" w:cs="Arial" w:eastAsia="Arial"/>
          <w:lang w:val="it-IT"/>
        </w:rPr>
        <w:t xml:space="preserve"> _______________________    </w:t>
      </w:r>
      <w:r>
        <w:rPr>
          <w:rFonts w:ascii="Arial" w:hAnsi="Arial" w:cs="Arial" w:eastAsia="Arial"/>
          <w:b/>
          <w:lang w:val="it-IT"/>
        </w:rPr>
        <w:t>Lingua / varietà:</w:t>
      </w:r>
      <w:r>
        <w:rPr>
          <w:rFonts w:ascii="Arial" w:hAnsi="Arial" w:cs="Arial" w:eastAsia="Arial"/>
          <w:lang w:val="it-IT"/>
        </w:rPr>
        <w:t xml:space="preserve"> ________________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Domanda del confronto; parole e condizioni comuni oppure differenze già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1701"/>
        <w:gridCol w:w="2324"/>
        <w:gridCol w:w="3118"/>
        <w:gridCol w:w="2721"/>
      </w:tblGrid>
      <w:tr>
        <w:trPr>
          <w:cantSplit/>
          <w:tblHeader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COMPITO</w:t>
            </w:r>
          </w:p>
        </w:tc>
        <w:tc>
          <w:tcPr>
            <w:tcW w:type="dxa" w:w="2324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CAMPIONE /</w:t>
              <w:br/>
              <w:t>EPISODIO / DATA</w:t>
            </w: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PRODUZIONE […]</w:t>
              <w:br/>
              <w:t>O DESCRIZIONE</w:t>
            </w: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  <w:shd w:fill="F0F5ED"/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b/>
                <w:color w:val="003C2C"/>
                <w:sz w:val="18"/>
                <w:lang w:val="it-IT"/>
              </w:rPr>
              <w:t>MODELLI, AIUTI</w:t>
              <w:br/>
              <w:t>E LIMITI</w:t>
            </w:r>
          </w:p>
        </w:tc>
      </w:tr>
      <w:tr>
        <w:trPr>
          <w:cantSplit/>
          <w:trHeight w:val="879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Spontaneo</w:t>
            </w:r>
          </w:p>
        </w:tc>
        <w:tc>
          <w:tcPr>
            <w:tcW w:type="dxa" w:w="2324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879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Denominazione</w:t>
            </w:r>
          </w:p>
        </w:tc>
        <w:tc>
          <w:tcPr>
            <w:tcW w:type="dxa" w:w="2324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879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Ripetizione</w:t>
            </w:r>
          </w:p>
        </w:tc>
        <w:tc>
          <w:tcPr>
            <w:tcW w:type="dxa" w:w="2324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  <w:tr>
        <w:trPr>
          <w:cantSplit/>
          <w:trHeight w:val="879" w:hRule="atLeast"/>
        </w:trPr>
        <w:tc>
          <w:tcPr>
            <w:tcW w:type="dxa" w:w="170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0"/>
                <w:lang w:val="it-IT"/>
              </w:rPr>
              <w:t>Altro:</w:t>
              <w:br/>
              <w:t>____________</w:t>
            </w:r>
          </w:p>
        </w:tc>
        <w:tc>
          <w:tcPr>
            <w:tcW w:type="dxa" w:w="2324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3118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  <w:tc>
          <w:tcPr>
            <w:tcW w:type="dxa" w:w="2721"/>
            <w:vAlign w:val="top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keepNext w:val="0"/>
              <w:spacing w:after="0"/>
            </w:pP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Ordine temporale, modelli precedenti, intervalli e familiarità con il materiale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Differenze realmente osservate e aspetti che impediscono di attribuirle al solo compito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10" w:type="dxa"/>
              <w:start w:w="135" w:type="dxa"/>
              <w:bottom w:w="9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rFonts w:ascii="Arial" w:hAnsi="Arial" w:cs="Arial" w:eastAsia="Arial"/>
                <w:lang w:val="it-IT"/>
              </w:rPr>
              <w:t>Una mancata risposta non è un errore fonetico</w:t>
            </w:r>
          </w:p>
          <w:p>
            <w:pPr>
              <w:keepNext w:val="0"/>
              <w:spacing w:after="0"/>
            </w:pPr>
            <w:r>
              <w:rPr>
                <w:rFonts w:ascii="Arial" w:hAnsi="Arial" w:cs="Arial" w:eastAsia="Arial"/>
                <w:sz w:val="21"/>
                <w:lang w:val="it-IT"/>
              </w:rPr>
              <w:t>In denominazione, una parola diversa, un’incertezza sul nome o nessuna risposta non dimostrano di per sé un errore articolatorio. Conserva l’esito del compito, senza attribuire al bersaglio una produzione non ascoltata. Non imporre attività non accessibili.</w:t>
            </w:r>
          </w:p>
        </w:tc>
      </w:tr>
    </w:tbl>
    <w:p>
      <w:pPr>
        <w:spacing w:after="0" w:before="0" w:line="12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Guida: G8–G9. Se mancano un compito o un campione, scrivi “Non esplorato”, “Non osservabile” o “Non pertinente”, con motivo. Non attribuire automaticamente le differenze a una causa motorio-linguistica. Per riproduzioni nello stesso compito usa S7.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  <w:lang w:val="it-IT"/>
        </w:rPr>
        <w:t>SCHEDA / SINTESI QUALITATIVA</w:t>
      </w:r>
    </w:p>
    <w:p>
      <w:pPr>
        <w:pStyle w:val="ARTitle"/>
        <w:keepNext/>
        <w:outlineLvl w:val="0"/>
      </w:pPr>
      <w:bookmarkStart w:id="520" w:name="OFF_S11"/>
      <w:r>
        <w:rPr>
          <w:rFonts w:ascii="Arial" w:hAnsi="Arial" w:cs="Arial" w:eastAsia="Arial"/>
          <w:lang w:val="it-IT"/>
        </w:rPr>
        <w:t>Profilo e aspetti da approfondire</w:t>
      </w:r>
      <w:bookmarkEnd w:id="520"/>
    </w:p>
    <w:p>
      <w:pPr>
        <w:pStyle w:val="ARSubtitle"/>
        <w:keepNext w:val="0"/>
        <w:spacing w:after="200"/>
      </w:pPr>
      <w:r>
        <w:rPr>
          <w:rFonts w:ascii="Arial" w:hAnsi="Arial" w:cs="Arial" w:eastAsia="Arial"/>
          <w:lang w:val="it-IT"/>
        </w:rPr>
        <w:t>Una conclusione ancorata ai campioni, senza punteggi o classificazioni automatiche.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Codice persona:</w:t>
      </w:r>
      <w:r>
        <w:rPr>
          <w:rFonts w:ascii="Arial" w:hAnsi="Arial" w:cs="Arial" w:eastAsia="Arial"/>
          <w:lang w:val="it-IT"/>
        </w:rPr>
        <w:t xml:space="preserve"> _____________________    </w:t>
      </w:r>
      <w:r>
        <w:rPr>
          <w:rFonts w:ascii="Arial" w:hAnsi="Arial" w:cs="Arial" w:eastAsia="Arial"/>
          <w:b/>
          <w:lang w:val="it-IT"/>
        </w:rPr>
        <w:t>Data/e:</w:t>
      </w:r>
      <w:r>
        <w:rPr>
          <w:rFonts w:ascii="Arial" w:hAnsi="Arial" w:cs="Arial" w:eastAsia="Arial"/>
          <w:lang w:val="it-IT"/>
        </w:rPr>
        <w:t xml:space="preserve"> _____________________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20"/>
          <w:lang w:val="it-IT"/>
        </w:rPr>
        <w:t>Campioni / periodo considerati:</w:t>
      </w:r>
      <w:r>
        <w:rPr>
          <w:rFonts w:ascii="Arial" w:hAnsi="Arial" w:cs="Arial" w:eastAsia="Arial"/>
          <w:sz w:val="20"/>
          <w:lang w:val="it-IT"/>
        </w:rPr>
        <w:t xml:space="preserve"> __________________________________________________</w:t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Risorse: suoni, strutture e condizioni in cui le produzioni sono documentate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68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Differenze osservate: corrispondenze, ricorrenze, posizioni e relativi esempi / eccezioni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709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Variabilità, stimolabilità, autocorrezione e differenze tra compiti: evidenze e supporti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709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Limiti: copertura dei campioni, incertezze, riferimenti linguistici e fonti soltanto riferite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Label"/>
        <w:keepNext/>
        <w:spacing w:after="20"/>
      </w:pPr>
      <w:r>
        <w:rPr>
          <w:rFonts w:ascii="Arial" w:hAnsi="Arial" w:cs="Arial" w:eastAsia="Arial"/>
          <w:lang w:val="it-IT"/>
        </w:rPr>
        <w:t>Aspetti da approfondire e prossimi passi decisi dal professionista con la persona / caregiver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CCD7CC"/>
          <w:right w:val="nil"/>
          <w:insideH w:val="single" w:sz="4" w:color="CCD7CC"/>
          <w:insideV w:val="nil"/>
        </w:tblBorders>
      </w:tblPr>
      <w:tblGrid>
        <w:gridCol w:w="9865"/>
      </w:tblGrid>
      <w:tr>
        <w:trPr>
          <w:cantSplit/>
          <w:trHeight w:val="709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spacing w:after="0" w:before="0" w:line="100" w:lineRule="exact"/>
      </w:pPr>
      <w:r>
        <w:rPr>
          <w:rFonts w:ascii="Arial" w:hAnsi="Arial" w:cs="Arial" w:eastAsia="Arial"/>
          <w:sz w:val="2"/>
          <w:lang w:val="it-IT"/>
        </w:rPr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  <w:lang w:val="it-IT"/>
        </w:rPr>
        <w:t>Professionista / firma:</w:t>
      </w:r>
      <w:r>
        <w:rPr>
          <w:rFonts w:ascii="Arial" w:hAnsi="Arial" w:cs="Arial" w:eastAsia="Arial"/>
          <w:lang w:val="it-IT"/>
        </w:rPr>
        <w:t xml:space="preserve"> __________________________    </w:t>
      </w:r>
      <w:r>
        <w:rPr>
          <w:rFonts w:ascii="Arial" w:hAnsi="Arial" w:cs="Arial" w:eastAsia="Arial"/>
          <w:b/>
          <w:lang w:val="it-IT"/>
        </w:rPr>
        <w:t>Data:</w:t>
      </w:r>
      <w:r>
        <w:rPr>
          <w:rFonts w:ascii="Arial" w:hAnsi="Arial" w:cs="Arial" w:eastAsia="Arial"/>
          <w:lang w:val="it-IT"/>
        </w:rPr>
        <w:t xml:space="preserve"> ___________________</w:t>
      </w:r>
    </w:p>
    <w:p>
      <w:pPr>
        <w:pStyle w:val="ARSmall"/>
        <w:keepNext w:val="0"/>
        <w:spacing w:after="0"/>
      </w:pPr>
      <w:r>
        <w:rPr>
          <w:rFonts w:ascii="Arial" w:hAnsi="Arial" w:cs="Arial" w:eastAsia="Arial"/>
          <w:lang w:val="it-IT"/>
        </w:rPr>
        <w:t>Strumento osservativo non standardizzato, non sostitutivo di test articolatori. Le ricorrenze sono ipotesi descrittive circoscritte, non diagnosi. Per intelligibilità e impatto comunicativo, documentare separatamente o richiamare il Profilo di intelligibilità del parlato ARMONIA, senza attribuire punteggi dall’OFF.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211" w:right="1020" w:bottom="1020" w:left="1020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OFF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G</w:t>
          </w:r>
          <w:fldSimple w:instr="PAGE">
            <w:r>
              <w:t>1</w:t>
            </w:r>
          </w:fldSimple>
          <w:r>
            <w:t xml:space="preserve"> / 10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OFF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S</w:t>
          </w:r>
          <w:fldSimple w:instr="PAGE">
            <w:r>
              <w:t>1</w:t>
            </w:r>
          </w:fldSimple>
          <w:r>
            <w:t xml:space="preserve"> / 11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GUIDA ALLO STRUMENTO · OFF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SCHEDA OPERATIVA · OFF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rial" w:hAnsi="Arial"/>
      <w:color w:val="24332D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C2C"/>
      <w:sz w:val="56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C2C"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C2C"/>
      <w:sz w:val="22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lang w:val="it-I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lang w:val="it-I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lang w:val="it-I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lang w:val="it-I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  <w:lang w:val="it-I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lang w:val="it-I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lang w:val="it-I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lang w:val="it-I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lang w:val="it-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lang w:val="it-I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lang w:val="it-I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lang w:val="it-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lang w:val="it-I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lang w:val="it-I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lang w:val="it-I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lang w:val="it-I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lang w:val="it-I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  <w:lang w:val="it-I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val="000000" w:themeColor="text1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  <w:lang w:val="it-I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lang w:val="it-I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Eyebrow">
    <w:name w:val="AR Eyebrow"/>
    <w:basedOn w:val="Normal"/>
    <w:pPr>
      <w:keepNext/>
      <w:widowControl/>
      <w:spacing w:before="0" w:after="160" w:line="269" w:lineRule="auto"/>
    </w:pPr>
    <w:rPr>
      <w:rFonts w:ascii="Arial" w:hAnsi="Arial"/>
      <w:b/>
      <w:color w:val="2F694B"/>
      <w:sz w:val="17"/>
      <w:lang w:val="it-IT"/>
    </w:rPr>
  </w:style>
  <w:style w:type="paragraph" w:customStyle="1" w:styleId="ARTitle">
    <w:name w:val="AR Title"/>
    <w:basedOn w:val="Normal"/>
    <w:pPr>
      <w:keepNext/>
      <w:widowControl/>
      <w:spacing w:before="0" w:after="160" w:line="269" w:lineRule="auto"/>
      <w:outlineLvl w:val="0"/>
    </w:pPr>
    <w:rPr>
      <w:rFonts w:ascii="Arial" w:hAnsi="Arial"/>
      <w:b w:val="0"/>
      <w:color w:val="003C2C"/>
      <w:sz w:val="56"/>
      <w:lang w:val="it-IT"/>
    </w:rPr>
  </w:style>
  <w:style w:type="paragraph" w:customStyle="1" w:styleId="ARSubtitle">
    <w:name w:val="AR Subtitle"/>
    <w:basedOn w:val="Normal"/>
    <w:pPr>
      <w:keepNext w:val="0"/>
      <w:widowControl/>
      <w:spacing w:before="0" w:after="240" w:line="269" w:lineRule="auto"/>
    </w:pPr>
    <w:rPr>
      <w:rFonts w:ascii="Arial" w:hAnsi="Arial"/>
      <w:b w:val="0"/>
      <w:color w:val="526359"/>
      <w:sz w:val="24"/>
      <w:lang w:val="it-IT"/>
    </w:rPr>
  </w:style>
  <w:style w:type="paragraph" w:customStyle="1" w:styleId="ARSection">
    <w:name w:val="AR Section"/>
    <w:basedOn w:val="Normal"/>
    <w:pPr>
      <w:keepNext/>
      <w:widowControl/>
      <w:spacing w:before="160" w:after="100" w:line="269" w:lineRule="auto"/>
      <w:outlineLvl w:val="1"/>
    </w:pPr>
    <w:rPr>
      <w:rFonts w:ascii="Arial" w:hAnsi="Arial"/>
      <w:b/>
      <w:color w:val="003C2C"/>
      <w:sz w:val="26"/>
      <w:lang w:val="it-IT"/>
    </w:rPr>
  </w:style>
  <w:style w:type="paragraph" w:customStyle="1" w:styleId="ARSmall">
    <w:name w:val="AR Small"/>
    <w:basedOn w:val="Normal"/>
    <w:pPr>
      <w:keepNext w:val="0"/>
      <w:widowControl/>
      <w:spacing w:before="0" w:after="100" w:line="269" w:lineRule="auto"/>
    </w:pPr>
    <w:rPr>
      <w:rFonts w:ascii="Arial" w:hAnsi="Arial"/>
      <w:b w:val="0"/>
      <w:color w:val="526359"/>
      <w:sz w:val="18"/>
      <w:lang w:val="it-IT"/>
    </w:rPr>
  </w:style>
  <w:style w:type="paragraph" w:customStyle="1" w:styleId="ARLabel">
    <w:name w:val="AR Label"/>
    <w:basedOn w:val="Normal"/>
    <w:pPr>
      <w:keepNext/>
      <w:widowControl/>
      <w:spacing w:before="0" w:after="80" w:line="269" w:lineRule="auto"/>
    </w:pPr>
    <w:rPr>
      <w:rFonts w:ascii="Arial" w:hAnsi="Arial"/>
      <w:b/>
      <w:color w:val="003C2C"/>
      <w:sz w:val="18"/>
      <w:lang w:val="it-IT"/>
    </w:rPr>
  </w:style>
  <w:style w:type="paragraph" w:customStyle="1" w:styleId="ARPlaceholder">
    <w:name w:val="AR Placeholder"/>
    <w:basedOn w:val="Normal"/>
    <w:pPr>
      <w:keepNext w:val="0"/>
      <w:widowControl/>
      <w:spacing w:before="0" w:after="120" w:line="269" w:lineRule="auto"/>
    </w:pPr>
    <w:rPr>
      <w:rFonts w:ascii="Arial" w:hAnsi="Arial"/>
      <w:b w:val="0"/>
      <w:color w:val="6B6252"/>
      <w:sz w:val="22"/>
    </w:rPr>
  </w:style>
  <w:style w:type="paragraph" w:customStyle="1" w:styleId="ARFooter">
    <w:name w:val="AR Footer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526359"/>
      <w:sz w:val="16"/>
      <w:lang w:val="it-IT"/>
    </w:rPr>
  </w:style>
  <w:style w:type="paragraph" w:customStyle="1" w:styleId="ARField">
    <w:name w:val="AR Field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24332D"/>
      <w:sz w:val="20"/>
      <w:lang w:val="it-I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4" Type="http://schemas.openxmlformats.org/officeDocument/2006/relationships/hyperlink" Target="https://www.asha.org/practice-portal/resources/assessment-tools-techniques-and-data-sources/" TargetMode="External"/><Relationship Id="rId15" Type="http://schemas.openxmlformats.org/officeDocument/2006/relationships/hyperlink" Target="https://www.asha.org/practice-portal/professional-issues/augmentative-and-alternative-communication/" TargetMode="External"/><Relationship Id="rId16" Type="http://schemas.openxmlformats.org/officeDocument/2006/relationships/hyperlink" Target="https://www.asha.org/practice-portal/clinical-topics/autism/" TargetMode="External"/><Relationship Id="rId18" Type="http://schemas.openxmlformats.org/officeDocument/2006/relationships/hyperlink" Target="https://www.asha.org/practice-portal/clinical-topics/social-communication-disorder/" TargetMode="External"/><Relationship Id="rId19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www.asha.org/practice-portal/clinical-topics/articulation-and-phonology/" TargetMode="External"/><Relationship Id="rId17" Type="http://schemas.openxmlformats.org/officeDocument/2006/relationships/hyperlink" Target="https://www.asha.org/practice-portal/clinical-topics/dysarthria-in-adults/" TargetMode="External"/><Relationship Id="rId20" Type="http://schemas.openxmlformats.org/officeDocument/2006/relationships/hyperlink" Target="https://www.asha.org/practice-portal/professional-issues/multilingual-service-delivery/" TargetMode="External"/><Relationship Id="rId21" Type="http://schemas.openxmlformats.org/officeDocument/2006/relationships/hyperlink" Target="https://www.asha.org/practice-portal/clinical-topics/childhood-apraxia-of-speech/" TargetMode="External"/><Relationship Id="rId22" Type="http://schemas.openxmlformats.org/officeDocument/2006/relationships/hyperlink" Target="https://www.asha.org/practice-portal/clinical-topics/acquired-apraxia-of-speech/" TargetMode="External"/><Relationship Id="rId23" Type="http://schemas.openxmlformats.org/officeDocument/2006/relationships/hyperlink" Target="https://www.internationalphoneticassociation.org/content/ipa-char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ARMONIA — Osservazione fonetico-fonologica qualitativa</dc:title>
  <dc:subject>OFF v1.0 · Guida allo strumento e scheda operativa</dc:subject>
  <dc:creator>ARMONIA</dc:creator>
  <cp:keywords>ARMONIA; OFF; fonetica; fonologia; osservazione qualitativa; v1.0</cp:keywords>
  <dc:description>Edizione editoriale 03/10/2026. Strumento osservativo non standardizzato.</dc:description>
  <cp:lastModifiedBy>ARMONIA</cp:lastModifiedBy>
  <cp:revision>1</cp:revision>
  <dcterms:created xsi:type="dcterms:W3CDTF">2026-10-03T12:00:00Z</dcterms:created>
  <dcterms:modified xsi:type="dcterms:W3CDTF">2026-10-03T12:00:00Z</dcterms:modified>
  <cp:category>Schede osservative e di monitoraggio</cp:category>
  <dc:language>it-IT</dc:language>
  <cp:version>1.0</cp:version>
</cp:coreProperties>
</file>