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Eyebrow"/>
        <w:keepNext/>
      </w:pPr>
      <w:r>
        <w:t>GUIDA / PRESENTAZIONE</w:t>
      </w:r>
    </w:p>
    <w:p>
      <w:pPr>
        <w:pStyle w:val="ARTitle"/>
        <w:keepNext/>
      </w:pPr>
      <w:r>
        <w:t>Osservazione del pasto</w:t>
        <w:br/>
        <w:t>e delle abilità alimentari</w:t>
      </w:r>
    </w:p>
    <w:p>
      <w:pPr>
        <w:pStyle w:val="ARSubtitle"/>
        <w:keepNext w:val="0"/>
      </w:pPr>
      <w:r>
        <w:t>ARMONIA · OPA v1.0 · Edizione editoriale del 03/10/2026</w:t>
      </w:r>
    </w:p>
    <w:p>
      <w:pPr>
        <w:keepNext w:val="0"/>
      </w:pPr>
      <w:r>
        <w:t>Una raccolta strutturata per descrivere il pasto nelle sue condizioni reali: ambiente, partecipazione, alimenti, azioni visibili e informazioni della persona o di chi la assiste.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Per chi e in quali situazioni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Per logopedisti con competenze pertinenti all’età e alla situazione clinica, nell’ambito del lavoro del servizio e dell’équipe. La scheda può organizzare osservazioni di bambini, adolescenti e adulti durante pasti già previsti; non stabilisce aspettative uguali per tutte le età.</w:t>
      </w:r>
    </w:p>
    <w:p>
      <w:pPr>
        <w:keepNext w:val="0"/>
      </w:pPr>
      <w:r>
        <w:rPr>
          <w:sz w:val="21"/>
        </w:rPr>
        <w:t>La versione OPA non è un protocollo per allattamento, suzione nutritiva neonatale, gestione del biberon, nutrizione enterale o somministrazione di farmaci. Questi aspetti possono essere richiamati come contesto, ma richiedono percorsi specifici.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Scheda osservativa non standardizzata — non è una diagnosi di disfagia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Non sostituisce valutazione clinica completa, valutazioni strumentali quando indicate o protocolli validati. Non attesta la sicurezza della deglutizione, non autorizza l’alimentazione orale e non prescrive consistenze, volumi, posture o manovre. Nessun punteggio, soglia o risultato automatico.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Come è organizzata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Guida G1–G11.</w:t>
      </w:r>
      <w:r>
        <w:rPr>
          <w:sz w:val="21"/>
        </w:rPr>
        <w:t xml:space="preserve"> Uso, limiti, spiegazioni, esempi fittizi e fonti. Leggere G3 prima dell’osservazione.</w:t>
      </w:r>
    </w:p>
    <w:p>
      <w:pPr>
        <w:keepNext w:val="0"/>
      </w:pPr>
      <w:r>
        <w:rPr>
          <w:b/>
          <w:sz w:val="21"/>
        </w:rPr>
        <w:t>Scheda S1–S12.</w:t>
      </w:r>
      <w:r>
        <w:rPr>
          <w:sz w:val="21"/>
        </w:rPr>
        <w:t xml:space="preserve"> Contesto, panoramica, registri selezionabili e sintesi. S10 documenta eventi, interruzioni e azioni: non è una scheda di triage.</w:t>
      </w:r>
    </w:p>
    <w:p>
      <w:pPr>
        <w:pStyle w:val="ARSmall"/>
        <w:keepNext w:val="0"/>
      </w:pPr>
      <w:r>
        <w:t>Le fonti orientano i principi generali; non validano questi campi originali. Stato editoriale e limiti della revisione: G11.</w:t>
      </w:r>
    </w:p>
    <w:p>
      <w:pPr>
        <w:pStyle w:val="AREyebrow"/>
        <w:keepNext/>
        <w:pageBreakBefore/>
      </w:pPr>
      <w:r>
        <w:t>GUIDA / MODALITÀ D’USO</w:t>
      </w:r>
    </w:p>
    <w:p>
      <w:pPr>
        <w:pStyle w:val="ARTitle"/>
        <w:keepNext/>
      </w:pPr>
      <w:r>
        <w:t>Osservare, non provocare una prova</w:t>
      </w:r>
    </w:p>
    <w:p>
      <w:pPr>
        <w:pStyle w:val="ARSubtitle"/>
        <w:keepNext w:val="0"/>
      </w:pPr>
      <w:r>
        <w:t>Le pagine organizzano una raccolta professionale: non sono una sequenza di somministrazione.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Prima del pasto · S1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Definisci la domanda; consulta le indicazioni cliniche e alimentari disponibili, incluse limitazioni, allergie e assistenza prevista. Se l’alimentazione orale non è prevista, non è chiarita o vi sono nuovi dubbi clinici, non introdurre assaggi per compilare OPA: raccogli le fonti e confrontati con il referente.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Identifica pasto e alimenti · S1, S3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Attribuisci un codice al pasto (P01) e agli alimenti o bevande presenti (A01, A02). Mantieni preparazioni e supporti previsti, senza ampliare consistenze, porzioni o richieste per “vedere come va”. La sola familiarità di un alimento non ne certifica l’appropriatezza attuale.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03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Raccogli episodi e fonti · S4–S10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Descrivi ciò che accade con attività, momento e aiuto effettivo. Un codice episodio E01 permette di richiamare la stessa evidenza. L’eventuale registrazione non equivale all’osservazione dal vivo: segnala inquadratura, audio e parti mancanti.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04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Ritorna alla panoramica · S2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Scrivi una nota nelle aree esplorate. Puoi richiamare P01/A01/E01; non devi completare tutte le aree. Un evento rilevante richiede prima l’azione appropriata, non il completamento delle caselle.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05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Concludi e condividi · S12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Riporta risorse, bisogni, limiti e domande aperte. Registra chi è stato informato, che cosa va approfondito e chi se ne occupa. Le decisioni cliniche appartengono al percorso professionale, non al risultato della scheda.</w:t>
      </w:r>
    </w:p>
    <w:p>
      <w:pPr>
        <w:pStyle w:val="ARSmall"/>
        <w:keepNext w:val="0"/>
      </w:pPr>
      <w:r>
        <w:t>I codici sono soltanto riferimenti documentali: non sono punteggi. Per lo stesso pasto mantieni gli stessi codici anche sulle pagine duplicate. Audio/video sono facoltativi e vanno gestiti secondo le procedure del servizio, senza link pubblici nei campi.</w:t>
      </w:r>
    </w:p>
    <w:p>
      <w:pPr>
        <w:pStyle w:val="AREyebrow"/>
        <w:keepNext/>
        <w:pageBreakBefore/>
      </w:pPr>
      <w:r>
        <w:t>GUIDA / LIMITI CLINICI E INTERRUZIONI</w:t>
      </w:r>
    </w:p>
    <w:p>
      <w:pPr>
        <w:pStyle w:val="ARTitle"/>
        <w:keepNext/>
      </w:pPr>
      <w:r>
        <w:t>La sicurezza viene prima della scheda</w:t>
      </w:r>
    </w:p>
    <w:p>
      <w:pPr>
        <w:pStyle w:val="ARSubtitle"/>
        <w:keepNext w:val="0"/>
      </w:pPr>
      <w:r>
        <w:t>Indicazioni di prudenza per l’uso di OPA, non un algoritmo di triage o un manuale di primo soccorso.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L’assenza di tosse non esclude l’aspirazione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L’aspirazione può avvenire senza segni evidenti. Anche tosse o cambiamenti vocali, da soli, non ne dimostrano la presenza. La verifica dell’aspirazione e l’analisi della fisiologia deglutitoria richiedono approfondimenti appropriati, inclusi esami strumentali quando indicati. [1, 2]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Non avviare o proseguire per completare i campi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Rispetta le indicazioni vigenti e la volontà della persona. Un divieto di assunzione orale, informazioni cliniche essenziali non chiarite o condizioni nuove preoccupanti non si superano con una prova alimentare. Non somministrare acqua, nuovi cibi, quantità crescenti o consistenze diverse come verifica di sicurezza.</w:t>
      </w:r>
    </w:p>
    <w:p>
      <w:pPr>
        <w:keepNext w:val="0"/>
      </w:pPr>
      <w:r>
        <w:rPr>
          <w:sz w:val="21"/>
        </w:rPr>
        <w:t>Se durante l’assunzione compaiono segni nuovi o preoccupanti, interrompi l’offerta e attiva il referente clinico secondo piano e procedure del servizio. Non riprendere con un altro alimento “per provare”. Rifiuto o richiesta di pausa vanno rispettati: non sono automaticamente un’emergenza.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In caso di emergenza, agisci prima di documentare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Una difficoltà respiratoria acuta importante, un sospetto soffocamento con respiro o tosse inefficaci, alterazioni marcate del colorito o della coscienza richiedono l’attivazione immediata dei soccorsi e delle procedure di emergenza del setting. L’elenco non è esaustivo. Non attendere di compilare OPA e non usarla per decidere le manovre di soccorso. 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03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Registra fatti, interventi e passaggio delle informazioni · S10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Annota momento, alimento, segno concreto, cambiamento rispetto alla situazione iniziale, azioni, persone contattate e risposta ricevuta. Tosse, voce modificata, dolore, residui o affaticamento sono osservazioni da contestualizzare, non diagnosi. [1, 2]</w:t>
      </w:r>
    </w:p>
    <w:p>
      <w:pPr>
        <w:pStyle w:val="ARSmall"/>
        <w:keepNext w:val="0"/>
      </w:pPr>
      <w:r>
        <w:t>Anche senza segni durante il campione, difficoltà persistenti riferite, riduzione dell’apporto, problemi di crescita o calo ponderale, disidratazione sospetta o episodi respiratori ricorrenti richiedono attenzione clinica appropriata. Non attendere un punteggio OPA, che non esiste. [1, 2]</w:t>
      </w:r>
    </w:p>
    <w:p>
      <w:pPr>
        <w:pStyle w:val="AREyebrow"/>
        <w:keepNext/>
        <w:pageBreakBefore/>
      </w:pPr>
      <w:r>
        <w:t>GUIDA / FONTI E ALIMENTI · S1–S3</w:t>
      </w:r>
    </w:p>
    <w:p>
      <w:pPr>
        <w:pStyle w:val="ARTitle"/>
        <w:keepNext/>
      </w:pPr>
      <w:r>
        <w:t>Sapere che cosa è stato osservato</w:t>
      </w:r>
    </w:p>
    <w:p>
      <w:pPr>
        <w:pStyle w:val="ARSubtitle"/>
        <w:keepNext w:val="0"/>
      </w:pPr>
      <w:r>
        <w:t>Prima di descrivere un’abilità, identifica fonte, alimento e condizioni effettive.</w:t>
      </w:r>
    </w:p>
    <w:p>
      <w:pPr>
        <w:keepNext w:val="0"/>
      </w:pPr>
      <w:r>
        <w:rPr>
          <w:b/>
          <w:sz w:val="21"/>
        </w:rPr>
        <w:t>Fonti distinte.</w:t>
      </w:r>
      <w:r>
        <w:rPr>
          <w:sz w:val="21"/>
        </w:rPr>
        <w:t xml:space="preserve"> Usa “Diretta dal vivo”, “Diretta da registrazione”, “Riferita dalla persona”, “Riferita dal caregiver” o “Documentale”. Specifica data, autore e periodo. Il resoconto di un altro pasto non diventa un evento osservato oggi.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SITUAZIONE</w:t>
            </w:r>
          </w:p>
        </w:tc>
        <w:tc>
          <w:tcPr>
            <w:tcW w:type="dxa" w:w="75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COME SCRIVERLA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Non esplorato</w:t>
            </w:r>
          </w:p>
        </w:tc>
        <w:tc>
          <w:tcPr>
            <w:tcW w:type="dxa" w:w="75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La voce non è stata indagata; puoi lasciarla vuota o dichiararlo. Non significa abilità assente.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Non osservabile</w:t>
            </w:r>
          </w:p>
        </w:tc>
        <w:tc>
          <w:tcPr>
            <w:tcW w:type="dxa" w:w="75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Indica perché: visibilità insufficiente, alimento non presente, interruzione o altra limitazione.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Non pertinente</w:t>
            </w:r>
          </w:p>
        </w:tc>
        <w:tc>
          <w:tcPr>
            <w:tcW w:type="dxa" w:w="75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La voce non riguarda la domanda o il pasto attuale; non è un livello di abilità.</w:t>
            </w:r>
          </w:p>
        </w:tc>
      </w:tr>
      <w:tr>
        <w:trPr>
          <w:cantSplit/>
          <w:trHeight w:val="408" w:hRule="atLeast"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Evidenza disponibile</w:t>
            </w:r>
          </w:p>
        </w:tc>
        <w:tc>
          <w:tcPr>
            <w:tcW w:type="dxa" w:w="75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Descrivi azione, contesto, supporti e fonte. “Non rilevato” va circoscritto a cosa e quando hai osservato.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A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Descrizione di alimenti e bevande · S3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sz w:val="21"/>
        </w:rPr>
        <w:t>Registra denominazione, preparazione, componenti, eventuali parti solide/liquide insieme, forma e dimensioni osservate, temperatura rilevata o riferita, utensile e presentazione. “Morbido”, “liquido” o “cremoso” sono descrizioni, non attestazioni di conformità o sicurezza.</w:t>
      </w:r>
    </w:p>
    <w:p>
      <w:pPr>
        <w:keepNext w:val="0"/>
      </w:pPr>
      <w:r>
        <w:rPr>
          <w:b/>
          <w:sz w:val="21"/>
        </w:rPr>
        <w:t>Quantità.</w:t>
      </w:r>
      <w:r>
        <w:rPr>
          <w:sz w:val="21"/>
        </w:rPr>
        <w:t xml:space="preserve"> Distingui offerto, rimasto, disperso e apparentemente assunto; specifica se sono misure, stime o resoconti. La scomparsa dalla bocca o dal piatto non dimostra che tutto sia stato deglutito; non ricavare automaticamente adeguatezza nutrizionale o idrica.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IDDSI: solo un eventuale riferimento esterno documentato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OPA non applica i test IDDSI e non assegna livelli dall’aspetto del cibo. Se riporti un livello, identifica separatamente la sua fonte: piano, etichetta o verifica documentata, con data e riferimento disponibili. Il livello previsto dal piano non prova che quella preparazione sia stata verificata. Per lo standard e le risorse ufficiali, consultare IDDSI. [3]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La descrizione di una preparazione in OPA non è una ricetta, un’indicazione dietetica o un consiglio su dimensioni adatte a una persona.</w:t>
      </w:r>
    </w:p>
    <w:p>
      <w:pPr>
        <w:pStyle w:val="AREyebrow"/>
        <w:keepNext/>
        <w:pageBreakBefore/>
      </w:pPr>
      <w:r>
        <w:t>GUIDA / SETTING E AUTONOMIA · S4</w:t>
      </w:r>
    </w:p>
    <w:p>
      <w:pPr>
        <w:pStyle w:val="ARTitle"/>
        <w:keepNext/>
      </w:pPr>
      <w:r>
        <w:t>Postura, ambiente e accesso al pasto</w:t>
      </w:r>
    </w:p>
    <w:p>
      <w:pPr>
        <w:pStyle w:val="ARSubtitle"/>
        <w:keepNext w:val="0"/>
      </w:pPr>
      <w:r>
        <w:t>Descrivi la configurazione reale e ciò che la persona fa con i supporti disponibili.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Postura e setting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Come la persona è sistemata e raggiunge cibo, bevande e interlocutori; quali elementi ambientali accompagnano l’episodio.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Seduta, appoggi di piedi, bacino, tronco e capo per quanto visibile; tavolo, distanza dagli oggetti, illuminazione, rumore e persone presenti. Segna eventuali cambiamenti e chi li ha effettuati.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P01: seduta abituale con appoggio del tronco; il piatto è raggiunto senza spostarlo. Dopo alcuni minuti il tronco si inclina e il caregiver interviene secondo il piano già documentato.</w:t>
      </w:r>
    </w:p>
    <w:p>
      <w:pPr>
        <w:pStyle w:val="ARSmall"/>
        <w:keepNext w:val="0"/>
      </w:pPr>
      <w:r>
        <w:t>Limite di lettura — La scheda non identifica una postura universalmente corretta e non prescrive posizioni compensatorie. Non modificare gli appoggi soltanto per creare un confronto.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Autonomia, utensili e assistenza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Azioni specifiche: prendere o tenere il contenitore, caricare l’utensile, portarlo alla bocca, scegliere, chiedere aiuto, regolare una pausa.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Utensile abituale o adattato, azione iniziata dalla persona, preparazione dell’ambiente, aiuto verbale o fisico effettivamente fornito e risposta. Distingui scegliere da eseguire il movimento.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La persona tiene il cucchiaio; il caregiver stabilizza il piatto. Il trasporto alla bocca è avviato dalla persona. Il supporto riguarda il piatto, non tutta la sequenza.</w:t>
      </w:r>
    </w:p>
    <w:p>
      <w:pPr>
        <w:pStyle w:val="ARSmall"/>
        <w:keepNext w:val="0"/>
      </w:pPr>
      <w:r>
        <w:t>Limite di lettura — Non assegnare un grado globale di dipendenza. Un ausilio può consentire autonomia; la sua presenza non è un errore.</w:t>
      </w:r>
    </w:p>
    <w:p>
      <w:pPr>
        <w:spacing w:after="0" w:before="0" w:line="80" w:lineRule="exact"/>
      </w:pPr>
      <w:r>
        <w:rPr>
          <w:sz w:val="2"/>
        </w:rPr>
      </w:r>
    </w:p>
    <w:p>
      <w:pPr>
        <w:pStyle w:val="ARSmall"/>
        <w:keepNext w:val="0"/>
      </w:pPr>
      <w:r>
        <w:t>La valutazione del pasto considera anche ambiente, posizionamento e attrezzature abituali; OPA ne raccoglie soltanto una descrizione contestuale. [1, 2]</w:t>
      </w:r>
    </w:p>
    <w:p>
      <w:pPr>
        <w:pStyle w:val="AREyebrow"/>
        <w:keepNext/>
        <w:pageBreakBefore/>
      </w:pPr>
      <w:r>
        <w:t>GUIDA / ACCETTAZIONE E REPERTORIO · S5</w:t>
      </w:r>
    </w:p>
    <w:p>
      <w:pPr>
        <w:pStyle w:val="ARTitle"/>
        <w:keepNext/>
      </w:pPr>
      <w:r>
        <w:t>Accettazione, esplorazione e preferenze</w:t>
      </w:r>
    </w:p>
    <w:p>
      <w:pPr>
        <w:pStyle w:val="ARSubtitle"/>
        <w:keepNext w:val="0"/>
      </w:pPr>
      <w:r>
        <w:t>Il pasto non è una prova di obbedienza; il contatto con il cibo non obbliga all’assunzione.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03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Accettazione ed esplorazione sensoriale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Azioni rivolte al cibo già presente: guardare, avvicinare, toccare, annusare, assaggiare, assumere, allontanare o rifiutare. Sono possibilità descrittive, non passi obbligati.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Alimento A__, situazione precedente, azione concreta, segnali di consenso, disagio o richiesta di pausa e risposta del partner. Distingui un’azione spontanea da una proposta.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Davanti ad A02 la persona avvicina il piatto, tocca il bordo e poi lo allontana. Il caregiver accoglie il gesto. Nessun assaggio viene richiesto per completare la voce.</w:t>
      </w:r>
    </w:p>
    <w:p>
      <w:pPr>
        <w:pStyle w:val="ARSmall"/>
        <w:keepNext w:val="0"/>
      </w:pPr>
      <w:r>
        <w:t>Limite di lettura — Non dedurre ipersensibilità, fobia o causa del rifiuto da un singolo episodio. Non forzare l’apertura della bocca e non usare privazioni o pressioni per ottenere un dato.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04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Repertorio e routine riferiti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Che cosa la persona o il caregiver descrivono come abitualmente presente nei pasti, con quali preparazioni e in quali contesti.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Periodo di riferimento, alimento e preparazione, frequenza descritta, alternative disponibili, differenze casa/scuola/servizio e vincoli medici, pratici o culturali riferiti.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Il caregiver riferisce che negli ultimi sette giorni A01 è stato assunto a casa in una preparazione specifica; non dispone di informazioni sul pranzo scolastico.</w:t>
      </w:r>
    </w:p>
    <w:p>
      <w:pPr>
        <w:pStyle w:val="ARSmall"/>
        <w:keepNext w:val="0"/>
      </w:pPr>
      <w:r>
        <w:t>Limite di lettura — Un pasto non rappresenta il repertorio complessivo. Il numero di alimenti non diagnostica selettività, disturbi della nutrizione o disfagia.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Descrivere il messaggio, senza attribuire intenzioni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Registra “gira il capo e dice basta” invece di “si oppone”. La letteratura professionale pediatrica invita a leggere i segnali di rifiuto anche come comunicazione e a considerare l’interazione con il caregiver. [2]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Eyebrow"/>
        <w:keepNext/>
        <w:pageBreakBefore/>
      </w:pPr>
      <w:r>
        <w:t>GUIDA / AZIONI ORALI VISIBILI · S6–S7</w:t>
      </w:r>
    </w:p>
    <w:p>
      <w:pPr>
        <w:pStyle w:val="ARTitle"/>
        <w:keepNext/>
      </w:pPr>
      <w:r>
        <w:t>Morso, masticazione e gestione orale</w:t>
      </w:r>
    </w:p>
    <w:p>
      <w:pPr>
        <w:pStyle w:val="ARSubtitle"/>
        <w:keepNext w:val="0"/>
      </w:pPr>
      <w:r>
        <w:t>La registrazione si limita a quanto realmente accessibile durante il pasto.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05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Morso e masticazione · S6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Eventuale distacco di una porzione e movimenti visibili della mandibola durante la gestione dell’alimento previsto.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Alimento, forma, utensile, modo di introdurre la porzione, movimenti, pause e frammenti visibili. Specifica se il morso non era richiesto, per esempio perché il cibo era già porzionato.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A01 era già porzionato: morso non esplorato. Si osservano movimenti mandibolari alternati a pause; la lingua non è visibile nel campione.</w:t>
      </w:r>
    </w:p>
    <w:p>
      <w:pPr>
        <w:pStyle w:val="ARSmall"/>
        <w:keepNext w:val="0"/>
      </w:pPr>
      <w:r>
        <w:t>Limite di lettura — Movimenti esterni non dimostrano triturazione completa, forza o coordinazione adeguate. Non attribuire un livello di sviluppo dalla sola forma del movimento.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06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Gestione del bolo e residui visibili · S7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Contenimento, perdite anteriori, movimenti orali effettivamente visibili ed eventuali resti di alimento accessibili allo sguardo.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Sede visibile, momento e alimento; eventuale espulsione, permanenza osservabile e azioni spontanee della persona. Se il cavo orale non è visibile, scrivi “non osservabile”, non “assenza di residui”.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Dopo l’assunzione di A01 si vede un frammento sulla superficie interna del labbro inferiore. La persona lo rimuove con un movimento spontaneo; altre sedi non sono osservabili.</w:t>
      </w:r>
    </w:p>
    <w:p>
      <w:pPr>
        <w:pStyle w:val="ARSmall"/>
        <w:keepNext w:val="0"/>
      </w:pPr>
      <w:r>
        <w:t>Limite di lettura — Non forzare l’ispezione e non introdurre dita o utensili per completare OPA. Residui orali visibili e residui faringei non sono la stessa informazione.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La fase faringea non si deduce dalla sola osservazione esterna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Questa scheda non misura il transito faringeo, non verifica la protezione delle vie aeree e non esclude residui non visibili. Un eventuale approfondimento clinico o strumentale appartiene a una valutazione appropriata, non a una conclusione automatica di OPA. [1, 2]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Eyebrow"/>
        <w:keepNext/>
        <w:pageBreakBefore/>
      </w:pPr>
      <w:r>
        <w:t>GUIDA / TEMPI ED EVENTI · S8, S10</w:t>
      </w:r>
    </w:p>
    <w:p>
      <w:pPr>
        <w:pStyle w:val="ARTitle"/>
        <w:keepNext/>
      </w:pPr>
      <w:r>
        <w:t>Andamento, fatica e cambiamenti</w:t>
      </w:r>
    </w:p>
    <w:p>
      <w:pPr>
        <w:pStyle w:val="ARSubtitle"/>
        <w:keepNext w:val="0"/>
      </w:pPr>
      <w:r>
        <w:t>Tempo misurato, impressione osservativa e sensazione riferita restano informazioni differenti.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07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Tempi del pasto e affaticamento · S8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Sequenza delle assunzioni e delle pause, cambiamenti nei movimenti o nel coinvolgimento e richieste di interrompere.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Inizio/fine del pasto se noti, intervallo osservato, pause e loro ragione quando disponibile. Distingui “riferisce stanchezza” da “appoggia il capo”; non chiamare automaticamente fatica ogni pausa.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Il pasto è iniziato prima dell’arrivo del logopedista. Sono osservati 12 minuti: al nono la persona dice “sono stanco” e posa l’utensile; la richiesta di pausa viene accolta.</w:t>
      </w:r>
    </w:p>
    <w:p>
      <w:pPr>
        <w:pStyle w:val="ARSmall"/>
        <w:keepNext w:val="0"/>
      </w:pPr>
      <w:r>
        <w:t>Limite di lettura — La durata osservata non è la durata totale. Non sono previsti tempi normativi né un numero di masticazioni da raggiungere. I conteggi sono soltanto descrittivi.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08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Eventi da documentare e azioni · S10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Qualsiasi cambiamento rilevante: per esempio tosse, schiarimento della voce, modifica vocale, dolore riferito, vomito, perdita di alimento o alterazione dello stato generale.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Ora o fase, cosa precede l’evento, alimento, segno concreto e fonte. Mantieni distinto ciò che è visibile da espressioni come “è andato di traverso” riferite da altri. Registra l’azione e la persona avvisata.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Alle 12:18 compare tosse durante il pasto. L’offerta viene interrotta; viene attivato il referente del servizio. L’evento è registrato dopo avere gestito la situazione, senza ulteriori assaggi osservativi.</w:t>
      </w:r>
    </w:p>
    <w:p>
      <w:pPr>
        <w:pStyle w:val="ARSmall"/>
        <w:keepNext w:val="0"/>
      </w:pPr>
      <w:r>
        <w:t>Limite di lettura — Non è necessario riconoscere la causa per fermare un’osservazione preoccupante. La scheda non fornisce soglie per attendere, riprovare o decidere la ripresa.</w:t>
      </w:r>
    </w:p>
    <w:p>
      <w:pPr>
        <w:spacing w:after="0" w:before="0" w:line="80" w:lineRule="exact"/>
      </w:pPr>
      <w:r>
        <w:rPr>
          <w:sz w:val="2"/>
        </w:rPr>
      </w:r>
    </w:p>
    <w:p>
      <w:pPr>
        <w:pStyle w:val="ARSmall"/>
        <w:keepNext w:val="0"/>
      </w:pPr>
      <w:r>
        <w:t>Segni isolati non confermano né escludono aspirazione. Per prudenza, indicazioni e situazioni urgenti, consultare G3. [1]</w:t>
      </w:r>
    </w:p>
    <w:p>
      <w:pPr>
        <w:pStyle w:val="AREyebrow"/>
        <w:keepNext/>
        <w:pageBreakBefore/>
      </w:pPr>
      <w:r>
        <w:t>GUIDA / CAREGIVER E CONFRONTI · S9, S11</w:t>
      </w:r>
    </w:p>
    <w:p>
      <w:pPr>
        <w:pStyle w:val="ARTitle"/>
        <w:keepNext/>
      </w:pPr>
      <w:r>
        <w:t>Partecipazione e strategie nel contesto</w:t>
      </w:r>
    </w:p>
    <w:p>
      <w:pPr>
        <w:pStyle w:val="ARSubtitle"/>
        <w:keepNext w:val="0"/>
      </w:pPr>
      <w:r>
        <w:t>La persona e il partner fanno parte dello stesso episodio, ma le loro prospettive restano distinte.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09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Caregiver, comportamento e comunicazione · S9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Chi propone, attende, aiuta o risponde ai segnali. Come la persona sceglie, chiede, rifiuta, segnala dolore o termina il pasto, anche senza parole.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Segnali concreti, parole o sistemi comunicativi usati; tempi lasciati dal partner, aiuti, preferenze e carico percepito riferito dal caregiver. Descrivi fatti senza valutare la “bravura” del familiare.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La persona indica “pausa” sulla tabella comunicativa; il caregiver interrompe la proposta e lascia l’utensile sul tavolo. Il caregiver riferisce che a scuola la tabella non è sempre disponibile.</w:t>
      </w:r>
    </w:p>
    <w:p>
      <w:pPr>
        <w:pStyle w:val="ARSmall"/>
        <w:keepNext w:val="0"/>
      </w:pPr>
      <w:r>
        <w:t>Limite di lettura — Una preferenza o un rifiuto non dimostrano incapacità. Non interpretare difficoltà alimentari come necessariamente comportamentali: aspetti medici, nutrizionali, abilità e contesto possono interagire. [6]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Strategie spontanee e confronto · S9, S11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Che cosa osservare.</w:t>
      </w:r>
      <w:r>
        <w:rPr>
          <w:sz w:val="21"/>
        </w:rPr>
        <w:t xml:space="preserve"> Azioni già messe in atto dalla persona e dal partner nel piano vigente: pausa, richiesta di aiuto o altro adattamento osservato.</w:t>
      </w:r>
    </w:p>
    <w:p>
      <w:pPr>
        <w:keepNext w:val="0"/>
      </w:pPr>
      <w:r>
        <w:rPr>
          <w:b/>
          <w:sz w:val="21"/>
        </w:rPr>
        <w:t>Che cosa annotare.</w:t>
      </w:r>
      <w:r>
        <w:rPr>
          <w:sz w:val="21"/>
        </w:rPr>
        <w:t xml:space="preserve"> Chi avvia l’azione, motivo riferito, condizioni prima/dopo e risultato visibile. Per confrontare pasti diversi conserva alimento, preparazione, utensile, momento, fonte e assistenza.</w:t>
      </w:r>
    </w:p>
    <w:p>
      <w:pPr>
        <w:keepNext w:val="0"/>
      </w:pPr>
      <w:r>
        <w:rPr>
          <w:b/>
          <w:sz w:val="21"/>
        </w:rPr>
        <w:t>Esempio fittizio.</w:t>
      </w:r>
      <w:r>
        <w:rPr>
          <w:sz w:val="21"/>
        </w:rPr>
        <w:t xml:space="preserve"> In P01 la persona chiede al partner di stabilizzare il piatto; in P02 il piatto è già fissato. I pasti differiscono anche per durata e alimento: non attribuire la differenza a una sola variabile.</w:t>
      </w:r>
    </w:p>
    <w:p>
      <w:pPr>
        <w:pStyle w:val="ARSmall"/>
        <w:keepNext w:val="0"/>
      </w:pPr>
      <w:r>
        <w:t>Limite di lettura — Un beneficio osservato nella partecipazione non certifica sicurezza deglutitoria e non rende una strategia una raccomandazione generalizzabile.</w:t>
      </w:r>
    </w:p>
    <w:p>
      <w:pPr>
        <w:spacing w:after="0" w:before="0" w:line="80" w:lineRule="exact"/>
      </w:pPr>
      <w:r>
        <w:rPr>
          <w:sz w:val="2"/>
        </w:rPr>
      </w:r>
    </w:p>
    <w:p>
      <w:pPr>
        <w:pStyle w:val="ARSmall"/>
        <w:keepNext w:val="0"/>
      </w:pPr>
      <w:r>
        <w:t>Decisioni complesse sull’alimentazione richiedono documentazione e confronto centrati sulla persona e sull’équipe; OPA può richiamare il piano vigente, non sostituirlo né costituire un modulo di consenso. [4]</w:t>
      </w:r>
    </w:p>
    <w:p>
      <w:pPr>
        <w:pStyle w:val="AREyebrow"/>
        <w:keepNext/>
        <w:pageBreakBefore/>
      </w:pPr>
      <w:r>
        <w:t>GUIDA / ESEMPI FITTIZI</w:t>
      </w:r>
    </w:p>
    <w:p>
      <w:pPr>
        <w:pStyle w:val="ARTitle"/>
        <w:keepNext/>
      </w:pPr>
      <w:r>
        <w:t>Dall’episodio alla sintesi</w:t>
      </w:r>
    </w:p>
    <w:p>
      <w:pPr>
        <w:pStyle w:val="ARSubtitle"/>
        <w:keepNext w:val="0"/>
      </w:pPr>
      <w:r>
        <w:t>Esempi esclusivamente illustrativi: non sono scenari da riprodurre, prove o suggerimenti di alimenti.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A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Pasto con supporti abituali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Contesto.</w:t>
      </w:r>
      <w:r>
        <w:rPr>
          <w:sz w:val="21"/>
        </w:rPr>
        <w:t xml:space="preserve"> P01, bambino durante un pasto già previsto, senza introdurre nuovi alimenti o cambiare indicazioni. In S1 sono richiamate le informazioni cliniche pertinenti; in S3 sono descritti A01 e A02, non classificati per IDDSI.</w:t>
      </w:r>
    </w:p>
    <w:p>
      <w:pPr>
        <w:keepNext w:val="0"/>
      </w:pPr>
      <w:r>
        <w:rPr>
          <w:b/>
          <w:sz w:val="21"/>
        </w:rPr>
        <w:t>Osservazione.</w:t>
      </w:r>
      <w:r>
        <w:rPr>
          <w:sz w:val="21"/>
        </w:rPr>
        <w:t xml:space="preserve"> E01: il bambino usa l’utensile abituale; il caregiver stabilizza il piatto. E02: tocca A02, poi lo allontana e segnala “basta”. La richiesta viene accolta. Il periodo osservato è di 15 minuti; il pasto era già iniziato.</w:t>
      </w:r>
    </w:p>
    <w:p>
      <w:pPr>
        <w:keepNext w:val="0"/>
      </w:pPr>
      <w:r>
        <w:rPr>
          <w:b/>
          <w:sz w:val="21"/>
        </w:rPr>
        <w:t>Informazione riferita.</w:t>
      </w:r>
      <w:r>
        <w:rPr>
          <w:sz w:val="21"/>
        </w:rPr>
        <w:t xml:space="preserve"> Il caregiver riferisce altri alimenti assunti a casa nella settimana precedente. Non sono stati osservati e non vengono aggiunti all’inventario diretto del pasto.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Esempio di sintesi circoscritta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Nel campione P01 sono documentati iniziativa nell’uso dell’utensile e comunicazione di rifiuto con risposta del partner. Non è noto l’intero repertorio né l’andamento del pasto fuori dall’intervallo osservato. Le informazioni non attestano la sicurezza della deglutizione. Priorità: chiarire le routine nei diversi contesti con le fonti pertinenti.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B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Osservazione interrotta per un cambiamento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</w:pPr>
      <w:r>
        <w:rPr>
          <w:b/>
          <w:sz w:val="21"/>
        </w:rPr>
        <w:t>Contesto.</w:t>
      </w:r>
      <w:r>
        <w:rPr>
          <w:sz w:val="21"/>
        </w:rPr>
        <w:t xml:space="preserve"> P02, adulto con piano alimentare del servizio già disponibile; la scheda non modifica alimenti o assistenza.</w:t>
      </w:r>
    </w:p>
    <w:p>
      <w:pPr>
        <w:keepNext w:val="0"/>
      </w:pPr>
      <w:r>
        <w:rPr>
          <w:b/>
          <w:sz w:val="21"/>
        </w:rPr>
        <w:t>Evento e azione.</w:t>
      </w:r>
      <w:r>
        <w:rPr>
          <w:sz w:val="21"/>
        </w:rPr>
        <w:t xml:space="preserve"> E03: durante il pasto compaiono tosse e una modifica vocale percepita rispetto all’inizio. L’offerta viene interrotta e viene attivato il referente clinico. In S10 si registrano orario, fatti, azioni e risposta ricevuta. Non si propongono altri assaggi per “confermare”.</w:t>
      </w:r>
    </w:p>
    <w:p>
      <w:pPr>
        <w:keepNext w:val="0"/>
      </w:pPr>
      <w:r>
        <w:rPr>
          <w:b/>
          <w:sz w:val="21"/>
        </w:rPr>
        <w:t>Sintesi.</w:t>
      </w:r>
      <w:r>
        <w:rPr>
          <w:sz w:val="21"/>
        </w:rPr>
        <w:t xml:space="preserve"> Campione interrotto e non utilizzabile per descrivere il pasto completo. L’episodio non dimostra aspirazione e non consente di escluderla. Il seguito clinico è documentato nel percorso del servizio, non derivato dalle caselle OPA.</w:t>
      </w:r>
    </w:p>
    <w:p>
      <w:pPr>
        <w:pStyle w:val="ARSmall"/>
        <w:keepNext w:val="0"/>
      </w:pPr>
      <w:r>
        <w:t>In entrambi gli esempi, ciò che non è stato osservato rimane non esplorato o non osservabile. La sintesi evita “mangia in sicurezza”, “nessun rischio” e “dieta adeguata”.</w:t>
      </w:r>
    </w:p>
    <w:p>
      <w:pPr>
        <w:pStyle w:val="AREyebrow"/>
        <w:keepNext/>
        <w:pageBreakBefore/>
      </w:pPr>
      <w:r>
        <w:t>GUIDA / FONTI E STATO EDITORIALE</w:t>
      </w:r>
    </w:p>
    <w:p>
      <w:pPr>
        <w:pStyle w:val="ARTitle"/>
        <w:keepNext/>
      </w:pPr>
      <w:r>
        <w:t>Riferimenti e limiti dello strumento</w:t>
      </w:r>
    </w:p>
    <w:p>
      <w:pPr>
        <w:pStyle w:val="ARSubtitle"/>
        <w:keepNext w:val="0"/>
      </w:pPr>
      <w:r>
        <w:t>Fonti consultate il 03/10/2026. I richiami [1]–[6] sostengono principi generali, non validano OPA.</w:t>
      </w:r>
    </w:p>
    <w:p>
      <w:pPr>
        <w:pStyle w:val="ARLabel"/>
        <w:keepNext/>
      </w:pPr>
      <w:r>
        <w:t>[1] ASHA — Adult Dysphagia</w:t>
      </w:r>
    </w:p>
    <w:p>
      <w:pPr>
        <w:pStyle w:val="ARSmall"/>
        <w:keepNext w:val="0"/>
      </w:pPr>
      <w:r>
        <w:t>Practice Portal. Segni clinici, limiti dell’osservazione e ruolo degli approfondimenti strumentali.</w:t>
      </w:r>
    </w:p>
    <w:p>
      <w:pPr>
        <w:pStyle w:val="ARSmall"/>
        <w:keepNext w:val="0"/>
        <w:spacing w:after="140"/>
      </w:pPr>
      <w:r>
        <w:t>https://www.asha.org/practice-portal/clinical-topics/adult-dysphagia/</w:t>
      </w:r>
    </w:p>
    <w:p>
      <w:pPr>
        <w:pStyle w:val="ARLabel"/>
        <w:keepNext/>
      </w:pPr>
      <w:r>
        <w:t>[2] ASHA — Pediatric Feeding and Swallowing</w:t>
      </w:r>
    </w:p>
    <w:p>
      <w:pPr>
        <w:pStyle w:val="ARSmall"/>
        <w:keepNext w:val="0"/>
      </w:pPr>
      <w:r>
        <w:t>Practice Portal. Contesto del pasto, abilità, interazione con caregiver e valutazione specialistica pediatrica.</w:t>
      </w:r>
    </w:p>
    <w:p>
      <w:pPr>
        <w:pStyle w:val="ARSmall"/>
        <w:keepNext w:val="0"/>
        <w:spacing w:after="140"/>
      </w:pPr>
      <w:r>
        <w:t>https://www.asha.org/practice-portal/clinical-topics/pediatric-feeding-and-swallowing/</w:t>
      </w:r>
    </w:p>
    <w:p>
      <w:pPr>
        <w:pStyle w:val="ARLabel"/>
        <w:keepNext/>
      </w:pPr>
      <w:r>
        <w:t>[3] IDDSI — Sito e risorse ufficiali</w:t>
      </w:r>
    </w:p>
    <w:p>
      <w:pPr>
        <w:pStyle w:val="ARSmall"/>
        <w:keepNext w:val="0"/>
      </w:pPr>
      <w:r>
        <w:t>Riferimento esterno per lo standard. OPA non riproduce né applica tabelle, test o algoritmi IDDSI.</w:t>
      </w:r>
    </w:p>
    <w:p>
      <w:pPr>
        <w:pStyle w:val="ARSmall"/>
        <w:keepNext w:val="0"/>
        <w:spacing w:after="140"/>
      </w:pPr>
      <w:r>
        <w:t>https://www.iddsi.org/</w:t>
      </w:r>
    </w:p>
    <w:p>
      <w:pPr>
        <w:pStyle w:val="ARLabel"/>
        <w:keepNext/>
      </w:pPr>
      <w:r>
        <w:t>[4] RCSLT — Eating and drinking with acknowledged risks</w:t>
      </w:r>
    </w:p>
    <w:p>
      <w:pPr>
        <w:pStyle w:val="ARSmall"/>
        <w:keepNext w:val="0"/>
      </w:pPr>
      <w:r>
        <w:t>Principi di decisione condivisa e documentazione multidisciplinare nell’adulto; non una procedura normativa italiana.</w:t>
      </w:r>
    </w:p>
    <w:p>
      <w:pPr>
        <w:pStyle w:val="ARSmall"/>
        <w:keepNext w:val="0"/>
        <w:spacing w:after="140"/>
      </w:pPr>
      <w:r>
        <w:t>https://www.rcslt.org/members/clinical-guidance/eating-and-drinking-with-acknowledged-risks-risk-feeding/</w:t>
      </w:r>
    </w:p>
    <w:p>
      <w:pPr>
        <w:pStyle w:val="ARLabel"/>
        <w:keepNext/>
      </w:pPr>
      <w:r>
        <w:t>[5] NHS — Shortness of breath</w:t>
      </w:r>
    </w:p>
    <w:p>
      <w:pPr>
        <w:pStyle w:val="ARSmall"/>
        <w:keepNext w:val="0"/>
      </w:pPr>
      <w:r>
        <w:t>Segnali di emergenza respiratoria nell’adulto e nel bambino. I percorsi di soccorso da usare sono quelli locali.</w:t>
      </w:r>
    </w:p>
    <w:p>
      <w:pPr>
        <w:pStyle w:val="ARSmall"/>
        <w:keepNext w:val="0"/>
        <w:spacing w:after="140"/>
      </w:pPr>
      <w:r>
        <w:t>https://www.nhs.uk/symptoms/shortness-of-breath/</w:t>
      </w:r>
    </w:p>
    <w:p>
      <w:pPr>
        <w:pStyle w:val="ARLabel"/>
        <w:keepNext/>
      </w:pPr>
      <w:r>
        <w:t>[6] Goday PS e colleghi — Pediatric Feeding Disorder</w:t>
      </w:r>
    </w:p>
    <w:p>
      <w:pPr>
        <w:pStyle w:val="ARSmall"/>
        <w:keepNext w:val="0"/>
      </w:pPr>
      <w:r>
        <w:t>Consensus Definition and Conceptual Framework. J Pediatr Gastroenterol Nutr. 2019;68:124–129. DOI: 10.1097/MPG.0000000000002188.</w:t>
      </w:r>
    </w:p>
    <w:p>
      <w:pPr>
        <w:pStyle w:val="ARSmall"/>
        <w:keepNext w:val="0"/>
        <w:spacing w:after="140"/>
      </w:pPr>
      <w:r>
        <w:t>https://pmc.ncbi.nlm.nih.gov/articles/PMC6314510/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OPA v1.0 — edizione editoriale, non validazione clinica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Struttura, campi ed esempi sono stati redatti per ARMONIA. Non sono state eseguite revisione clinica specialistica, sperimentazione d’uso o validazione psicometrica di questo strumento. L’edizione definitiva riguarda la redazione e l’impaginazione; non equivale a validazione, certificazione o approvazione delle fonti citate.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Prima della diffusione per uso clinico ordinario è necessaria una revisione professionale specialistica adeguata ai contesti d’impiego. Nessuna pagina OPA sostituisce protocolli validati, procedure del servizio, valutazione clinica o strumentale. Non sono riprodotti moduli o criteri diagnostici delle fonti.</w:t>
      </w:r>
    </w:p>
    <w:p>
      <w:pPr>
        <w:sectPr>
          <w:headerReference w:type="default" r:id="rId9"/>
          <w:footerReference w:type="default" r:id="rId10"/>
          <w:pgSz w:w="11906" w:h="16838"/>
          <w:pgMar w:top="2211" w:right="1020" w:bottom="1020" w:left="1020" w:header="510" w:footer="510" w:gutter="0"/>
          <w:cols w:space="720"/>
          <w:docGrid w:linePitch="360"/>
          <w:pgNumType w:start="1"/>
        </w:sectPr>
      </w:pPr>
    </w:p>
    <w:p>
      <w:pPr>
        <w:pStyle w:val="AREyebrow"/>
        <w:keepNext/>
      </w:pPr>
      <w:r>
        <w:t>SCHEDA / CONTESTO E FONTI</w:t>
      </w:r>
    </w:p>
    <w:p>
      <w:pPr>
        <w:pStyle w:val="ARTitle"/>
        <w:keepNext/>
      </w:pPr>
      <w:r>
        <w:t>Contesto della raccolta</w:t>
      </w:r>
    </w:p>
    <w:p>
      <w:pPr>
        <w:pStyle w:val="ARSubtitle"/>
        <w:keepNext w:val="0"/>
      </w:pPr>
      <w:r>
        <w:t>Non è un’autorizzazione al pasto: riporta le informazioni pertinenti e ciò che resta da chiarire.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595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Codice persona / età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Professionista / servizio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595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Data/e e orario dell’osservazione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Data di compilazione / pasto P____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Domanda osservativa e priorità della persona / caregiver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09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Luogo, tipo di pasto, persone presenti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Fonte: dal vivo / registrazione / riferita / documentale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Indicazioni cliniche e alimentari vigenti: fonte, autore, data e riferimento</w:t>
      </w:r>
    </w:p>
    <w:p>
      <w:pPr>
        <w:pStyle w:val="ARSmall"/>
        <w:keepNext/>
      </w:pPr>
      <w:r>
        <w:t>Riporta quanto pertinente: eventuali limitazioni orali, consistenze previste, assistenza e piano individuale. Non generare indicazioni con OPA.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3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94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Allergie / restrizioni pertinenti e fonte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Informazioni cliniche nuove o non chiarite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Accesso e volontà: modalità per scegliere, chiedere aiuto, rifiutare e segnalare dolore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65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Stato iniziale osservabile e comfort riferito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Referente / percorso di assistenza del setting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Field"/>
        <w:keepNext w:val="0"/>
      </w:pPr>
      <w:r>
        <w:t>Raccolta effettuata:  □ pasto osservato  □ osservazione parziale  □ sole informazioni  □ rinviata/interrotta</w:t>
      </w:r>
    </w:p>
    <w:p>
      <w:pPr>
        <w:pStyle w:val="ARLabel"/>
        <w:keepNext/>
      </w:pPr>
      <w:r>
        <w:t>Motivo della raccolta parziale / rinvio; informazioni da verificare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Prima dell’osservazione: leggere G3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Non introdurre assaggi se l’assunzione orale non è prevista, è da chiarire o vi sono nuovi dubbi clinici. Non usare la scheda per ignorare indicazioni o rifiuto. In caso di segni preoccupanti, la gestione della persona viene prima della compilazione.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Eyebrow"/>
        <w:keepNext/>
        <w:pageBreakBefore/>
      </w:pPr>
      <w:r>
        <w:t>SCHEDA / PANORAMICA</w:t>
      </w:r>
    </w:p>
    <w:p>
      <w:pPr>
        <w:pStyle w:val="ARTitle"/>
        <w:keepNext/>
      </w:pPr>
      <w:r>
        <w:t>Il pasto in sintesi</w:t>
      </w:r>
    </w:p>
    <w:p>
      <w:pPr>
        <w:pStyle w:val="ARSubtitle"/>
        <w:keepNext w:val="0"/>
      </w:pPr>
      <w:r>
        <w:t>Una nota per le aree esplorate. Le pagine successive sono approfondimenti selezionabili.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652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Intervallo effettivamente osservato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Alimenti A____ / fonte e periodo delle informazioni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AREA / DETTAGLIO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EVIDENZA ESSENZIALE, CONDIZIONI E FONTE</w:t>
            </w:r>
          </w:p>
        </w:tc>
      </w:tr>
      <w:tr>
        <w:trPr>
          <w:cantSplit/>
          <w:trHeight w:val="879" w:hRule="atLeast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Setting, postura, autonomia</w:t>
              <w:br/>
              <w:t>S4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879" w:hRule="atLeast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Alimenti e bevande presenti</w:t>
              <w:br/>
              <w:t>S3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879" w:hRule="atLeast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Accettazione, repertorio, esplorazione</w:t>
              <w:br/>
              <w:t>S5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879" w:hRule="atLeast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Morso, masticazione, gestione orale</w:t>
              <w:br/>
              <w:t>S6–S7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879" w:hRule="atLeast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Tempi, pause, fatica</w:t>
              <w:br/>
              <w:t>S8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879" w:hRule="atLeast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Persona, caregiver e strategie</w:t>
              <w:br/>
              <w:t>S9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879" w:hRule="atLeast"/>
        </w:trP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Eventi, interruzioni e azioni</w:t>
              <w:br/>
              <w:t>S10</w:t>
            </w:r>
          </w:p>
        </w:tc>
        <w:tc>
          <w:tcPr>
            <w:tcW w:type="dxa" w:w="67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Limiti della panoramica: che cosa non è stato esplorato o non era osservabile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2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Field"/>
        <w:keepNext w:val="0"/>
      </w:pPr>
      <w:r>
        <w:t>Approfondimenti utilizzati: __________________________________________________________</w:t>
      </w:r>
    </w:p>
    <w:p>
      <w:pPr>
        <w:pStyle w:val="ARSmall"/>
        <w:keepNext w:val="0"/>
      </w:pPr>
      <w:r>
        <w:t>Una riga vuota non significa abilità assente. “Non rilevato” va riferito a un segno e a un intervallo specifici; non significa rischio assente. L’esito non è “sicuro / non sicuro”. Sintesi professionale: S12.</w:t>
      </w:r>
    </w:p>
    <w:p>
      <w:pPr>
        <w:pStyle w:val="AREyebrow"/>
        <w:keepNext/>
        <w:pageBreakBefore/>
      </w:pPr>
      <w:r>
        <w:t>SCHEDA / REGISTRO RIPETIBILE</w:t>
      </w:r>
    </w:p>
    <w:p>
      <w:pPr>
        <w:pStyle w:val="ARTitle"/>
        <w:keepNext/>
      </w:pPr>
      <w:r>
        <w:t>Alimenti e bevande osservati</w:t>
      </w:r>
    </w:p>
    <w:p>
      <w:pPr>
        <w:pStyle w:val="ARSubtitle"/>
        <w:keepNext w:val="0"/>
      </w:pPr>
      <w:r>
        <w:t>Descrivi le preparazioni effettivamente presenti. Non è una proposta di alimenti da somministrare.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A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Alimento / bevanda A____ — registrazione ripetibile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09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Denominazione, componenti e preparazione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Presentazione, utensile e assistenza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Caratteristiche osservate: forma/dimensioni, parti solide/liquide, temperatura e fonte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37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Offerto / rimasto / disperso / apparentemente assunto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Misura, stima o riferito? Metodo e limiti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65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IDDSI previsto dal piano, se presente: livello / fonte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Eventuale livello dichiarato o verificato: autore / data / ref.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Small"/>
        <w:keepNext w:val="0"/>
      </w:pPr>
      <w:r>
        <w:t>Fonte del dato sul preparato: □ piano soltanto  □ etichetta  □ verifica documentata  □ non disponibile</w:t>
      </w:r>
    </w:p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A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Alimento / bevanda A____ — registrazione ripetibile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09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Denominazione, componenti e preparazione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Presentazione, utensile e assistenza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Caratteristiche osservate: forma/dimensioni, parti solide/liquide, temperatura e fonte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37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Offerto / rimasto / disperso / apparentemente assunto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Misura, stima o riferito? Metodo e limiti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65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IDDSI previsto dal piano, se presente: livello / fonte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Eventuale livello dichiarato o verificato: autore / data / ref.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Small"/>
        <w:keepNext w:val="0"/>
      </w:pPr>
      <w:r>
        <w:t>Fonte del dato sul preparato: □ piano soltanto  □ etichetta  □ verifica documentata  □ non disponibile</w:t>
      </w:r>
    </w:p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Descrivere non equivale a classificare o attestare sicurezza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“Morbido” o “cremoso” non sono livelli IDDSI. Non dedurre il livello dall’aspetto e non confondere quello previsto con una verifica del preparato. OPA non effettua test IDDSI. Quantità visibili o stimate non misurano automaticamente l’apporto deglutito, nutrizionale o idrico. Guida: G4.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Eyebrow"/>
        <w:keepNext/>
        <w:pageBreakBefore/>
      </w:pPr>
      <w:r>
        <w:t>SCHEDA / SETTING E AUTONOMIA</w:t>
      </w:r>
    </w:p>
    <w:p>
      <w:pPr>
        <w:pStyle w:val="ARTitle"/>
        <w:keepNext/>
      </w:pPr>
      <w:r>
        <w:t>Postura, utensili e assistenza</w:t>
      </w:r>
    </w:p>
    <w:p>
      <w:pPr>
        <w:pStyle w:val="ARSubtitle"/>
        <w:keepNext w:val="0"/>
      </w:pPr>
      <w:r>
        <w:t>Annota azioni e supporti effettivi, non un livello globale di dipendenza.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Setting e postura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1134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Seduta, appoggi e posizione iniziale osservabile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Tavolo, raggiungibilità, luce, rumore e presenti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Cambiamenti durante il pasto: momento, autore, motivo e indicazione vigente richiamata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85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Descrivi quanto visibile; non valutare con OPA una postura “corretta” universale e non proporre manovre compensatorie.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Autonomia e utensili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2608"/>
        <w:gridCol w:w="3628"/>
        <w:gridCol w:w="3628"/>
      </w:tblGrid>
      <w:tr>
        <w:trPr>
          <w:cantSplit/>
          <w:tblHeader/>
        </w:trPr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AZIONE / UTENSILE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CHE COSA FA LA PERSONA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AIUTO EFFETTIVO / CHI / QUANDO</w:t>
            </w:r>
          </w:p>
        </w:tc>
      </w:tr>
      <w:tr>
        <w:trPr>
          <w:cantSplit/>
          <w:trHeight w:val="794" w:hRule="atLeast"/>
        </w:trPr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Scelta e accesso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94" w:hRule="atLeast"/>
        </w:trPr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Presa / preparazione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94" w:hRule="atLeast"/>
        </w:trPr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Trasporto alla bocca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94" w:hRule="atLeast"/>
        </w:trPr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Pausa / fine / altro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Informazioni riferite: fonte, periodo e differenze rispetto a questo pasto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9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Gli ausili abituali non sono errori. Documenta chi avvia le azioni e quali passaggi restano autonomi. Guida: G5.</w:t>
      </w:r>
    </w:p>
    <w:p>
      <w:pPr>
        <w:pStyle w:val="AREyebrow"/>
        <w:keepNext/>
        <w:pageBreakBefore/>
      </w:pPr>
      <w:r>
        <w:t>SCHEDA / ACCETTAZIONE E REPERTORIO</w:t>
      </w:r>
    </w:p>
    <w:p>
      <w:pPr>
        <w:pStyle w:val="ARTitle"/>
        <w:keepNext/>
      </w:pPr>
      <w:r>
        <w:t>Esplorazione, scelta e rifiuto</w:t>
      </w:r>
    </w:p>
    <w:p>
      <w:pPr>
        <w:pStyle w:val="ARSubtitle"/>
        <w:keepNext w:val="0"/>
      </w:pPr>
      <w:r>
        <w:t>Nessuna sequenza obbligata: osservare o toccare non implica dover assaggiare.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03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Episodio diretto — E____ / alimento A____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Che cosa precede e che cosa fa la persona: azione, parola, gesto o altro segnale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3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964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Proposta / spontaneo; chi propone e in quale modo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Risposta del partner e prosecuzione o interruzione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Caratteristiche del cibo/contesto associate all’episodio; incertezze sulla relazione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09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Non usare “oppositivo” o una causa sensoriale come sostituti del fatto osservato. Non introdurre pressioni, privazioni o assaggi per riempire la scheda.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04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Repertorio abituale — informazione riferita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Field"/>
        <w:keepNext w:val="0"/>
      </w:pPr>
      <w:r>
        <w:t>Fonte / ruolo: __________________________  Periodo e contesti: __________________________</w:t>
      </w:r>
    </w:p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ALIMENTO / PREPARAZIONE</w:t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QUANDO, DOVE E COME È ASSUNTO O RIFIUTATO</w:t>
            </w:r>
          </w:p>
        </w:tc>
      </w:tr>
      <w:tr>
        <w:trPr>
          <w:cantSplit/>
          <w:trHeight w:val="709" w:hRule="atLeast"/>
        </w:trPr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09" w:hRule="atLeast"/>
        </w:trPr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09" w:hRule="atLeast"/>
        </w:trPr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63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Vincoli riferiti, preferenze, alternative disponibili e informazioni mancanti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3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Separare abitudini riferite e alimenti osservati. Nessun numero di cibi definisce una diagnosi o la qualità della dieta. Guida: G6.</w:t>
      </w:r>
    </w:p>
    <w:p>
      <w:pPr>
        <w:pStyle w:val="AREyebrow"/>
        <w:keepNext/>
        <w:pageBreakBefore/>
      </w:pPr>
      <w:r>
        <w:t>SCHEDA / AZIONI ORALI VISIBILI</w:t>
      </w:r>
    </w:p>
    <w:p>
      <w:pPr>
        <w:pStyle w:val="ARTitle"/>
        <w:keepNext/>
      </w:pPr>
      <w:r>
        <w:t>Morso e masticazione</w:t>
      </w:r>
    </w:p>
    <w:p>
      <w:pPr>
        <w:pStyle w:val="ARSubtitle"/>
        <w:keepNext w:val="0"/>
      </w:pPr>
      <w:r>
        <w:t>Documenta il campione, senza introdurre consistenze o porzioni per mettere alla prova l’abilità.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09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Alimento A____ / episodio E____ / fonte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Preparazione, porzione presentata, utensile e aiuti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05A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Morso: che cosa è effettivamente richiesto e visibile?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Field"/>
        <w:keepNext w:val="0"/>
      </w:pPr>
      <w:r>
        <w:t>□ osservato  □ non esplorato  □ non osservabile  □ non pertinente al cibo/pasto</w:t>
      </w:r>
    </w:p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Modalità di introduzione / eventuale distacco di una porzione; azioni della persona e del partner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6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Limiti della visibilità e circostanze: alimento già porzionato, presa, comfort riferito, altro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2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05B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Masticazione: movimenti, pause e variazioni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Movimenti mandibolari visibili, eventuali asimmetrie, frammenti e pause nel campione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850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Momento / durata se misurata / conteggio facoltativo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Metodo, supporti, parti non osservabili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Confronto entro il campione e informazioni riferite, mantenendo distinte le fonti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9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Un movimento visibile non dimostra l’intero processo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Non dedurre efficacia di triturazione, forza, maturità o sicurezza della deglutizione. Nessuna soglia di tempo o di masticazioni. Non forzare l’apertura della bocca per osservare. Guida: G7.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Eyebrow"/>
        <w:keepNext/>
        <w:pageBreakBefore/>
      </w:pPr>
      <w:r>
        <w:t>SCHEDA / GESTIONE ORALE</w:t>
      </w:r>
    </w:p>
    <w:p>
      <w:pPr>
        <w:pStyle w:val="ARTitle"/>
        <w:keepNext/>
      </w:pPr>
      <w:r>
        <w:t>Bolo, perdite e residui visibili</w:t>
      </w:r>
    </w:p>
    <w:p>
      <w:pPr>
        <w:pStyle w:val="ARSubtitle"/>
        <w:keepNext w:val="0"/>
      </w:pPr>
      <w:r>
        <w:t>“Non visibile” non equivale a “assente”. Non descrivere residui faringei da un’osservazione esterna.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94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Alimento A____ / episodio E____ / fonte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Momento e modalità di osservazione; limiti di visibilità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06A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Contenimento e movimenti effettivamente osservabili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Che cosa si vede: chiusura labiale, movimenti orali, perdite anteriori o espulsione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24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Sequenza, permanenza visibile e risposta spontanea; che cosa non è osservabile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0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06B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Eventuale residuo orale visibile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2494"/>
        <w:gridCol w:w="3855"/>
        <w:gridCol w:w="3515"/>
      </w:tblGrid>
      <w:tr>
        <w:trPr>
          <w:cantSplit/>
          <w:tblHeader/>
        </w:trP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MOMENTO / ALIMENTO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SEDE VISIBILE E DESCRIZIONE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AZIONE SPONTANEA / SEGUITO</w:t>
            </w:r>
          </w:p>
        </w:tc>
      </w:tr>
      <w:tr>
        <w:trPr>
          <w:cantSplit/>
          <w:trHeight w:val="992" w:hRule="atLeast"/>
        </w:trP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992" w:hRule="atLeast"/>
        </w:trP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Informazioni riferite o documentali su residui: fonte, data e sede riportata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3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Limite della scheda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Non introdurre dita o utensili e non forzare un’ispezione per completare OPA. Non usare l’assenza di residui visibili, tosse o altri segni per attestare la sicurezza della deglutizione. Un intervento clinico necessario segue le procedure appropriate, non le istruzioni di compilazione. Guida: G3 e G7.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Eyebrow"/>
        <w:keepNext/>
        <w:pageBreakBefore/>
      </w:pPr>
      <w:r>
        <w:t>SCHEDA / ANDAMENTO TEMPORALE</w:t>
      </w:r>
    </w:p>
    <w:p>
      <w:pPr>
        <w:pStyle w:val="ARTitle"/>
        <w:keepNext/>
      </w:pPr>
      <w:r>
        <w:t>Tempi, pause e affaticamento</w:t>
      </w:r>
    </w:p>
    <w:p>
      <w:pPr>
        <w:pStyle w:val="ARSubtitle"/>
        <w:keepNext w:val="0"/>
      </w:pPr>
      <w:r>
        <w:t>Distingui l’intervallo osservato dall’intera durata del pasto e la fatica riferita da ciò che vedi.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09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Inizio/fine del pasto, se noti — fonte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Intervallo osservato — modalità di rilevazione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09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Situazione iniziale / comfort riferito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Assunzioni o pause precedenti, se note — fonte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1757"/>
        <w:gridCol w:w="4054"/>
        <w:gridCol w:w="4054"/>
      </w:tblGrid>
      <w:tr>
        <w:trPr>
          <w:cantSplit/>
          <w:tblHeader/>
        </w:trP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MOMENTO</w:t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AZIONE, PAUSA O CAMBIAMENTO</w:t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FONTE / MOTIVO RIFERITO / RISPOSTA</w:t>
            </w:r>
          </w:p>
        </w:tc>
      </w:tr>
      <w:tr>
        <w:trPr>
          <w:cantSplit/>
          <w:trHeight w:val="794" w:hRule="atLeast"/>
        </w:trP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94" w:hRule="atLeast"/>
        </w:trP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94" w:hRule="atLeast"/>
        </w:trP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794" w:hRule="atLeast"/>
        </w:trP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40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Fatica, dolore, fame o sazietà riferiti dalla persona: parole / segnale e modalità comunicativa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85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Cambiamenti osservati e limiti: cosa può essere descritto senza attribuirne la causa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85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65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Motivo e autore della conclusione / interruzione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Eventuali eventi richiamati in S10 — E____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Small"/>
        <w:keepNext w:val="0"/>
      </w:pPr>
      <w:r>
        <w:t>Non usare durata o numero di assunzioni come soglia di normalità. Le pause possono avere motivi differenti. Segni nuovi o preoccupanti richiedono gestione appropriata, non ulteriori prove per completare il confronto. Guida: G3 e G8.</w:t>
      </w:r>
    </w:p>
    <w:p>
      <w:pPr>
        <w:pStyle w:val="AREyebrow"/>
        <w:keepNext/>
        <w:pageBreakBefore/>
      </w:pPr>
      <w:r>
        <w:t>SCHEDA / PERSONA E CAREGIVER</w:t>
      </w:r>
    </w:p>
    <w:p>
      <w:pPr>
        <w:pStyle w:val="ARTitle"/>
        <w:keepNext/>
      </w:pPr>
      <w:r>
        <w:t>Comunicazione, aiuti e strategie</w:t>
      </w:r>
    </w:p>
    <w:p>
      <w:pPr>
        <w:pStyle w:val="ARSubtitle"/>
        <w:keepNext w:val="0"/>
      </w:pPr>
      <w:r>
        <w:t>Mantieni distinta la prospettiva della persona da quella del partner.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09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Interazione nel pasto — episodio E____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1162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Segnale della persona: scelta, richiesta, rifiuto, altro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Risposta del partner: parole, attesa, aiuto e contesto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Partecipazione e comportamento descritti senza attribuire intenzioni o cause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6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9184"/>
      </w:tblGrid>
      <w:tr>
        <w:trPr>
          <w:cantSplit/>
        </w:trPr>
        <w:tc>
          <w:tcPr>
            <w:tcW w:type="dxa" w:w="680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9184"/>
            <w:vAlign w:val="top"/>
            <w:shd w:fill="F0F5E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Strategie spontanee o già previste — non una prova di trattamento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2835"/>
        <w:gridCol w:w="3515"/>
        <w:gridCol w:w="3515"/>
      </w:tblGrid>
      <w:tr>
        <w:trPr>
          <w:cantSplit/>
          <w:tblHeader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AZIONE / CHI LA AVVIA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CONDIZIONI PRIMA / DOPO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RISULTATO VISIBILE E LIMITI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1162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Preferenze e impatto riferiti dalla persona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Esperienza, bisogni e carico riferiti dal caregiver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Indicazioni vigenti richiamate / informazioni da condividere con il referente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2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Un risultato apparentemente favorevole non dimostra sicurezza deglutitoria. Non trasferire automaticamente una strategia ad altri cibi o persone. La scheda non prescrive postura, utensili, addensanti, volumi o manovre. Guida: G9.</w:t>
      </w:r>
    </w:p>
    <w:p>
      <w:pPr>
        <w:pStyle w:val="AREyebrow"/>
        <w:keepNext/>
        <w:pageBreakBefore/>
      </w:pPr>
      <w:r>
        <w:t>SCHEDA / EVENTI E AZIONI · RIPETIBILE</w:t>
      </w:r>
    </w:p>
    <w:p>
      <w:pPr>
        <w:pStyle w:val="ARTitle"/>
        <w:keepNext/>
      </w:pPr>
      <w:r>
        <w:t>Evento, interruzione e comunicazioni</w:t>
      </w:r>
    </w:p>
    <w:p>
      <w:pPr>
        <w:pStyle w:val="ARSubtitle"/>
        <w:keepNext w:val="0"/>
      </w:pPr>
      <w:r>
        <w:t>La gestione della persona viene prima della documentazione. Guida: G3 e G8.</w:t>
      </w:r>
    </w:p>
    <w:p>
      <w:pPr>
        <w:pStyle w:val="ARField"/>
        <w:keepNext w:val="0"/>
      </w:pPr>
      <w:r>
        <w:t>Codice persona: ____________________   Pasto P____   Data/e: 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Non attendere un esito OPA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In caso di emergenza, attiva immediatamente i soccorsi e le procedure locali. Se compaiono segni nuovi o preoccupanti durante l’assunzione, interrompi l’offerta e attiva il referente secondo il piano del servizio. Non fare nuovi assaggi per confermare o escludere il problema.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709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Episodio E____ / ora o fase del pasto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Fonte: diretta / riferita / documentale; autore e data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Che cosa precede l’evento: alimento A____, posizione, utensile, aiuto e stato iniziale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09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Fatto osservato o parole riferite: descrizione, andamento e cambiamento rispetto all’inizio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3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Azioni adottate, da chi e quando; eventuale interruzione dell’offerta e dell’osservazione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0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964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Chi è stato contattato / ora / modalità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Risposta, indicazione ricevuta / autore / data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Seguito documentato, informazioni ancora da verificare e responsabilità del passaggio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9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Field"/>
        <w:keepNext w:val="0"/>
      </w:pPr>
      <w:r>
        <w:t>Professionista / firma: ______________________________________________________________</w:t>
      </w:r>
    </w:p>
    <w:p>
      <w:pPr>
        <w:pStyle w:val="ARSmall"/>
        <w:keepNext w:val="0"/>
      </w:pPr>
      <w:r>
        <w:t>L’evento non costituisce una diagnosi; la scheda non autorizza la ripresa del pasto. Assenza di tosse o cessazione del segno non dimostrano assenza di aspirazione. Conservare il riferimento al piano o alla decisione clinica pertinente.</w:t>
      </w:r>
    </w:p>
    <w:p>
      <w:pPr>
        <w:pStyle w:val="AREyebrow"/>
        <w:keepNext/>
        <w:pageBreakBefore/>
      </w:pPr>
      <w:r>
        <w:t>SCHEDA / CONFRONTO FACOLTATIVO</w:t>
      </w:r>
    </w:p>
    <w:p>
      <w:pPr>
        <w:pStyle w:val="ARTitle"/>
        <w:keepNext/>
      </w:pPr>
      <w:r>
        <w:t>Pasti e contesti a confronto</w:t>
      </w:r>
    </w:p>
    <w:p>
      <w:pPr>
        <w:pStyle w:val="ARSubtitle"/>
        <w:keepNext w:val="0"/>
      </w:pPr>
      <w:r>
        <w:t>Confronta solo ciò che è documentato, senza cambiare il pasto per costruire il confronto.</w:t>
      </w:r>
    </w:p>
    <w:p>
      <w:pPr>
        <w:pStyle w:val="ARField"/>
        <w:keepNext w:val="0"/>
      </w:pPr>
      <w:r>
        <w:t>Codice persona: ____________________   Data di compilazione: __________________________</w:t>
      </w:r>
    </w:p>
    <w:p>
      <w:pPr>
        <w:spacing w:after="0" w:before="0" w:line="1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single" w:sz="4" w:color="CCD7CC"/>
        </w:tblBorders>
      </w:tblPr>
      <w:tblGrid>
        <w:gridCol w:w="2835"/>
        <w:gridCol w:w="3515"/>
        <w:gridCol w:w="3515"/>
      </w:tblGrid>
      <w:tr>
        <w:trPr>
          <w:cantSplit/>
          <w:tblHeader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CHE COSA CONFRONTO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PASTO / SITUAZIONE A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PASTO / SITUAZIONE B</w:t>
            </w:r>
          </w:p>
        </w:tc>
      </w:tr>
      <w:tr>
        <w:trPr>
          <w:cantSplit/>
          <w:trHeight w:val="935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Codice, data, fonte e periodo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935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Luogo, partner, momento e durata osservata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935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Alimento, preparazione, utensile e piano richiamato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935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Setting, supporti, assistenza e stato iniziale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935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Azioni della persona, pause e partecipazione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  <w:tr>
        <w:trPr>
          <w:cantSplit/>
          <w:trHeight w:val="935" w:hRule="atLeast"/>
        </w:trP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  <w:t>Eventi, interruzioni e azioni documentate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  <w:spacing w:after="0" w:before="0"/>
            </w:pPr>
            <w:r>
              <w:rPr>
                <w:b w:val="0"/>
              </w:rPr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Che cosa è confrontabile e quali differenze impediscono una conclusione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3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Domanda da approfondire e dati necessari, senza provocare nuove prove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6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Small"/>
        <w:keepNext w:val="0"/>
      </w:pPr>
      <w:r>
        <w:t>Un resoconto domestico e un episodio diretto nel servizio non sono misure equivalenti. Non sommare risultati o ricavare miglioramento, peggioramento o sicurezza da condizioni differenti. Guida: G9.</w:t>
      </w:r>
    </w:p>
    <w:p>
      <w:pPr>
        <w:pStyle w:val="AREyebrow"/>
        <w:keepNext/>
        <w:pageBreakBefore/>
      </w:pPr>
      <w:r>
        <w:t>SCHEDA / SINTESI PROFESSIONALE</w:t>
      </w:r>
    </w:p>
    <w:p>
      <w:pPr>
        <w:pStyle w:val="ARTitle"/>
        <w:keepNext/>
      </w:pPr>
      <w:r>
        <w:t>Profilo osservativo del pasto</w:t>
      </w:r>
    </w:p>
    <w:p>
      <w:pPr>
        <w:pStyle w:val="ARSubtitle"/>
        <w:keepNext w:val="0"/>
      </w:pPr>
      <w:r>
        <w:t>Sintesi qualitativa, senza punteggi e senza conclusioni automatiche sulla deglutizione.</w:t>
      </w:r>
    </w:p>
    <w:p>
      <w:pPr>
        <w:pStyle w:val="ARField"/>
        <w:keepNext w:val="0"/>
      </w:pPr>
      <w:r>
        <w:t>Codice persona: ____________________   Data di compilazione: __________________________</w:t>
      </w:r>
    </w:p>
    <w:p>
      <w:pPr>
        <w:spacing w:after="0" w:before="0" w:line="100" w:lineRule="exact"/>
      </w:pPr>
      <w:r>
        <w:rPr>
          <w:sz w:val="2"/>
        </w:rPr>
      </w:r>
    </w:p>
    <w:p>
      <w:pPr>
        <w:pStyle w:val="ARLabel"/>
        <w:keepNext/>
      </w:pPr>
      <w:r>
        <w:t>Ambito: pasti, alimenti, fonti, periodi e pagine utilizzate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Risorse osservate e condizioni che hanno favorito autonomia e partecipazione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9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Bisogni, variabilità, limiti e informazioni mancanti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9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Label"/>
        <w:keepNext/>
      </w:pPr>
      <w:r>
        <w:t>Sintesi del professionista — collegare i fatti alle fonti, senza attribuire una diagnosi con OPA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871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340"/>
        <w:gridCol w:w="4762"/>
      </w:tblGrid>
      <w:tr>
        <w:trPr>
          <w:cantSplit/>
          <w:trHeight w:val="964" w:hRule="atLeast"/>
        </w:trPr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Priorità della persona / caregiver, con fonte</w:t>
            </w:r>
          </w:p>
        </w:tc>
        <w:tc>
          <w:tcPr>
            <w:tcW w:type="dxa" w:w="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62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</w:rPr>
              <w:t>Eventi e azioni già documentati — riferimenti S10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ARLabel"/>
        <w:keepNext/>
      </w:pPr>
      <w:r>
        <w:t>Aspetti da approfondire, referenti, responsabilità e tempi concordati per il seguito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3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ARField"/>
        <w:keepNext w:val="0"/>
      </w:pPr>
      <w:r>
        <w:t>Documenti collegati: _______________________________________________________________</w:t>
      </w:r>
    </w:p>
    <w:p>
      <w:pPr>
        <w:pStyle w:val="ARField"/>
        <w:keepNext w:val="0"/>
      </w:pPr>
      <w:r>
        <w:t>Professionista / firma: 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 w:before="0"/>
            </w:pPr>
            <w:r>
              <w:rPr>
                <w:b/>
                <w:sz w:val="23"/>
              </w:rPr>
              <w:t>Questa sintesi non attesta la sicurezza del pasto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Non esclude disfagia o aspirazione e non sostituisce valutazione clinica, esami strumentali quando indicati o protocolli validati. Non equivale a prescrizione di dieta, consistenze, volumi o assistenza. Le decisioni cliniche vanno documentate nei percorsi appropriati.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211" w:right="1020" w:bottom="1020" w:left="1020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OPA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G</w:t>
          </w:r>
          <w:fldSimple w:instr="PAGE">
            <w:r>
              <w:t>1</w:t>
            </w:r>
          </w:fldSimple>
          <w:r>
            <w:t xml:space="preserve"> / 11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OPA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S</w:t>
          </w:r>
          <w:fldSimple w:instr="PAGE">
            <w:r>
              <w:t>1</w:t>
            </w:r>
          </w:fldSimple>
          <w:r>
            <w:t xml:space="preserve"> / 12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GUIDA ALLO STRUMENTO · OPA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SCHEDA OPERATIVA · OPA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rial" w:hAnsi="Arial"/>
      <w:color w:val="24332D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C2C"/>
      <w:sz w:val="56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C2C"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C2C"/>
      <w:sz w:val="22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lang w:val="it-I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lang w:val="it-I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lang w:val="it-I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lang w:val="it-I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  <w:lang w:val="it-I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lang w:val="it-I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lang w:val="it-I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lang w:val="it-I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lang w:val="it-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lang w:val="it-I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lang w:val="it-I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lang w:val="it-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lang w:val="it-I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lang w:val="it-I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lang w:val="it-I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lang w:val="it-I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lang w:val="it-I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  <w:lang w:val="it-I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val="000000" w:themeColor="text1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  <w:lang w:val="it-I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lang w:val="it-I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Eyebrow">
    <w:name w:val="AR Eyebrow"/>
    <w:basedOn w:val="Normal"/>
    <w:pPr>
      <w:keepNext/>
      <w:widowControl/>
      <w:spacing w:before="0" w:after="160" w:line="269" w:lineRule="auto"/>
    </w:pPr>
    <w:rPr>
      <w:rFonts w:ascii="Arial" w:hAnsi="Arial"/>
      <w:b/>
      <w:color w:val="2F694B"/>
      <w:sz w:val="17"/>
      <w:lang w:val="it-IT"/>
    </w:rPr>
  </w:style>
  <w:style w:type="paragraph" w:customStyle="1" w:styleId="ARTitle">
    <w:name w:val="AR Title"/>
    <w:basedOn w:val="Normal"/>
    <w:pPr>
      <w:keepNext/>
      <w:widowControl/>
      <w:spacing w:before="0" w:after="160" w:line="269" w:lineRule="auto"/>
      <w:outlineLvl w:val="0"/>
    </w:pPr>
    <w:rPr>
      <w:rFonts w:ascii="Arial" w:hAnsi="Arial"/>
      <w:b w:val="0"/>
      <w:color w:val="003C2C"/>
      <w:sz w:val="56"/>
      <w:lang w:val="it-IT"/>
    </w:rPr>
  </w:style>
  <w:style w:type="paragraph" w:customStyle="1" w:styleId="ARSubtitle">
    <w:name w:val="AR Subtitle"/>
    <w:basedOn w:val="Normal"/>
    <w:pPr>
      <w:keepNext w:val="0"/>
      <w:widowControl/>
      <w:spacing w:before="0" w:after="240" w:line="269" w:lineRule="auto"/>
    </w:pPr>
    <w:rPr>
      <w:rFonts w:ascii="Arial" w:hAnsi="Arial"/>
      <w:b w:val="0"/>
      <w:color w:val="526359"/>
      <w:sz w:val="24"/>
      <w:lang w:val="it-IT"/>
    </w:rPr>
  </w:style>
  <w:style w:type="paragraph" w:customStyle="1" w:styleId="ARSection">
    <w:name w:val="AR Section"/>
    <w:basedOn w:val="Normal"/>
    <w:pPr>
      <w:keepNext/>
      <w:widowControl/>
      <w:spacing w:before="160" w:after="100" w:line="269" w:lineRule="auto"/>
      <w:outlineLvl w:val="1"/>
    </w:pPr>
    <w:rPr>
      <w:rFonts w:ascii="Arial" w:hAnsi="Arial"/>
      <w:b/>
      <w:color w:val="003C2C"/>
      <w:sz w:val="26"/>
      <w:lang w:val="it-IT"/>
    </w:rPr>
  </w:style>
  <w:style w:type="paragraph" w:customStyle="1" w:styleId="ARSmall">
    <w:name w:val="AR Small"/>
    <w:basedOn w:val="Normal"/>
    <w:pPr>
      <w:keepNext w:val="0"/>
      <w:widowControl/>
      <w:spacing w:before="0" w:after="100" w:line="269" w:lineRule="auto"/>
    </w:pPr>
    <w:rPr>
      <w:rFonts w:ascii="Arial" w:hAnsi="Arial"/>
      <w:b w:val="0"/>
      <w:color w:val="526359"/>
      <w:sz w:val="18"/>
      <w:lang w:val="it-IT"/>
    </w:rPr>
  </w:style>
  <w:style w:type="paragraph" w:customStyle="1" w:styleId="ARLabel">
    <w:name w:val="AR Label"/>
    <w:basedOn w:val="Normal"/>
    <w:pPr>
      <w:keepNext/>
      <w:widowControl/>
      <w:spacing w:before="0" w:after="80" w:line="269" w:lineRule="auto"/>
    </w:pPr>
    <w:rPr>
      <w:rFonts w:ascii="Arial" w:hAnsi="Arial"/>
      <w:b/>
      <w:color w:val="003C2C"/>
      <w:sz w:val="18"/>
      <w:lang w:val="it-IT"/>
    </w:rPr>
  </w:style>
  <w:style w:type="paragraph" w:customStyle="1" w:styleId="ARPlaceholder">
    <w:name w:val="AR Placeholder"/>
    <w:basedOn w:val="Normal"/>
    <w:pPr>
      <w:keepNext w:val="0"/>
      <w:widowControl/>
      <w:spacing w:before="0" w:after="120" w:line="269" w:lineRule="auto"/>
    </w:pPr>
    <w:rPr>
      <w:rFonts w:ascii="Arial" w:hAnsi="Arial"/>
      <w:b w:val="0"/>
      <w:color w:val="6B6252"/>
      <w:sz w:val="22"/>
    </w:rPr>
  </w:style>
  <w:style w:type="paragraph" w:customStyle="1" w:styleId="ARFooter">
    <w:name w:val="AR Footer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526359"/>
      <w:sz w:val="16"/>
      <w:lang w:val="it-IT"/>
    </w:rPr>
  </w:style>
  <w:style w:type="paragraph" w:customStyle="1" w:styleId="ARField">
    <w:name w:val="AR Field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24332D"/>
      <w:sz w:val="20"/>
      <w:lang w:val="it-I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4" Type="http://schemas.openxmlformats.org/officeDocument/2006/relationships/hyperlink" Target="https://www.asha.org/practice-portal/resources/assessment-tools-techniques-and-data-sources/" TargetMode="External"/><Relationship Id="rId15" Type="http://schemas.openxmlformats.org/officeDocument/2006/relationships/hyperlink" Target="https://www.asha.org/practice-portal/professional-issues/augmentative-and-alternative-communication/" TargetMode="External"/><Relationship Id="rId16" Type="http://schemas.openxmlformats.org/officeDocument/2006/relationships/hyperlink" Target="https://www.asha.org/practice-portal/clinical-topics/autism/" TargetMode="External"/><Relationship Id="rId18" Type="http://schemas.openxmlformats.org/officeDocument/2006/relationships/hyperlink" Target="https://www.asha.org/practice-portal/clinical-topics/social-communication-disorder/" TargetMode="External"/><Relationship Id="rId19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www.asha.org/practice-portal/clinical-topics/articulation-and-phonology/" TargetMode="External"/><Relationship Id="rId17" Type="http://schemas.openxmlformats.org/officeDocument/2006/relationships/hyperlink" Target="https://www.asha.org/practice-portal/clinical-topics/dysarthria-in-adults/" TargetMode="External"/><Relationship Id="rId20" Type="http://schemas.openxmlformats.org/officeDocument/2006/relationships/hyperlink" Target="https://www.asha.org/practice-portal/professional-issues/multilingual-service-delivery/" TargetMode="External"/><Relationship Id="rId21" Type="http://schemas.openxmlformats.org/officeDocument/2006/relationships/hyperlink" Target="https://www.asha.org/practice-portal/clinical-topics/childhood-apraxia-of-speech/" TargetMode="External"/><Relationship Id="rId22" Type="http://schemas.openxmlformats.org/officeDocument/2006/relationships/hyperlink" Target="https://www.asha.org/practice-portal/clinical-topics/acquired-apraxia-of-speech/" TargetMode="External"/><Relationship Id="rId23" Type="http://schemas.openxmlformats.org/officeDocument/2006/relationships/hyperlink" Target="https://www.internationalphoneticassociation.org/content/ipa-chart" TargetMode="External"/><Relationship Id="rId24" Type="http://schemas.openxmlformats.org/officeDocument/2006/relationships/hyperlink" Target="https://www.asha.org/practice-portal/clinical-topics/spoken-language-disorders/" TargetMode="External"/><Relationship Id="rId25" Type="http://schemas.openxmlformats.org/officeDocument/2006/relationships/hyperlink" Target="https://www.asha.org/practice-portal/clinical-topics/aphasia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ARMONIA — Osservazione del pasto e delle abilità alimentari</dc:title>
  <dc:subject>OPA v1.0 — Guida allo strumento e scheda operativa non standardizzata</dc:subject>
  <dc:creator>ARMONIA</dc:creator>
  <cp:keywords>ARMONIA, OPA, pasto, abilità alimentari, osservazione non standardizzata</cp:keywords>
  <dc:description>Edizione editoriale del 03/10/2026. Revisione clinica specialistica e validazione non eseguite.</dc:description>
  <cp:lastModifiedBy>ARMONIA</cp:lastModifiedBy>
  <cp:revision>1</cp:revision>
  <dcterms:created xsi:type="dcterms:W3CDTF">2026-10-03T12:00:00Z</dcterms:created>
  <dcterms:modified xsi:type="dcterms:W3CDTF">2026-10-03T12:00:00Z</dcterms:modified>
  <cp:category>Schede osservative e di monitoraggio</cp:category>
  <dc:language>it-IT</dc:language>
  <cp:version>1.0</cp:version>
</cp:coreProperties>
</file>