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Eyebrow"/>
        <w:keepNext/>
      </w:pPr>
      <w:r>
        <w:rPr>
          <w:rFonts w:ascii="Arial" w:hAnsi="Arial"/>
        </w:rPr>
        <w:t>01 / GUIDA ALLO STRUMENTO</w:t>
      </w:r>
    </w:p>
    <w:p>
      <w:pPr>
        <w:pStyle w:val="ARTitle"/>
        <w:keepNext/>
      </w:pPr>
      <w:r>
        <w:rPr>
          <w:rFonts w:ascii="Arial" w:hAnsi="Arial"/>
        </w:rPr>
        <w:t>Profilo osservativo della</w:t>
        <w:br/>
        <w:t>comunicazione e interazione</w:t>
      </w:r>
    </w:p>
    <w:p>
      <w:pPr>
        <w:pStyle w:val="ARSubtitle"/>
        <w:keepNext w:val="0"/>
      </w:pPr>
      <w:r>
        <w:rPr>
          <w:rFonts w:ascii="Arial" w:hAnsi="Arial"/>
        </w:rPr>
        <w:t>Scambi comunicativi, interlocutori, modalità disponibili e partecipazione.</w:t>
      </w:r>
    </w:p>
    <w:p>
      <w:pPr>
        <w:pStyle w:val="ARSmall"/>
        <w:keepNext w:val="0"/>
      </w:pPr>
      <w:r>
        <w:rPr>
          <w:rFonts w:ascii="Arial" w:hAnsi="Arial"/>
        </w:rPr>
        <w:t>Età evolutiva e adulta  /  Voci selezionate individualmente  /  PCI · Versione 1.0</w:t>
      </w:r>
    </w:p>
    <w:p>
      <w:pPr>
        <w:pStyle w:val="ARSection"/>
        <w:keepNext w:val="0"/>
      </w:pPr>
      <w:r>
        <w:rPr>
          <w:rFonts w:ascii="Arial" w:hAnsi="Arial"/>
        </w:rPr>
        <w:t>A cosa serve</w:t>
      </w:r>
    </w:p>
    <w:p>
      <w:pPr>
        <w:keepNext w:val="0"/>
      </w:pPr>
      <w:r>
        <w:rPr>
          <w:rFonts w:ascii="Arial" w:hAnsi="Arial"/>
        </w:rPr>
        <w:t>Questa scheda organizza episodi di comunicazione con partner diversi e informazioni sulla vita quotidiana. Aiuta a descrivere che cosa accade nello scambio, quali condizioni lo facilitano e quali bisogni approfondire, senza assegnare un livello globale alla persona.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A chi è rivolta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A logopedisti con competenze nell’ambito osservato. È destinata a raccolte su bambini, adolescenti e adulti, adattando situazioni e modalità; non prevede aspettative uguali per tutti.</w:t>
            </w: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Che cosa documenta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Sedici voci in quattro aree. Distingue episodi diretti, azioni dei partner, accessibilità e resoconti della persona o di altri. Non richiede necessariamente il parlato.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</w:pPr>
      <w:r>
        <w:rPr>
          <w:rFonts w:ascii="Arial" w:hAnsi="Arial"/>
        </w:rPr>
        <w:t>Due parti, due funzioni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01 · La guida — G1–G9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Istruzioni, modalità di registrazione, definizioni, esempi fittizi e limiti. Da leggere prima della prima compilazione.</w:t>
            </w: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02 · La scheda — S1–S11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Contesto, otto pagine con due voci ciascuna, confronto fra situazioni e sintesi. Si utilizzano solo le pagine pertinenti.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Strumento osservativo non standardizzato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Non è un test né uno screening diagnostico. Non assegna punteggi, soglie, età di sviluppo o diagnosi. Non identifica o esclude autismo o disturbi della comunicazione sociale e non sostituisce valutazioni appropriate.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</w:pPr>
      <w:r>
        <w:rPr>
          <w:rFonts w:ascii="Arial" w:hAnsi="Arial"/>
        </w:rPr>
        <w:t>Come orientarsi</w:t>
      </w:r>
    </w:p>
    <w:p>
      <w:pPr>
        <w:pStyle w:val="ARSmall"/>
        <w:keepNext w:val="0"/>
        <w:spacing w:after="60"/>
      </w:pPr>
      <w:r>
        <w:rPr>
          <w:rFonts w:ascii="Arial" w:hAnsi="Arial"/>
        </w:rPr>
        <w:t>A · Avvio e reciprocità  —  guida G4 · scheda S2–S3</w:t>
      </w:r>
    </w:p>
    <w:p>
      <w:pPr>
        <w:pStyle w:val="ARSmall"/>
        <w:keepNext w:val="0"/>
        <w:spacing w:after="60"/>
      </w:pPr>
      <w:r>
        <w:rPr>
          <w:rFonts w:ascii="Arial" w:hAnsi="Arial"/>
        </w:rPr>
        <w:t>B · Gestione dei messaggi  —  guida G5 · scheda S4–S5</w:t>
      </w:r>
    </w:p>
    <w:p>
      <w:pPr>
        <w:pStyle w:val="ARSmall"/>
        <w:keepNext w:val="0"/>
        <w:spacing w:after="60"/>
      </w:pPr>
      <w:r>
        <w:rPr>
          <w:rFonts w:ascii="Arial" w:hAnsi="Arial"/>
        </w:rPr>
        <w:t>C · Comprensione reciproca  —  guida G6 · scheda S6–S7</w:t>
      </w:r>
    </w:p>
    <w:p>
      <w:pPr>
        <w:pStyle w:val="ARSmall"/>
        <w:keepNext w:val="0"/>
        <w:spacing w:after="60"/>
      </w:pPr>
      <w:r>
        <w:rPr>
          <w:rFonts w:ascii="Arial" w:hAnsi="Arial"/>
        </w:rPr>
        <w:t>D · Contesti e partecipazione  —  guida G7 · scheda S8–S9</w:t>
      </w:r>
    </w:p>
    <w:p>
      <w:pPr>
        <w:pStyle w:val="ARSmall"/>
        <w:keepNext w:val="0"/>
        <w:spacing w:before="100"/>
      </w:pPr>
      <w:r>
        <w:rPr>
          <w:rFonts w:ascii="Arial" w:hAnsi="Arial"/>
        </w:rPr>
        <w:t>Partner = chi partecipa allo scambio: familiare, coetaneo, professionista o altra persona. CAA = comunicazione aumentativa e alternativa. Le voci non sono tappe da superare né una graduatoria di stili comunicativi.</w:t>
      </w:r>
    </w:p>
    <w:p>
      <w:pPr>
        <w:pStyle w:val="AREyebrow"/>
        <w:keepNext/>
        <w:pageBreakBefore/>
      </w:pPr>
      <w:r>
        <w:rPr>
          <w:rFonts w:ascii="Arial" w:hAnsi="Arial"/>
        </w:rPr>
        <w:t>GUIDA / MODALITÀ D’USO</w:t>
      </w:r>
    </w:p>
    <w:p>
      <w:pPr>
        <w:pStyle w:val="ARTitle"/>
        <w:keepNext/>
      </w:pPr>
      <w:r>
        <w:rPr>
          <w:rFonts w:ascii="Arial" w:hAnsi="Arial"/>
        </w:rPr>
        <w:t>Come si utilizza</w:t>
      </w:r>
    </w:p>
    <w:p>
      <w:pPr>
        <w:pStyle w:val="ARSubtitle"/>
        <w:keepNext w:val="0"/>
      </w:pPr>
      <w:r>
        <w:rPr>
          <w:rFonts w:ascii="Arial" w:hAnsi="Arial"/>
        </w:rPr>
        <w:t>Scegli una domanda concreta e osserva lo scambio, non soltanto la persona.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01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Prima: prepara la raccolta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Concorda la domanda con la persona e, quando pertinente, con chi la affianca. Seleziona voci, lingue, modalità e situazioni accessibili. Il confronto tra fonti e contesti può arricchire la raccolta. [1] Non sono previsti materiali obbligatori, durata fissa o numero minimo di opportunità.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02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Durante: descrivi la sequenza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Annota che cosa precede il messaggio, ciò che fanno entrambi i partner e come prosegue lo scambio. Lascia il tempo necessario alla modalità usata. Non sottrarre ausili né provocare incomprensioni o disagio per ottenere una risposta. Rispetta rifiuto, pausa e preferenze; se necessario rinvia.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03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Alla fine: confronta e sintetizza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Distingui episodio, resoconto e interpretazione. Documenta anche l’effetto di ambiente e interlocutori. L’ICF richiama il ruolo del contesto nel funzionamento. [5] Usa S10 per confrontare situazioni e S11 per priorità e approfondimenti decisi dal professionista.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Eyebrow"/>
              <w:keepNext w:val="0"/>
              <w:spacing w:after="60"/>
            </w:pPr>
            <w:r>
              <w:rPr>
                <w:rFonts w:ascii="Arial" w:hAnsi="Arial"/>
              </w:rPr>
              <w:t>ESEMPIO INTERAMENTE FITTIZIO</w:t>
            </w:r>
          </w:p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C3 · Riparazione del proprio messaggio</w:t>
            </w:r>
          </w:p>
          <w:p>
            <w:pPr>
              <w:keepNext w:val="0"/>
              <w:spacing w:after="80"/>
            </w:pPr>
            <w:r>
              <w:rPr>
                <w:rFonts w:ascii="Arial" w:hAnsi="Arial"/>
                <w:b/>
                <w:color w:val="003C2C"/>
              </w:rPr>
              <w:t xml:space="preserve">Riferimento — </w:t>
            </w:r>
            <w:r>
              <w:rPr>
                <w:b w:val="0"/>
              </w:rPr>
              <w:t>Modificare il messaggio dopo un segnale di incomprensione.</w:t>
            </w:r>
          </w:p>
          <w:p>
            <w:pPr>
              <w:keepNext w:val="0"/>
              <w:spacing w:after="80"/>
            </w:pPr>
            <w:r>
              <w:rPr>
                <w:rFonts w:ascii="Arial" w:hAnsi="Arial"/>
                <w:b/>
                <w:color w:val="003C2C"/>
              </w:rPr>
              <w:t xml:space="preserve">Episodio diretto — </w:t>
            </w:r>
            <w:r>
              <w:rPr>
                <w:b w:val="0"/>
              </w:rPr>
              <w:t>Una persona adulta nomina un luogo. Il partner chiede quale; la persona apre una mappa e indica la destinazione. Il partner la identifica e riceve conferma.</w:t>
            </w:r>
          </w:p>
          <w:p>
            <w:pPr>
              <w:keepNext w:val="0"/>
              <w:spacing w:after="80"/>
            </w:pPr>
            <w:r>
              <w:rPr>
                <w:rFonts w:ascii="Arial" w:hAnsi="Arial"/>
                <w:b/>
                <w:color w:val="003C2C"/>
              </w:rPr>
              <w:t xml:space="preserve">Contesto e supporti — </w:t>
            </w:r>
            <w:r>
              <w:rPr>
                <w:b w:val="0"/>
              </w:rPr>
              <w:t>Conversazione tranquilla; telefono già accessibile. Il partner attende, senza suggerire la destinazione.</w:t>
            </w:r>
          </w:p>
          <w:p>
            <w:pPr>
              <w:keepNext w:val="0"/>
              <w:spacing w:after="80"/>
            </w:pPr>
            <w:r>
              <w:rPr>
                <w:rFonts w:ascii="Arial" w:hAnsi="Arial"/>
                <w:b/>
                <w:color w:val="003C2C"/>
              </w:rPr>
              <w:t xml:space="preserve">Rilevazione — </w:t>
            </w:r>
            <w:r>
              <w:rPr>
                <w:b w:val="0"/>
              </w:rPr>
              <w:t>Presente nel contesto per la riparazione descritta, dopo la richiesta del partner. Non significa sempre spontanea o generalizzata.</w:t>
            </w:r>
          </w:p>
          <w:p>
            <w:pPr>
              <w:keepNext w:val="0"/>
              <w:spacing w:after="80"/>
            </w:pPr>
            <w:r>
              <w:rPr>
                <w:rFonts w:ascii="Arial" w:hAnsi="Arial"/>
                <w:b/>
                <w:color w:val="003C2C"/>
              </w:rPr>
              <w:t xml:space="preserve">Informazione riferita — </w:t>
            </w:r>
            <w:r>
              <w:rPr>
                <w:b w:val="0"/>
              </w:rPr>
              <w:t>La persona riferisce di usare la stessa strategia in negozio; il resoconto resta separato dall’episodio osservato.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Ogni esempio è inventato e non è una prova da somministrare. Puoi richiamare lo stesso episodio in più voci senza ricopiarlo: non sono punti da contare due volte.</w:t>
      </w:r>
    </w:p>
    <w:p>
      <w:pPr>
        <w:pStyle w:val="AREyebrow"/>
        <w:keepNext/>
        <w:pageBreakBefore/>
      </w:pPr>
      <w:r>
        <w:rPr>
          <w:rFonts w:ascii="Arial" w:hAnsi="Arial"/>
        </w:rPr>
        <w:t>GUIDA / DESCRITTORI E LETTURA</w:t>
      </w:r>
    </w:p>
    <w:p>
      <w:pPr>
        <w:pStyle w:val="ARTitle"/>
        <w:keepNext/>
      </w:pPr>
      <w:r>
        <w:rPr>
          <w:rFonts w:ascii="Arial" w:hAnsi="Arial"/>
        </w:rPr>
        <w:t>Come registrare le osservazioni</w:t>
      </w:r>
    </w:p>
    <w:p>
      <w:pPr>
        <w:pStyle w:val="ARSubtitle"/>
        <w:keepNext w:val="0"/>
      </w:pPr>
      <w:r>
        <w:rPr>
          <w:rFonts w:ascii="Arial" w:hAnsi="Arial"/>
        </w:rPr>
        <w:t>Descrittori facoltativi per A1–C4; raccolta narrativa per l’area D.</w:t>
      </w:r>
    </w:p>
    <w:p>
      <w:pPr>
        <w:keepNext w:val="0"/>
      </w:pPr>
      <w:r>
        <w:rPr>
          <w:rFonts w:ascii="Arial" w:hAnsi="Arial"/>
        </w:rPr>
        <w:t>Per A1–C4 precisa il comportamento di riferimento e descrivi l’episodio prima di scegliere una voce. I primi tre stati riguardano la raccolta, non la competenza. Attribuisci una sola opzione per comportamento e contesto. In D1–D4 descrivi condizioni, differenze e prospettive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98"/>
        <w:gridCol w:w="4649"/>
        <w:gridCol w:w="3118"/>
      </w:tblGrid>
      <w:tr>
        <w:trPr>
          <w:cantSplit/>
          <w:tblHeader/>
        </w:trPr>
        <w:tc>
          <w:tcPr>
            <w:tcW w:type="dxa" w:w="2098"/>
            <w:vAlign w:val="top"/>
            <w:shd w:fill="003C2C" w:val="clea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REGISTRAZIONE</w:t>
            </w:r>
          </w:p>
        </w:tc>
        <w:tc>
          <w:tcPr>
            <w:tcW w:type="dxa" w:w="4649"/>
            <w:vAlign w:val="top"/>
            <w:shd w:fill="003C2C" w:val="clea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CHE COSA SIGNIFICA</w:t>
            </w:r>
          </w:p>
        </w:tc>
        <w:tc>
          <w:tcPr>
            <w:tcW w:type="dxa" w:w="3118"/>
            <w:vAlign w:val="top"/>
            <w:shd w:fill="003C2C" w:val="clea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CONDIZIONE / ESEMPIO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Non esplorato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La voce non è stata indagata direttamente. Non è un esito negativo.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Può esserci un resoconto, da annotare separatamente.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Non pertinente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La voce non è selezionata per la domanda di questa raccolta.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Motiva la scelta; non usarla per coprire un dubbio.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Non osservabile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Mancano condizioni utili o accessibili per documentare il comportamento.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Non c’è stato un fraintendimento; la riparazione non è osservabile.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Non rilevato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Nelle opportunità utili descritte non compare il comportamento scelto.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Non significa “abilità assente”: specifica occasioni e accesso.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Presente nel contesto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Il comportamento scelto è documentato nelle condizioni annotate.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0F5ED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Non implica autonomia, frequenza o generalizzazione.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/>
                <w:color w:val="003C2C"/>
                <w:sz w:val="20"/>
              </w:rPr>
              <w:t>Solo nota narrativa</w:t>
            </w:r>
          </w:p>
        </w:tc>
        <w:tc>
          <w:tcPr>
            <w:tcW w:type="dxa" w:w="4649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Non attribuisci un descrittore: conservi la descrizione e le incertezze.</w:t>
            </w:r>
          </w:p>
        </w:tc>
        <w:tc>
          <w:tcPr>
            <w:tcW w:type="dxa" w:w="3118"/>
            <w:vAlign w:val="top"/>
            <w:tcMar>
              <w:top w:w="120" w:type="dxa"/>
              <w:bottom w:w="120" w:type="dxa"/>
              <w:start w:w="120" w:type="dxa"/>
              <w:end w:w="120" w:type="dxa"/>
            </w:tcMar>
            <w:shd w:fill="FFFFFF" w:val="clear"/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b w:val="0"/>
                <w:color w:val="24332D"/>
                <w:sz w:val="20"/>
              </w:rPr>
              <w:t>Utile se il segnale è ambiguo. Non è un livello inferiore.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</w:pPr>
      <w:r>
        <w:rPr>
          <w:rFonts w:ascii="Arial" w:hAnsi="Arial"/>
        </w:rPr>
        <w:t>Accessibilità, aiuti e frequenza sono informazioni distinte</w:t>
      </w:r>
    </w:p>
    <w:p>
      <w:pPr>
        <w:keepNext w:val="0"/>
      </w:pPr>
      <w:r>
        <w:rPr>
          <w:rFonts w:ascii="Arial" w:hAnsi="Arial"/>
        </w:rPr>
        <w:t>Annota separatamente l’accesso alla modalità e gli eventuali inviti o modelli della risposta. La presenza di un dispositivo CAA non rende il messaggio “con aiuto”. La CAA non richiede prerequisiti da superare. [3] Indica chi ha selezionato il messaggio, senza attribuire alla persona scelte eseguite da altri.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Nessun punteggio e nessun livello di acquisizione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Non sommare le caselle e non convertire le risposte in percentuali, gravità o profili “nella norma”. Componenti parziali e variabilità si descrivono nelle note. Un campo vuoto non equivale a “Non rilevato”.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Il resoconto della persona, del caregiver o di altri resta identificato per fonte, periodo e contesto. Non usare “Presente” se l’unica evidenza è riferita. Supporti, tempi e opportunità restano associati a ogni episodio. [1]</w:t>
      </w:r>
    </w:p>
    <w:p>
      <w:pPr>
        <w:pStyle w:val="AREyebrow"/>
        <w:keepNext/>
        <w:pageBreakBefore/>
      </w:pPr>
      <w:r>
        <w:rPr>
          <w:rFonts w:ascii="Arial" w:hAnsi="Arial"/>
        </w:rPr>
        <w:t>GUIDA / AREA A · DEFINIZIONI OPERATIVE</w:t>
      </w:r>
    </w:p>
    <w:p>
      <w:pPr>
        <w:pStyle w:val="ARTitle"/>
        <w:keepNext/>
      </w:pPr>
      <w:r>
        <w:rPr>
          <w:rFonts w:ascii="Arial" w:hAnsi="Arial"/>
        </w:rPr>
        <w:t>Avvio e reciprocità</w:t>
      </w:r>
    </w:p>
    <w:p>
      <w:pPr>
        <w:pStyle w:val="ARSubtitle"/>
        <w:keepNext w:val="0"/>
      </w:pPr>
      <w:r>
        <w:rPr>
          <w:rFonts w:ascii="Arial" w:hAnsi="Arial"/>
        </w:rPr>
        <w:t>Come si entra nello scambio e si lascia spazio ai contributi reciproci.</w:t>
      </w:r>
    </w:p>
    <w:p>
      <w:pPr>
        <w:pStyle w:val="ARSmall"/>
        <w:keepNext w:val="0"/>
      </w:pPr>
      <w:r>
        <w:rPr>
          <w:rFonts w:ascii="Arial" w:hAnsi="Arial"/>
        </w:rPr>
        <w:t>Definizioni ed esempi sono elaborazioni operative ARMONIA, non criteri standardizzati. Gli esempi sono fittizi: illustrano come annotare, non attività obbligatorie da proporre.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Iniziativa comunicativa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un segnale con cui la persona avvia o riapre uno scambio: a chi è rivolto, con quale modalità e che cosa lo precede. Distingui l’iniziativa da una risposta a una richiesta esplicita. Un segnale può essere comunicativo anche senza parola o sguardo diretto; se il significato è incerto, dichiaralo.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Una bambina porge il disegno al compagno e indica un dettaglio; il compagno commenta. Nessuno le aveva chiesto di mostrarlo.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Risposta all’interlocutore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Riporta la proposta del partner e la risposta collegata: parola, gesto, segno, scelta su un sistema, rifiuto o pausa comunicata. Specifica il tempo lasciato e le condizioni di accesso. Non equiparare rispondere a eseguire una consegna; dal silenzio, da solo, non inferire mancata comprensione o disinteresse.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Alla domanda su quale attività preferisce, un ragazzo indica “pausa” sulla tabella; il partner riconosce la scelta e interrompe.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Attenzione e disponibilità nello scambio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gli indizi che collegano la persona allo scambio e la disponibilità del partner ad accoglierli. Considera orientamento, richiamo a un contenuto, gesti, risposte differite e pause. Riporta l’episodio senza attribuire attenzione, intenzioni o qualità della relazione a partire dalla sola postura o direzione dello sguardo.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Un’adolescente guarda il tavolo mentre ascolta; poi riprende un dettaglio del messaggio e chiede una precisazione pertinente.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Alternanza dei turni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Documenta la sequenza di contributi, i tempi, le pause e le eventuali sovrapposizioni. Annota come ogni partner entra nello scambio o cede spazio, tenendo conto della modalità e delle abitudini condivise. Non fissare un numero minimo di turni né trattare ogni sovrapposizione come un errore.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Durante un gioco, il bambino indica la propria scelta. Il compagno attende la selezione sul dispositivo prima di aggiungere la sua.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Reciprocità oltre lo sguardo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Lo scambio può includere modalità diverse dallo sguardo diretto. [4] In questa scheda si documenta il contributo reciproco, senza usare obbedienza, immobilità o imitazione di uno stile sociale come criteri di riuscita.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Compilazione: S2–S3 · Modalità di registrazione: G3</w:t>
      </w:r>
    </w:p>
    <w:p>
      <w:pPr>
        <w:pStyle w:val="AREyebrow"/>
        <w:keepNext/>
        <w:pageBreakBefore/>
      </w:pPr>
      <w:r>
        <w:rPr>
          <w:rFonts w:ascii="Arial" w:hAnsi="Arial"/>
        </w:rPr>
        <w:t>GUIDA / AREA B · DEFINIZIONI OPERATIVE</w:t>
      </w:r>
    </w:p>
    <w:p>
      <w:pPr>
        <w:pStyle w:val="ARTitle"/>
        <w:keepNext/>
      </w:pPr>
      <w:r>
        <w:rPr>
          <w:rFonts w:ascii="Arial" w:hAnsi="Arial"/>
        </w:rPr>
        <w:t>Gestione dei messaggi</w:t>
      </w:r>
    </w:p>
    <w:p>
      <w:pPr>
        <w:pStyle w:val="ARSubtitle"/>
        <w:keepNext w:val="0"/>
      </w:pPr>
      <w:r>
        <w:rPr>
          <w:rFonts w:ascii="Arial" w:hAnsi="Arial"/>
        </w:rPr>
        <w:t>Funzioni, modalità, continuità e informazioni utili a chi ascolta.</w:t>
      </w:r>
    </w:p>
    <w:p>
      <w:pPr>
        <w:pStyle w:val="ARSmall"/>
        <w:keepNext w:val="0"/>
      </w:pPr>
      <w:r>
        <w:rPr>
          <w:rFonts w:ascii="Arial" w:hAnsi="Arial"/>
        </w:rPr>
        <w:t>Definizioni ed esempi sono elaborazioni operative ARMONIA, non criteri standardizzati. Gli esempi sono fittizi: illustrano come annotare, non attività obbligatorie da proporre.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Funzioni comunicative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Scegli la funzione che interessa alla domanda: richiedere, rifiutare, scegliere, commentare, condividere o informare. Descrivi che cosa è comunicato e come il partner lo riconosce. Non attribuire un unico descrittore al repertorio intero. Se la funzione non è chiara, conserva più interpretazioni possibili senza forzare una scelta.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La persona allontana il materiale e indica “basta”; il partner interrompe. Si documenta il rifiuto.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Uso delle modalità comunicative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Registra come vengono usati parlato, vocalizzazioni, gesti, segni, scrittura o CAA, da soli o insieme. Specifica il messaggio, l’accessibilità del sistema e le azioni dei partner. Scegli una funzione concreta per l’eventuale descrittore. Non ordinare le modalità dal “meno” al “più evoluto”.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Un adulto completa il messaggio scrivendo un nome sul telefono; il partner legge e conferma il referente.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Continuità del tema o dell’attività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come un contributo si collega al precedente, amplia il tema, lo cambia o chiude l’attività. Con chi non usa una conversazione verbale, il riferimento può essere uno scopo o un oggetto condiviso. Valuta la comprensibilità del passaggio per entrambi, non la permanenza forzata sul tema scelto dal professionista.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Parlando della scuola, il bambino indica il pullman; il partner chiede del viaggio e il bambino aggiunge un dettaglio.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Informazioni utili all’interlocutore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Osserva se il messaggio rende identificabili persone, oggetti o eventi nel contesto condiviso. Annota ciò che il partner già conosce e le informazioni aggiunte, spontaneamente o dopo una domanda. Non valutare la lunghezza della frase come indice di qualità, né inferire una capacità generale di assumere la prospettiva altrui.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A un partner nuovo dice “il collega Marco”; su richiesta precisa a quale ufficio si riferisce.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Funzione e forma non sono la stessa cosa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La stessa richiesta può essere espressa con parole, gesti o CAA. Un episodio può documentare più voci: richiamalo senza duplicare conclusioni. Questa panoramica non sostituisce un approfondimento specifico del linguaggio o della CAA.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Compilazione: S4–S5 · Modalità di registrazione: G3</w:t>
      </w:r>
    </w:p>
    <w:p>
      <w:pPr>
        <w:pStyle w:val="AREyebrow"/>
        <w:keepNext/>
        <w:pageBreakBefore/>
      </w:pPr>
      <w:r>
        <w:rPr>
          <w:rFonts w:ascii="Arial" w:hAnsi="Arial"/>
        </w:rPr>
        <w:t>GUIDA / AREA C · DEFINIZIONI OPERATIVE</w:t>
      </w:r>
    </w:p>
    <w:p>
      <w:pPr>
        <w:pStyle w:val="ARTitle"/>
        <w:keepNext/>
      </w:pPr>
      <w:r>
        <w:rPr>
          <w:rFonts w:ascii="Arial" w:hAnsi="Arial"/>
        </w:rPr>
        <w:t>Comprensione reciproca</w:t>
      </w:r>
    </w:p>
    <w:p>
      <w:pPr>
        <w:pStyle w:val="ARSubtitle"/>
        <w:keepNext w:val="0"/>
      </w:pPr>
      <w:r>
        <w:rPr>
          <w:rFonts w:ascii="Arial" w:hAnsi="Arial"/>
        </w:rPr>
        <w:t>Segnalare un problema, chiarirlo e verificare il significato condiviso.</w:t>
      </w:r>
    </w:p>
    <w:p>
      <w:pPr>
        <w:pStyle w:val="ARSmall"/>
        <w:keepNext w:val="0"/>
      </w:pPr>
      <w:r>
        <w:rPr>
          <w:rFonts w:ascii="Arial" w:hAnsi="Arial"/>
        </w:rPr>
        <w:t>Definizioni ed esempi sono elaborazioni operative ARMONIA, non criteri standardizzati. Gli esempi sono fittizi: illustrano come annotare, non attività obbligatorie da proporre.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Segnalazione di una difficoltà di comprensione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Documenta un segnale con cui la persona rende riconoscibile che il messaggio ricevuto non è chiaro. Specifica che cosa lo precede e come viene interpretato dal partner. Silenzio, attesa o risposta diversa dal previsto non provano da soli incomprensione; se il segnale è ambiguo, annota l’incertezza.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Dopo la spiegazione indica “non ho capito”. Non precisa quale parte; il partner offre di riprenderla.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Richiesta di chiarimento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Raccogli una richiesta che mira a ottenere ripetizione, precisazione, esempio o un’altra modalità. Distinguila dalla sola segnalazione generica di C1: qui viene richiesta un’azione utile al partner. Le due voci possono richiamare lo stesso episodio. Non provocare apposta incomprensioni per ottenere una prestazione.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Un ragazzo chiede “quale dei due?”; il partner precisa il referente e lo scambio prosegue.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Riparazione del proprio messaggio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come la persona ripropone o modifica un messaggio quando l’altro non ha compreso. Specifica il segnale del partner, eventuali suggerimenti e la strategia usata: ripetere, riformulare, aggiungere, indicare o cambiare modalità. Registra l’esito; un tentativo di riparazione non coincide necessariamente con la comprensione raggiunta.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Alla domanda “dove?”, la bambina ripete il nome e indica la stanza; il compagno identifica il luogo.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Verifica del significato condiviso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Osserva come i partner controllano di riferirsi alla stessa cosa, confermano o correggono un’interpretazione. Distingui l’accordo esplicito da un’ipotesi dell’osservatore. Un sì isolato non garantisce comprensione: descrivi la sequenza e lascia spazio a correzione o dissenso, senza trattare l’acquiescenza come riuscita.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Il partner chiede “quindi domani?”. La persona corregge “no, venerdì”; alla nuova data dà conferma.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Senza un’occasione utile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Senza un’incomprensione o un dubbio da chiarire, la riparazione può risultare “Non osservabile”, non “Non rilevato”. Registra gli episodi naturali e l’esito: risolto, parzialmente chiarito o non chiarito, specificando perché.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Compilazione: S6–S7 · Modalità di registrazione: G3</w:t>
      </w:r>
    </w:p>
    <w:p>
      <w:pPr>
        <w:pStyle w:val="AREyebrow"/>
        <w:keepNext/>
        <w:pageBreakBefore/>
      </w:pPr>
      <w:r>
        <w:rPr>
          <w:rFonts w:ascii="Arial" w:hAnsi="Arial"/>
        </w:rPr>
        <w:t>GUIDA / AREA D · DEFINIZIONI OPERATIVE</w:t>
      </w:r>
    </w:p>
    <w:p>
      <w:pPr>
        <w:pStyle w:val="ARTitle"/>
        <w:keepNext/>
      </w:pPr>
      <w:r>
        <w:rPr>
          <w:rFonts w:ascii="Arial" w:hAnsi="Arial"/>
        </w:rPr>
        <w:t>Contesti e partecipazione</w:t>
      </w:r>
    </w:p>
    <w:p>
      <w:pPr>
        <w:pStyle w:val="ARSubtitle"/>
        <w:keepNext w:val="0"/>
      </w:pPr>
      <w:r>
        <w:rPr>
          <w:rFonts w:ascii="Arial" w:hAnsi="Arial"/>
        </w:rPr>
        <w:t>Differenze tra situazioni, adattamenti reciproci e prospettiva della persona.</w:t>
      </w:r>
    </w:p>
    <w:p>
      <w:pPr>
        <w:pStyle w:val="ARSmall"/>
        <w:keepNext w:val="0"/>
      </w:pPr>
      <w:r>
        <w:rPr>
          <w:rFonts w:ascii="Arial" w:hAnsi="Arial"/>
        </w:rPr>
        <w:t>Definizioni ed esempi sono elaborazioni operative ARMONIA, non criteri standardizzati. Gli esempi sono fittizi: illustrano come annotare, non attività obbligatorie da proporre.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Adattamento condiviso al contesto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Descrivi quali cambiamenti di linguaggio, ritmo, modalità, ambiente o ruolo rendono lo scambio più accessibile. Riporta sia le azioni della persona sia quelle dei partner. Non assegnare un livello di “adeguatezza”: chiarisci lo scopo condiviso e le abitudini pertinenti a quella situazione, senza usare uno standard sociale unico.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Nel gruppo, con meno voci sovrapposte e scelte scritte, la persona contribuisce indicando e parlando.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Scambi con partner diversi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Confronta soltanto le situazioni documentate: familiare o non familiare, adulto o coetaneo, singolo o gruppo. Per ogni dato conserva fonte, ruolo, lingua, attività e supporti. Se hai osservato un solo partner, dichiara il limite. Usa S10 per il confronto, senza trasformare una differenza in un tratto stabile della persona.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È osservata una richiesta al terapista. Un’insegnante riferisce richieste ai compagni: è un’altra fonte.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Flessibilità e negoziazione nello scambio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Documenta come i partner gestiscono un cambiamento, un’alternativa, un disaccordo o la chiusura. Riporta anticipazioni, possibilità di scelta, tempi, proposte e rifiuti. Flessibilità non significa accettare ogni richiesta: anche mantenere una preferenza o negoziare una pausa può essere parte di uno scambio comprensibile.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Al cambio di attività, una ragazza chiede di finire un passaggio. Il partner concorda il tempo e attende.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Partecipazione, preferenze e impatto riferito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</w:rPr>
        <w:t>Registra attività desiderate, scelte, barriere e condizioni di partecipazione. Raccogli il punto di vista della persona nella modalità accessibile e separalo da quello di caregiver o altri. Non dedurre fatica, soddisfazione o motivazione dalla prestazione esterna. Se non disponibili, annota le informazioni mancanti senza sostituirle con ipotesi.</w:t>
      </w:r>
    </w:p>
    <w:p>
      <w:pPr>
        <w:pStyle w:val="ARSmall"/>
        <w:keepNext w:val="0"/>
        <w:spacing w:after="200"/>
      </w:pPr>
      <w:r>
        <w:rPr>
          <w:rFonts w:ascii="Arial" w:hAnsi="Arial"/>
          <w:b/>
          <w:color w:val="003C2C"/>
        </w:rPr>
        <w:t xml:space="preserve">Esempio — </w:t>
      </w:r>
      <w:r>
        <w:rPr>
          <w:b w:val="0"/>
        </w:rPr>
        <w:t>L’adulto partecipa e riferisce fatica nei gruppi, con preferenza per incontri brevi: sono dati distinti.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Un profilo, non una graduatoria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Le norme comunicative variano tra persone e contesti culturali; l’osservazione va collegata a bisogni e obiettivi della persona. [2] Le quattro voci dell’area D non prevedono “Presente”, “Emergente” o altri livelli.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Compilazione: S8–S9 · Modalità di registrazione: G3 · Confronto: S10</w:t>
      </w:r>
    </w:p>
    <w:p>
      <w:pPr>
        <w:pStyle w:val="AREyebrow"/>
        <w:keepNext/>
        <w:pageBreakBefore/>
      </w:pPr>
      <w:r>
        <w:rPr>
          <w:rFonts w:ascii="Arial" w:hAnsi="Arial"/>
        </w:rPr>
        <w:t>GUIDA / ESEMPI E MONITORAGGIO</w:t>
      </w:r>
    </w:p>
    <w:p>
      <w:pPr>
        <w:pStyle w:val="ARTitle"/>
        <w:keepNext/>
      </w:pPr>
      <w:r>
        <w:rPr>
          <w:rFonts w:ascii="Arial" w:hAnsi="Arial"/>
        </w:rPr>
        <w:t>Dagli episodi alla sintesi</w:t>
      </w:r>
    </w:p>
    <w:p>
      <w:pPr>
        <w:pStyle w:val="ARSubtitle"/>
        <w:keepNext w:val="0"/>
      </w:pPr>
      <w:r>
        <w:rPr>
          <w:rFonts w:ascii="Arial" w:hAnsi="Arial"/>
        </w:rPr>
        <w:t>Quattro esempi fittizi per distinguere limiti, contesti e bisogni.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01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C3 · Nessuna incomprensione emersa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Nel breve scambio tutti i messaggi vengono compresi. La riparazione non ha un’occasione utile: si annota “Non osservabile”, non “Non rilevato”. Non si creano errori deliberati per riempire la voce.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02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A1 · Un ostacolo di accesso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Il sistema usato abitualmente non è disponibile e non è presente una modalità alternativa accessibile. Non si descrive un’assenza di iniziativa: si registra il limite e si riprende la raccolta con condizioni adeguate. Gli ausili non vanno sottratti per “misurare l’autonomia”.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03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D2 · Un dato osservato, uno riferito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Con un familiare sono documentate iniziative; a scuola le iniziative sono solo riferite dall’insegnante. S10 mantiene distinti fonti, partner e attività. Non si conclude che il comportamento sia generalizzato né che il contesto non osservato sia problematico.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 w:val="0"/>
              <w:spacing w:after="0"/>
            </w:pPr>
            <w:r>
              <w:rPr>
                <w:rFonts w:ascii="Arial" w:hAnsi="Arial"/>
                <w:color w:val="2F694B"/>
                <w:sz w:val="48"/>
              </w:rPr>
              <w:t>04</w:t>
            </w:r>
          </w:p>
        </w:tc>
        <w:tc>
          <w:tcPr>
            <w:tcW w:type="dxa" w:w="901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pStyle w:val="ARSection"/>
              <w:keepNext w:val="0"/>
              <w:spacing w:before="0" w:after="60"/>
            </w:pPr>
            <w:r>
              <w:rPr>
                <w:rFonts w:ascii="Arial" w:hAnsi="Arial"/>
              </w:rPr>
              <w:t>D4 · Partecipazione e fatica non coincidono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La persona risponde durante un incontro, ma riferisce fatica e preferenza per scambi più brevi. La sintesi conserva entrambe le informazioni. Una conversazione riuscita non autorizza a dichiarare “nessun bisogno”; un resoconto altrui non sostituisce quello della persona.</w:t>
            </w:r>
          </w:p>
        </w:tc>
      </w:tr>
    </w:tbl>
    <w:p>
      <w:pPr>
        <w:keepNext w:val="0"/>
        <w:spacing w:after="0" w:line="18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</w:pPr>
      <w:r>
        <w:rPr>
          <w:rFonts w:ascii="Arial" w:hAnsi="Arial"/>
        </w:rPr>
        <w:t>Confrontare senza inventare un cambiamento</w:t>
      </w:r>
    </w:p>
    <w:p>
      <w:pPr>
        <w:keepNext w:val="0"/>
      </w:pPr>
      <w:r>
        <w:rPr>
          <w:rFonts w:ascii="Arial" w:hAnsi="Arial"/>
        </w:rPr>
        <w:t>Usa S10 per lo stesso comportamento in due situazioni o due momenti. Indica ciò che è cambiato: partner, attività, lingua, modalità, tempi e supporti. Se le condizioni differiscono, descrivi la differenza senza attribuirla automaticamente a un miglioramento o peggioramento. Se utile, allega una nuova copia datata.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Esempio di sintesi utile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“Con il partner familiare sono documentate richieste di chiarimento tramite gesto e parola. Nel gruppo mancano ancora episodi diretti. Facilitano lo scambio pause e turni riconoscibili. La persona chiede incontri più brevi. Priorità concordata: osservare una situazione di gruppo accessibile.”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Non ricavare diagnosi, gravità, “età pragmatica” o percentuali dalle caselle. I conteggi eventualmente annotati descrivono soltanto le opportunità documentate, non una norma o un cambiamento clinicamente significativo.</w:t>
      </w:r>
    </w:p>
    <w:p>
      <w:pPr>
        <w:pStyle w:val="AREyebrow"/>
        <w:keepNext/>
        <w:pageBreakBefore/>
      </w:pPr>
      <w:r>
        <w:rPr>
          <w:rFonts w:ascii="Arial" w:hAnsi="Arial"/>
        </w:rPr>
        <w:t>GUIDA / FONTI, LIMITI E VERSIONE</w:t>
      </w:r>
    </w:p>
    <w:p>
      <w:pPr>
        <w:pStyle w:val="ARTitle"/>
        <w:keepNext/>
      </w:pPr>
      <w:r>
        <w:rPr>
          <w:rFonts w:ascii="Arial" w:hAnsi="Arial"/>
        </w:rPr>
        <w:t>Fonti, limiti e versione</w:t>
      </w:r>
    </w:p>
    <w:p>
      <w:pPr>
        <w:pStyle w:val="ARSubtitle"/>
        <w:keepNext w:val="0"/>
      </w:pPr>
      <w:r>
        <w:rPr>
          <w:rFonts w:ascii="Arial" w:hAnsi="Arial"/>
        </w:rPr>
        <w:t>Principi di riferimento, natura dello strumento e condizioni d’uso.</w:t>
      </w:r>
    </w:p>
    <w:p>
      <w:pPr>
        <w:pStyle w:val="ARSection"/>
        <w:keepNext w:val="0"/>
      </w:pPr>
      <w:r>
        <w:rPr>
          <w:rFonts w:ascii="Arial" w:hAnsi="Arial"/>
        </w:rPr>
        <w:t>Origine dei contenuti</w:t>
      </w:r>
    </w:p>
    <w:p>
      <w:pPr>
        <w:keepNext w:val="0"/>
      </w:pPr>
      <w:r>
        <w:rPr>
          <w:rFonts w:ascii="Arial" w:hAnsi="Arial"/>
        </w:rPr>
        <w:t>Sedici voci in quattro aree, con guida e scheda separate. Definizioni, registrazioni ed esempi sono elaborazioni editoriali ARMONIA, non una traduzione o adattamento di un test. Le fonti orientano i principi generali; non forniscono validazione agli item né attestano efficacia dello strumento.</w:t>
      </w:r>
    </w:p>
    <w:p>
      <w:pPr>
        <w:pStyle w:val="ARSection"/>
        <w:keepNext w:val="0"/>
      </w:pPr>
      <w:r>
        <w:rPr>
          <w:rFonts w:ascii="Arial" w:hAnsi="Arial"/>
        </w:rPr>
        <w:t>Fonti di orientamento</w:t>
      </w:r>
    </w:p>
    <w:p>
      <w:pPr>
        <w:pStyle w:val="ARSmall"/>
        <w:keepNext w:val="0"/>
      </w:pPr>
      <w:r>
        <w:rPr>
          <w:rFonts w:ascii="Arial" w:hAnsi="Arial"/>
        </w:rPr>
        <w:t>Consultate il 03/10/2026. I richiami [1]–[5] riguardano i principi esplicitati, non affidabilità o validità del PCI. I riferimenti professionali statunitensi non definiscono procedure normative italiane. Titoli collegati alle fonti.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</w:rPr>
        <w:t>[1] American Speech-Language-Hearing Association (ASHA).</w:t>
      </w:r>
    </w:p>
    <w:p>
      <w:pPr>
        <w:keepNext w:val="0"/>
        <w:spacing w:after="40"/>
      </w:pPr>
      <w:hyperlink r:id="rId14">
        <w:r>
          <w:rPr>
            <w:rFonts w:ascii="Arial" w:hAnsi="Arial"/>
            <w:sz w:val="18"/>
            <w:color w:val="003C2C"/>
            <w:u w:val="single"/>
          </w:rPr>
          <w:t>Assessment Tools, Techniques, and Data Sources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</w:rPr>
        <w:t>Practice Portal, s.d. · Osservazione contestuale e confronto tra fonti.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</w:rPr>
        <w:t>[2] American Speech-Language-Hearing Association (ASHA).</w:t>
      </w:r>
    </w:p>
    <w:p>
      <w:pPr>
        <w:keepNext w:val="0"/>
        <w:spacing w:after="40"/>
      </w:pPr>
      <w:hyperlink r:id="rId18">
        <w:r>
          <w:rPr>
            <w:rFonts w:ascii="Arial" w:hAnsi="Arial"/>
            <w:sz w:val="18"/>
            <w:color w:val="003C2C"/>
            <w:u w:val="single"/>
          </w:rPr>
          <w:t>Social Communication Disorder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</w:rPr>
        <w:t>Practice Portal, s.d. · Variabilità culturale, contesti e obiettivi individuali.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</w:rPr>
        <w:t>[3] American Speech-Language-Hearing Association (ASHA).</w:t>
      </w:r>
    </w:p>
    <w:p>
      <w:pPr>
        <w:keepNext w:val="0"/>
        <w:spacing w:after="40"/>
      </w:pPr>
      <w:hyperlink r:id="rId15">
        <w:r>
          <w:rPr>
            <w:rFonts w:ascii="Arial" w:hAnsi="Arial"/>
            <w:sz w:val="18"/>
            <w:color w:val="003C2C"/>
            <w:u w:val="single"/>
          </w:rPr>
          <w:t>Augmentative and Alternative Communication (AAC)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</w:rPr>
        <w:t>Practice Portal, s.d. · Modalità disponibili, accesso e assenza di prerequisiti.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</w:rPr>
        <w:t>[4] American Speech-Language-Hearing Association (ASHA).</w:t>
      </w:r>
    </w:p>
    <w:p>
      <w:pPr>
        <w:keepNext w:val="0"/>
        <w:spacing w:after="40"/>
      </w:pPr>
      <w:hyperlink r:id="rId16">
        <w:r>
          <w:rPr>
            <w:rFonts w:ascii="Arial" w:hAnsi="Arial"/>
            <w:sz w:val="18"/>
            <w:color w:val="003C2C"/>
            <w:u w:val="single"/>
          </w:rPr>
          <w:t>Autism and Autism Spectrum Disorder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</w:rPr>
        <w:t>Practice Portal, s.d. · Reciprocità, modalità comunicative e contatto oculare.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</w:rPr>
        <w:t>[5] World Health Organization (WHO).</w:t>
      </w:r>
    </w:p>
    <w:p>
      <w:pPr>
        <w:keepNext w:val="0"/>
        <w:spacing w:after="40"/>
      </w:pPr>
      <w:hyperlink r:id="rId19">
        <w:r>
          <w:rPr>
            <w:rFonts w:ascii="Arial" w:hAnsi="Arial"/>
            <w:sz w:val="18"/>
            <w:color w:val="003C2C"/>
            <w:u w:val="single"/>
          </w:rPr>
          <w:t>International Classification of Functioning, Disability and Health (ICF)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</w:rPr>
        <w:t>Pagina istituzionale, s.d. · Ruolo del contesto e dei fattori ambientali.</w:t>
      </w:r>
    </w:p>
    <w:p>
      <w:pPr>
        <w:pStyle w:val="ARSection"/>
        <w:keepNext w:val="0"/>
      </w:pPr>
      <w:r>
        <w:rPr>
          <w:rFonts w:ascii="Arial" w:hAnsi="Arial"/>
        </w:rPr>
        <w:t>Edizione e limiti d’uso</w:t>
      </w:r>
    </w:p>
    <w:p>
      <w:pPr>
        <w:pStyle w:val="ARSmall"/>
        <w:keepNext w:val="0"/>
      </w:pPr>
      <w:r>
        <w:rPr>
          <w:rFonts w:ascii="Arial" w:hAnsi="Arial"/>
        </w:rPr>
        <w:t>PCI v1.0 · 03/10/2026 · Edizione editoriale definitiva, redatta con supporto di IA. Revisione clinica e validazione psicometrica non eseguite. Prima dell’impiego professionale, verificare contenuti, pertinenza, accessibilità e modalità d’uso. La completezza editoriale non equivale a validazione clinica.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pStyle w:val="ARSection"/>
              <w:keepNext w:val="0"/>
              <w:spacing w:before="0" w:after="80"/>
            </w:pPr>
            <w:r>
              <w:rPr>
                <w:rFonts w:ascii="Arial" w:hAnsi="Arial"/>
              </w:rPr>
              <w:t>Non usare come filtro di accesso o diagnosi</w:t>
            </w:r>
          </w:p>
          <w:p>
            <w:pPr>
              <w:keepNext w:val="0"/>
              <w:spacing w:after="0"/>
            </w:pPr>
            <w:r>
              <w:rPr>
                <w:rFonts w:ascii="Arial" w:hAnsi="Arial"/>
              </w:rPr>
              <w:t>La scheda non stabilisce idoneità alla CAA, accesso ai servizi o presenza di un disturbo. Un bisogno di approfondimento non va subordinato al completamento delle voci. Difficoltà persistenti o cambiamenti rilevanti vanno valutati dal professionista nel quadro complessivo.</w:t>
            </w:r>
          </w:p>
        </w:tc>
      </w:tr>
    </w:tbl>
    <w:p>
      <w:pPr>
        <w:keepNext w:val="0"/>
        <w:spacing w:after="0" w:line="14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</w:pPr>
      <w:r>
        <w:rPr>
          <w:rFonts w:ascii="Arial" w:hAnsi="Arial"/>
        </w:rPr>
        <w:t>Identificazione: ARMONIA — Profilo osservativo della comunicazione e interazione, PCI v1.0, 03/10/2026. Guida G1–G9; scheda S1–S11. Conservare versione e data con ogni raccolta.</w:t>
      </w:r>
    </w:p>
    <w:p>
      <w:pPr>
        <w:spacing w:before="0" w:after="0" w:line="20" w:lineRule="exact"/>
        <w:sectPr>
          <w:headerReference w:type="default" r:id="rId9"/>
          <w:footerReference w:type="default" r:id="rId10"/>
          <w:pgSz w:w="11906" w:h="16838"/>
          <w:pgMar w:top="2211" w:right="1020" w:bottom="1020" w:left="1020" w:header="510" w:footer="510" w:gutter="0"/>
          <w:cols w:space="720"/>
          <w:docGrid w:linePitch="360"/>
        </w:sectPr>
      </w:pPr>
    </w:p>
    <w:p>
      <w:pPr>
        <w:pStyle w:val="AREyebrow"/>
        <w:keepNext/>
      </w:pPr>
      <w:r>
        <w:rPr>
          <w:rFonts w:ascii="Arial" w:hAnsi="Arial"/>
        </w:rPr>
        <w:t>02 / SCHEDA OPERATIVA</w:t>
      </w:r>
    </w:p>
    <w:p>
      <w:pPr>
        <w:pStyle w:val="ARTitle"/>
        <w:keepNext/>
      </w:pPr>
      <w:r>
        <w:rPr>
          <w:rFonts w:ascii="Arial" w:hAnsi="Arial"/>
        </w:rPr>
        <w:t>Dati e contesto</w:t>
      </w:r>
    </w:p>
    <w:p>
      <w:pPr>
        <w:pStyle w:val="ARSubtitle"/>
        <w:keepNext w:val="0"/>
      </w:pPr>
      <w:r>
        <w:rPr>
          <w:rFonts w:ascii="Arial" w:hAnsi="Arial"/>
        </w:rPr>
        <w:t>Profilo osservativo della comunicazione e interazione</w:t>
      </w:r>
    </w:p>
    <w:p>
      <w:pPr>
        <w:pStyle w:val="ARSmall"/>
        <w:keepNext w:val="0"/>
      </w:pPr>
      <w:r>
        <w:rPr>
          <w:rFonts w:ascii="Arial" w:hAnsi="Arial"/>
        </w:rPr>
        <w:t>Scheda osservativa non standardizzata · PCI v1.0. Compila solo quanto utile a leggere la raccolta; indica dati non disponibili e condizioni di accesso.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680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Nome o codice della persona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Età alla raccolta / unità (anni o mesi)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680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Data/e e durata dell’osservazione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Data di compilazione / professionista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91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Motivo della raccolta e domanda osservativa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□ Prima osservazione     □ Approfondimento     □ Monitoraggio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964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Luogo, attività e scopo dello scambio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Partner presenti / ruolo e familiarità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34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Lingue e modalità disponibili o preferite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Accesso sensoriale, motorio e sistema CAA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Interessi e priorità della persona / altre priorità riferite, con fonte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  <w:spacing w:before="100"/>
      </w:pPr>
      <w:r>
        <w:rPr>
          <w:rFonts w:ascii="Arial" w:hAnsi="Arial"/>
        </w:rPr>
        <w:t>Fonti delle informazioni</w:t>
      </w:r>
    </w:p>
    <w:p>
      <w:pPr>
        <w:pStyle w:val="ARField"/>
        <w:keepNext w:val="0"/>
        <w:spacing w:after="60"/>
      </w:pPr>
      <w:r>
        <w:rPr>
          <w:rFonts w:ascii="Arial" w:hAnsi="Arial"/>
        </w:rPr>
        <w:t>□ Osservazione diretta     □ Persona     □ Caregiver / altri     □ Documenti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6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o documentali: fonte, periodo, contesto / riferimento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Condizioni che hanno influenzato la raccolta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Per esempio: accessibilità, lingua, rumore, familiarità, tempi o fatica riferita.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  <w:spacing w:before="80"/>
      </w:pPr>
      <w:r>
        <w:rPr>
          <w:rFonts w:ascii="Arial" w:hAnsi="Arial"/>
        </w:rPr>
        <w:t>Seleziona le aree utili</w:t>
      </w:r>
    </w:p>
    <w:p>
      <w:pPr>
        <w:pStyle w:val="ARField"/>
        <w:keepNext w:val="0"/>
        <w:spacing w:after="80"/>
      </w:pPr>
      <w:r>
        <w:rPr>
          <w:rFonts w:ascii="Arial" w:hAnsi="Arial"/>
        </w:rPr>
        <w:t>□ A · Avvio e reciprocità                 □ B · Gestione dei messaggi</w:t>
        <w:br/>
        <w:t>□ C · Comprensione reciproca        □ D · Contesti e partecipazione</w:t>
      </w:r>
    </w:p>
    <w:p>
      <w:pPr>
        <w:pStyle w:val="ARSmall"/>
        <w:keepNext w:val="0"/>
      </w:pPr>
      <w:r>
        <w:rPr>
          <w:rFonts w:ascii="Arial" w:hAnsi="Arial"/>
        </w:rPr>
        <w:t>Guida: G1–G9 · Voci: S2–S9 · Confronto: S10 · Sintesi: S11. Seleziona solo le pagine utili; una voce vuota non significa “Non rilevato”. La scheda non produce un esito diagnostico.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A · A1–A2</w:t>
      </w:r>
    </w:p>
    <w:p>
      <w:pPr>
        <w:pStyle w:val="ARTitle"/>
        <w:keepNext/>
      </w:pPr>
      <w:r>
        <w:rPr>
          <w:rFonts w:ascii="Arial" w:hAnsi="Arial"/>
        </w:rPr>
        <w:t>Avvio e reciprocità</w:t>
      </w:r>
    </w:p>
    <w:p>
      <w:pPr>
        <w:pStyle w:val="ARSubtitle"/>
        <w:keepNext w:val="0"/>
      </w:pPr>
      <w:r>
        <w:rPr>
          <w:rFonts w:ascii="Arial" w:hAnsi="Arial"/>
        </w:rPr>
        <w:t>Come si entra nello scambio e si lascia spazio ai contributi reciproci.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>Codice persona: 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Iniziativa comunicativa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Segnali rivolti a un partner per iniziare o riaprire uno scambio, precisando ciò che li precede.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Risposta all’interlocutore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Risposte collegate al contributo del partner, comprese scelte, rifiuti e richieste di pausa.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G4. Precisa il comportamento di riferimento e le condizioni. “Non rilevato” non significa assente; se l’episodio è ambiguo, usa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A · A3–A4</w:t>
      </w:r>
    </w:p>
    <w:p>
      <w:pPr>
        <w:pStyle w:val="ARTitle"/>
        <w:keepNext/>
      </w:pPr>
      <w:r>
        <w:rPr>
          <w:rFonts w:ascii="Arial" w:hAnsi="Arial"/>
        </w:rPr>
        <w:t>Avvio e reciprocità</w:t>
      </w:r>
    </w:p>
    <w:p>
      <w:pPr>
        <w:pStyle w:val="ARSubtitle"/>
        <w:keepNext w:val="0"/>
      </w:pPr>
      <w:r>
        <w:rPr>
          <w:rFonts w:ascii="Arial" w:hAnsi="Arial"/>
        </w:rPr>
        <w:t>Come si entra nello scambio e si lascia spazio ai contributi reciproci.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>Codice persona: 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Attenzione e disponibilità nello scambio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Segnali di collegamento allo scambio e condizioni che permettono di partecipare, oltre allo sguardo.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Alternanza dei turni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Successione dei contributi, pause, sovrapposizioni e spazio lasciato da entrambi i partner.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G4. Precisa il comportamento di riferimento e le condizioni. “Non rilevato” non significa assente; se l’episodio è ambiguo, usa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B · B1–B2</w:t>
      </w:r>
    </w:p>
    <w:p>
      <w:pPr>
        <w:pStyle w:val="ARTitle"/>
        <w:keepNext/>
      </w:pPr>
      <w:r>
        <w:rPr>
          <w:rFonts w:ascii="Arial" w:hAnsi="Arial"/>
        </w:rPr>
        <w:t>Gestione dei messaggi</w:t>
      </w:r>
    </w:p>
    <w:p>
      <w:pPr>
        <w:pStyle w:val="ARSubtitle"/>
        <w:keepNext w:val="0"/>
      </w:pPr>
      <w:r>
        <w:rPr>
          <w:rFonts w:ascii="Arial" w:hAnsi="Arial"/>
        </w:rPr>
        <w:t>Funzioni, modalità, continuità e informazioni utili a chi ascolta.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>Codice persona: 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Funzioni comunicative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Funzione del messaggio: specifica richiesta, rifiuto, scelta, commento, condivisione o informazione.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Uso delle modalità comunicative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Modalità usate per un messaggio specifico e loro combinazioni: voce, gesto, segni, scrittura o CAA.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G5. Precisa il comportamento di riferimento e le condizioni. “Non rilevato” non significa assente; se l’episodio è ambiguo, usa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B · B3–B4</w:t>
      </w:r>
    </w:p>
    <w:p>
      <w:pPr>
        <w:pStyle w:val="ARTitle"/>
        <w:keepNext/>
      </w:pPr>
      <w:r>
        <w:rPr>
          <w:rFonts w:ascii="Arial" w:hAnsi="Arial"/>
        </w:rPr>
        <w:t>Gestione dei messaggi</w:t>
      </w:r>
    </w:p>
    <w:p>
      <w:pPr>
        <w:pStyle w:val="ARSubtitle"/>
        <w:keepNext w:val="0"/>
      </w:pPr>
      <w:r>
        <w:rPr>
          <w:rFonts w:ascii="Arial" w:hAnsi="Arial"/>
        </w:rPr>
        <w:t>Funzioni, modalità, continuità e informazioni utili a chi ascolta.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>Codice persona: 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Continuità del tema o dell’attività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Collegamenti, cambi e chiusure di tema o attività; eventuali segnali che li rendono comprensibili.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B4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Informazioni utili all’interlocutore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Informazioni che aiutano il partner a identificare referenti e intenzione del messaggio.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G5. Precisa il comportamento di riferimento e le condizioni. “Non rilevato” non significa assente; se l’episodio è ambiguo, usa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C · C1–C2</w:t>
      </w:r>
    </w:p>
    <w:p>
      <w:pPr>
        <w:pStyle w:val="ARTitle"/>
        <w:keepNext/>
      </w:pPr>
      <w:r>
        <w:rPr>
          <w:rFonts w:ascii="Arial" w:hAnsi="Arial"/>
        </w:rPr>
        <w:t>Comprensione reciproca</w:t>
      </w:r>
    </w:p>
    <w:p>
      <w:pPr>
        <w:pStyle w:val="ARSubtitle"/>
        <w:keepNext w:val="0"/>
      </w:pPr>
      <w:r>
        <w:rPr>
          <w:rFonts w:ascii="Arial" w:hAnsi="Arial"/>
        </w:rPr>
        <w:t>Segnalare un problema, chiarirlo e verificare il significato condiviso.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>Codice persona: 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Segnalazione di una difficoltà di comprensione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Segnali che rendono esplicita una difficoltà nel comprendere il messaggio ricevuto.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Richiesta di chiarimento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Richieste di ripetizione, precisazione, esempio o cambio di modalità per comprendere meglio.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G6. Precisa il comportamento di riferimento e le condizioni. “Non rilevato” non significa assente; se l’episodio è ambiguo, usa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C · C3–C4</w:t>
      </w:r>
    </w:p>
    <w:p>
      <w:pPr>
        <w:pStyle w:val="ARTitle"/>
        <w:keepNext/>
      </w:pPr>
      <w:r>
        <w:rPr>
          <w:rFonts w:ascii="Arial" w:hAnsi="Arial"/>
        </w:rPr>
        <w:t>Comprensione reciproca</w:t>
      </w:r>
    </w:p>
    <w:p>
      <w:pPr>
        <w:pStyle w:val="ARSubtitle"/>
        <w:keepNext w:val="0"/>
      </w:pPr>
      <w:r>
        <w:rPr>
          <w:rFonts w:ascii="Arial" w:hAnsi="Arial"/>
        </w:rPr>
        <w:t>Segnalare un problema, chiarirlo e verificare il significato condiviso.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>Codice persona: 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Riparazione del proprio messaggio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Tentativi di ripetere, modificare o integrare un messaggio dopo l’incomprensione del partner.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C4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Verifica del significato condiviso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Conferme, correzioni e verifiche reciproche del significato, senza presumere accordo dal solo sì.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Rilevazione diretta — </w:t>
      </w:r>
      <w:r>
        <w:rPr>
          <w:b w:val="0"/>
        </w:rPr>
        <w:t>selezione facoltativa; definizioni in G3.</w:t>
      </w:r>
    </w:p>
    <w:p>
      <w:pPr>
        <w:pStyle w:val="ARField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□ Non esplorato</w:t>
        <w:tab/>
        <w:t>□ Non pertinente</w:t>
        <w:tab/>
        <w:t>□ Non osservabile</w:t>
        <w:br/>
        <w:t>□ Non rilevato</w:t>
        <w:tab/>
        <w:t>□ Presente nel contesto</w:t>
        <w:tab/>
        <w:t>□ Solo nota narrativa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 delle voci: G6. Precisa il comportamento di riferimento e le condizioni. “Non rilevato” non significa assente; se l’episodio è ambiguo, usa la nota narrativa.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D · D1–D2</w:t>
      </w:r>
    </w:p>
    <w:p>
      <w:pPr>
        <w:pStyle w:val="ARTitle"/>
        <w:keepNext/>
      </w:pPr>
      <w:r>
        <w:rPr>
          <w:rFonts w:ascii="Arial" w:hAnsi="Arial"/>
        </w:rPr>
        <w:t>Contesti e partecipazione</w:t>
      </w:r>
    </w:p>
    <w:p>
      <w:pPr>
        <w:pStyle w:val="ARSubtitle"/>
        <w:keepNext w:val="0"/>
      </w:pPr>
      <w:r>
        <w:rPr>
          <w:rFonts w:ascii="Arial" w:hAnsi="Arial"/>
        </w:rPr>
        <w:t>Differenze tra situazioni, adattamenti reciproci e prospettiva della persona.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>Codice persona: 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D1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Adattamento condiviso al contesto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Adattamenti della persona, dei partner e dell’ambiente in relazione allo scopo dello scambio.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Profilo contestuale — </w:t>
      </w:r>
      <w:r>
        <w:rPr>
          <w:b w:val="0"/>
        </w:rPr>
        <w:t>descrizione narrativa, senza livelli; guida G7.</w:t>
      </w:r>
    </w:p>
    <w:p>
      <w:pPr>
        <w:pStyle w:val="ARSmall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Segnala e motiva: non esplorato, non pertinente o non osservabile.</w:t>
        <w:br/>
        <w:t>Mantieni distinti episodi, contesti e punti di vista; non attribuire un punteggio.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D2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Scambi con partner diversi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Somiglianze e differenze negli scambi con familiari, coetanei, professionisti o gruppi.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Profilo contestuale — </w:t>
      </w:r>
      <w:r>
        <w:rPr>
          <w:b w:val="0"/>
        </w:rPr>
        <w:t>descrizione narrativa, senza livelli; guida G7.</w:t>
      </w:r>
    </w:p>
    <w:p>
      <w:pPr>
        <w:pStyle w:val="ARSmall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Segnala e motiva: non esplorato, non pertinente o non osservabile.</w:t>
        <w:br/>
        <w:t>Mantieni distinti episodi, contesti e punti di vista; non attribuire un punteggio.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Approfondimento: G7 · Confronto tra situazioni: S10. Il punto di vista della persona va distinto da quello di altri. Se non disponibile, dichiaralo senza inferirlo dalla prestazione osservata.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AREA D · D3–D4</w:t>
      </w:r>
    </w:p>
    <w:p>
      <w:pPr>
        <w:pStyle w:val="ARTitle"/>
        <w:keepNext/>
      </w:pPr>
      <w:r>
        <w:rPr>
          <w:rFonts w:ascii="Arial" w:hAnsi="Arial"/>
        </w:rPr>
        <w:t>Contesti e partecipazione</w:t>
      </w:r>
    </w:p>
    <w:p>
      <w:pPr>
        <w:pStyle w:val="ARSubtitle"/>
        <w:keepNext w:val="0"/>
      </w:pPr>
      <w:r>
        <w:rPr>
          <w:rFonts w:ascii="Arial" w:hAnsi="Arial"/>
        </w:rPr>
        <w:t>Differenze tra situazioni, adattamenti reciproci e prospettiva della persona.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>Codice persona: 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D3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Flessibilità e negoziazione nello scambio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Gestione condivisa di cambiamenti, alternative, disaccordi, chiusure e richieste di pausa.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Profilo contestuale — </w:t>
      </w:r>
      <w:r>
        <w:rPr>
          <w:b w:val="0"/>
        </w:rPr>
        <w:t>descrizione narrativa, senza livelli; guida G7.</w:t>
      </w:r>
    </w:p>
    <w:p>
      <w:pPr>
        <w:pStyle w:val="ARSmall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Segnala e motiva: non esplorato, non pertinente o non osservabile.</w:t>
        <w:br/>
        <w:t>Mantieni distinti episodi, contesti e punti di vista; non attribuire un punteggio.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0" w:line="12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</w:trPr>
        <w:tc>
          <w:tcPr>
            <w:tcW w:type="dxa" w:w="79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D4</w:t>
            </w:r>
          </w:p>
        </w:tc>
        <w:tc>
          <w:tcPr>
            <w:tcW w:type="dxa" w:w="9071"/>
            <w:vAlign w:val="top"/>
            <w:shd w:fill="F0F5ED" w:val="clear"/>
            <w:tcMar>
              <w:top w:w="100" w:type="dxa"/>
              <w:bottom w:w="100" w:type="dxa"/>
              <w:start w:w="18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003C2C"/>
                <w:sz w:val="24"/>
              </w:rPr>
              <w:t>Partecipazione, preferenze e impatto riferito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</w:rPr>
        <w:t xml:space="preserve">Che cosa osservare — </w:t>
      </w:r>
      <w:r>
        <w:rPr>
          <w:b w:val="0"/>
        </w:rPr>
        <w:t>Partecipazione osservata, preferenze e impatto riferito dalla persona, distinti dai resoconti altrui.</w:t>
      </w:r>
    </w:p>
    <w:p>
      <w:pPr>
        <w:keepNext w:val="0"/>
        <w:spacing w:after="60"/>
      </w:pPr>
      <w:r>
        <w:rPr>
          <w:rFonts w:ascii="Arial" w:hAnsi="Arial"/>
          <w:b/>
          <w:color w:val="003C2C"/>
        </w:rPr>
        <w:t xml:space="preserve">Profilo contestuale — </w:t>
      </w:r>
      <w:r>
        <w:rPr>
          <w:b w:val="0"/>
        </w:rPr>
        <w:t>descrizione narrativa, senza livelli; guida G7.</w:t>
      </w:r>
    </w:p>
    <w:p>
      <w:pPr>
        <w:pStyle w:val="ARSmall"/>
        <w:keepNext w:val="0"/>
        <w:tabs>
          <w:tab w:pos="2154" w:val="left"/>
          <w:tab w:pos="4422" w:val="left"/>
        </w:tabs>
        <w:spacing w:after="80"/>
      </w:pPr>
      <w:r>
        <w:rPr>
          <w:rFonts w:ascii="Arial" w:hAnsi="Arial"/>
        </w:rPr>
        <w:t>Segnala e motiva: non esplorato, non pertinente o non osservabile.</w:t>
        <w:br/>
        <w:t>Mantieni distinti episodi, contesti e punti di vista; non attribuire un punteggio.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7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 diretto / comportamento, azione del partner ed esito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247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Contesto, accesso e aiuti del partner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Informazioni riferite / da chi, quando, dove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80"/>
      </w:pPr>
      <w:r>
        <w:rPr>
          <w:rFonts w:ascii="Arial" w:hAnsi="Arial"/>
        </w:rPr>
        <w:t>Approfondimento: G7 · Confronto tra situazioni: S10. Il punto di vista della persona va distinto da quello di altri. Se non disponibile, dichiaralo senza inferirlo dalla prestazione osservata.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CONFRONTO TRA PARTNER E CONTESTI</w:t>
      </w:r>
    </w:p>
    <w:p>
      <w:pPr>
        <w:pStyle w:val="ARTitle"/>
        <w:keepNext/>
      </w:pPr>
      <w:r>
        <w:rPr>
          <w:rFonts w:ascii="Arial" w:hAnsi="Arial"/>
        </w:rPr>
        <w:t>Partner e contesti a confronto</w:t>
      </w:r>
    </w:p>
    <w:p>
      <w:pPr>
        <w:pStyle w:val="ARSubtitle"/>
        <w:keepNext w:val="0"/>
      </w:pPr>
      <w:r>
        <w:rPr>
          <w:rFonts w:ascii="Arial" w:hAnsi="Arial"/>
        </w:rPr>
        <w:t>Pagina facoltativa e ripetibile: confronta episodi, non punteggi.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>Codice persona: 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07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Voce / comportamento di riferimento e domanda del confronto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  <w:pageBreakBefore w:val="0"/>
        <w:spacing w:before="80"/>
      </w:pPr>
      <w:r>
        <w:rPr>
          <w:rFonts w:ascii="Arial" w:hAnsi="Arial"/>
        </w:rPr>
        <w:t>Situazione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850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Data o periodo / partner, ruolo e familiarità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Luogo, attività, lingua e modalità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Field"/>
        <w:keepNext w:val="0"/>
        <w:pageBreakBefore w:val="0"/>
        <w:spacing w:after="60"/>
      </w:pPr>
      <w:r>
        <w:rPr>
          <w:rFonts w:ascii="Arial" w:hAnsi="Arial"/>
        </w:rPr>
        <w:t>Fonte A:  □ Diretta  □ Persona  □ Caregiver / altri  □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17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Episodio, azioni dei partner, supporti ed esito / fonte dei dati riferiti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ection"/>
        <w:keepNext w:val="0"/>
        <w:pageBreakBefore w:val="0"/>
        <w:spacing w:before="80"/>
      </w:pPr>
      <w:r>
        <w:rPr>
          <w:rFonts w:ascii="Arial" w:hAnsi="Arial"/>
        </w:rPr>
        <w:t>Situazione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850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Data o periodo / partner, ruolo e familiarità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Luogo, attività, lingua e modalità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Field"/>
        <w:keepNext w:val="0"/>
        <w:pageBreakBefore w:val="0"/>
        <w:spacing w:after="60"/>
      </w:pPr>
      <w:r>
        <w:rPr>
          <w:rFonts w:ascii="Arial" w:hAnsi="Arial"/>
        </w:rPr>
        <w:t>Fonte B:  □ Diretta  □ Persona  □ Caregiver / altri  □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17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Episodio, azioni dei partner, supporti ed esito / fonte dei dati riferiti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Somiglianze, differenze e condizioni cambiate / limiti del confronto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pageBreakBefore w:val="0"/>
      </w:pPr>
      <w:r>
        <w:rPr>
          <w:rFonts w:ascii="Arial" w:hAnsi="Arial"/>
        </w:rPr>
        <w:t>Un resoconto non diventa osservazione diretta nel confronto. Una differenza tra partner o condizioni non dimostra da sola miglioramento, peggioramento o generalizzazione. Richiama la data e conserva ogni raccolta.</w:t>
      </w:r>
    </w:p>
    <w:p>
      <w:pPr>
        <w:pStyle w:val="AREyebrow"/>
        <w:keepNext/>
        <w:pageBreakBefore/>
      </w:pPr>
      <w:r>
        <w:rPr>
          <w:rFonts w:ascii="Arial" w:hAnsi="Arial"/>
        </w:rPr>
        <w:t>SCHEDA / SINTESI E CONTINUITÀ</w:t>
      </w:r>
    </w:p>
    <w:p>
      <w:pPr>
        <w:pStyle w:val="ARTitle"/>
        <w:keepNext/>
      </w:pPr>
      <w:r>
        <w:rPr>
          <w:rFonts w:ascii="Arial" w:hAnsi="Arial"/>
        </w:rPr>
        <w:t>Sintesi e prossimi passi</w:t>
      </w:r>
    </w:p>
    <w:p>
      <w:pPr>
        <w:pStyle w:val="ARSubtitle"/>
        <w:keepNext w:val="0"/>
      </w:pPr>
      <w:r>
        <w:rPr>
          <w:rFonts w:ascii="Arial" w:hAnsi="Arial"/>
        </w:rPr>
        <w:t>Risorse, bisogni, preferenze e decisioni professionali, senza punteggio totale.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</w:rPr>
        <w:t>Codice persona: 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644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Risorse e punti di forza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Quali modalità, interessi e situazioni hanno sostenuto comunicazione e partecipazione?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757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Bisogni, facilitatori e ruolo dei partner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Collega le difficoltà alle condizioni; descrivi accesso, tempi e azioni dei partner che hanno aiutato.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757" w:hRule="atLeast"/>
        </w:trPr>
        <w:tc>
          <w:tcPr>
            <w:tcW w:type="dxa" w:w="9865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Preferenze e impatto riferiti dalla persona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Mantieni distinti il suo punto di vista, i resoconti altrui e ciò che è stato osservato direttamente.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984" w:hRule="atLeast"/>
        </w:trPr>
        <w:tc>
          <w:tcPr>
            <w:tcW w:type="dxa" w:w="9865"/>
            <w:vAlign w:val="top"/>
            <w:tcBorders>
              <w:bottom w:val="single" w:sz="4" w:color="CCD7CC"/>
            </w:tcBorders>
            <w:shd w:fill="F0F5ED" w:val="clear"/>
            <w:tcMar>
              <w:top w:w="140" w:type="dxa"/>
              <w:bottom w:w="120" w:type="dxa"/>
              <w:start w:w="160" w:type="dxa"/>
              <w:end w:w="160" w:type="dxa"/>
            </w:tcMar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PRIORITÀ CONCORDATA PER IL PROSSIMO PASSO</w:t>
            </w:r>
          </w:p>
          <w:p>
            <w:pPr>
              <w:pStyle w:val="ARSmall"/>
              <w:keepNext w:val="0"/>
              <w:spacing w:after="40"/>
            </w:pPr>
            <w:r>
              <w:rPr>
                <w:rFonts w:ascii="Arial" w:hAnsi="Arial"/>
              </w:rPr>
              <w:t>Che cosa approfondire, con chi, dove e con quali supporti; indica con chi è stata condivisa la priorità.</w:t>
            </w:r>
          </w:p>
          <w:p>
            <w:pPr>
              <w:pStyle w:val="ARField"/>
              <w:keepNext w:val="0"/>
              <w:spacing w:after="0" w:line="269" w:lineRule="auto"/>
            </w:pPr>
            <w:r/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34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Quando / in quale situazione rivederla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Approfondimenti decisi dal professionista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020" w:hRule="atLeast"/>
        </w:trPr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Episodi, confronti S10 e allegati richiamati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  <w:tc>
          <w:tcPr>
            <w:tcW w:type="dxa" w:w="56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649"/>
            <w:vAlign w:val="top"/>
            <w:tcMar>
              <w:top w:w="75" w:type="dxa"/>
              <w:bottom w:w="65" w:type="dxa"/>
              <w:start w:w="0" w:type="dxa"/>
              <w:end w:w="8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/>
            </w:pPr>
            <w:r>
              <w:rPr>
                <w:rFonts w:ascii="Arial" w:hAnsi="Arial"/>
              </w:rPr>
              <w:t>Professionista, data e condivisione</w:t>
            </w:r>
          </w:p>
          <w:p>
            <w:pPr>
              <w:pStyle w:val="ARField"/>
              <w:keepNext w:val="0"/>
              <w:spacing w:after="0" w:line="269" w:lineRule="auto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sz w:val="2"/>
        </w:rPr>
      </w:r>
    </w:p>
    <w:p>
      <w:pPr>
        <w:pStyle w:val="ARSmall"/>
        <w:keepNext w:val="0"/>
        <w:spacing w:before="120"/>
      </w:pPr>
      <w:r>
        <w:rPr>
          <w:rFonts w:ascii="Arial" w:hAnsi="Arial"/>
        </w:rPr>
        <w:t>Mantieni identificativo, date e versione PCI v1.0. La scheda non identifica o esclude diagnosi e non prova generalizzazione. Una nuova osservazione non riscrive la precedente; conserva separati dati e interpretazioni.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2211" w:right="1020" w:bottom="1020" w:left="1020" w:header="510" w:footer="51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PCI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G</w:t>
          </w:r>
          <w:fldSimple w:instr="PAGE">
            <w:r>
              <w:t>1</w:t>
            </w:r>
          </w:fldSimple>
          <w:r>
            <w:t xml:space="preserve"> / 9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PCI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S</w:t>
          </w:r>
          <w:fldSimple w:instr="PAGE">
            <w:r>
              <w:t>1</w:t>
            </w:r>
          </w:fldSimple>
          <w:r>
            <w:t xml:space="preserve"> / 11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GUIDA ALLO STRUMENTO · PCI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SCHEDA OPERATIVA · PCI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4332D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3C2C"/>
      <w:sz w:val="56"/>
      <w:szCs w:val="28"/>
      <w:lang w:val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C2C"/>
      <w:sz w:val="26"/>
      <w:szCs w:val="26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3C2C"/>
      <w:sz w:val="22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lang w:val="it-I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lang w:val="it-I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lang w:val="it-I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lang w:val="it-I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  <w:lang w:val="it-I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lang w:val="it-I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  <w:lang w:val="it-IT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lang w:val="it-I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lang w:val="it-I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lang w:val="it-I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  <w:lang w:val="it-IT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lang w:val="it-I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lang w:val="it-I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lang w:val="it-I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lang w:val="it-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lang w:val="it-I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lang w:val="it-I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lang w:val="it-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lang w:val="it-I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lang w:val="it-I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lang w:val="it-I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lang w:val="it-I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lang w:val="it-I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  <w:lang w:val="it-IT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Arial" w:hAnsi="Arial"/>
      <w:i/>
      <w:iCs/>
      <w:color w:val="000000" w:themeColor="text1"/>
      <w:lang w:val="it-IT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  <w:lang w:val="it-IT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lang w:val="it-I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lang w:val="it-I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Eyebrow">
    <w:name w:val="AR Eyebrow"/>
    <w:basedOn w:val="Normal"/>
    <w:pPr>
      <w:keepNext/>
      <w:widowControl/>
      <w:spacing w:before="0" w:after="160" w:line="269" w:lineRule="auto"/>
    </w:pPr>
    <w:rPr>
      <w:rFonts w:ascii="Arial" w:hAnsi="Arial"/>
      <w:b/>
      <w:color w:val="2F694B"/>
      <w:sz w:val="17"/>
    </w:rPr>
  </w:style>
  <w:style w:type="paragraph" w:customStyle="1" w:styleId="ARTitle">
    <w:name w:val="AR Title"/>
    <w:basedOn w:val="Normal"/>
    <w:pPr>
      <w:keepNext/>
      <w:widowControl/>
      <w:spacing w:before="0" w:after="160" w:line="269" w:lineRule="auto"/>
      <w:outlineLvl w:val="0"/>
    </w:pPr>
    <w:rPr>
      <w:rFonts w:ascii="Arial" w:hAnsi="Arial"/>
      <w:b w:val="0"/>
      <w:color w:val="003C2C"/>
      <w:sz w:val="56"/>
    </w:rPr>
  </w:style>
  <w:style w:type="paragraph" w:customStyle="1" w:styleId="ARSubtitle">
    <w:name w:val="AR Subtitle"/>
    <w:basedOn w:val="Normal"/>
    <w:pPr>
      <w:keepNext w:val="0"/>
      <w:widowControl/>
      <w:spacing w:before="0" w:after="240" w:line="269" w:lineRule="auto"/>
    </w:pPr>
    <w:rPr>
      <w:rFonts w:ascii="Arial" w:hAnsi="Arial"/>
      <w:b w:val="0"/>
      <w:color w:val="526359"/>
      <w:sz w:val="24"/>
    </w:rPr>
  </w:style>
  <w:style w:type="paragraph" w:customStyle="1" w:styleId="ARSection">
    <w:name w:val="AR Section"/>
    <w:basedOn w:val="Normal"/>
    <w:pPr>
      <w:keepNext/>
      <w:widowControl/>
      <w:spacing w:before="160" w:after="100" w:line="269" w:lineRule="auto"/>
      <w:outlineLvl w:val="1"/>
    </w:pPr>
    <w:rPr>
      <w:rFonts w:ascii="Arial" w:hAnsi="Arial"/>
      <w:b/>
      <w:color w:val="003C2C"/>
      <w:sz w:val="26"/>
    </w:rPr>
  </w:style>
  <w:style w:type="paragraph" w:customStyle="1" w:styleId="ARSmall">
    <w:name w:val="AR Small"/>
    <w:basedOn w:val="Normal"/>
    <w:pPr>
      <w:keepNext w:val="0"/>
      <w:widowControl/>
      <w:spacing w:before="0" w:after="100" w:line="269" w:lineRule="auto"/>
    </w:pPr>
    <w:rPr>
      <w:rFonts w:ascii="Arial" w:hAnsi="Arial"/>
      <w:b w:val="0"/>
      <w:color w:val="526359"/>
      <w:sz w:val="18"/>
    </w:rPr>
  </w:style>
  <w:style w:type="paragraph" w:customStyle="1" w:styleId="ARLabel">
    <w:name w:val="AR Label"/>
    <w:basedOn w:val="Normal"/>
    <w:pPr>
      <w:keepNext/>
      <w:widowControl/>
      <w:spacing w:before="0" w:after="80" w:line="269" w:lineRule="auto"/>
    </w:pPr>
    <w:rPr>
      <w:rFonts w:ascii="Arial" w:hAnsi="Arial"/>
      <w:b/>
      <w:color w:val="003C2C"/>
      <w:sz w:val="18"/>
    </w:rPr>
  </w:style>
  <w:style w:type="paragraph" w:customStyle="1" w:styleId="ARPlaceholder">
    <w:name w:val="AR Placeholder"/>
    <w:basedOn w:val="Normal"/>
    <w:pPr>
      <w:keepNext w:val="0"/>
      <w:widowControl/>
      <w:spacing w:before="0" w:after="120" w:line="269" w:lineRule="auto"/>
    </w:pPr>
    <w:rPr>
      <w:rFonts w:ascii="Arial" w:hAnsi="Arial"/>
      <w:b w:val="0"/>
      <w:color w:val="6B6252"/>
      <w:sz w:val="22"/>
    </w:rPr>
  </w:style>
  <w:style w:type="paragraph" w:customStyle="1" w:styleId="ARFooter">
    <w:name w:val="AR Footer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526359"/>
      <w:sz w:val="16"/>
    </w:rPr>
  </w:style>
  <w:style w:type="paragraph" w:customStyle="1" w:styleId="ARField">
    <w:name w:val="AR Field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243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4" Type="http://schemas.openxmlformats.org/officeDocument/2006/relationships/hyperlink" Target="https://www.asha.org/practice-portal/resources/assessment-tools-techniques-and-data-sources/" TargetMode="External"/><Relationship Id="rId15" Type="http://schemas.openxmlformats.org/officeDocument/2006/relationships/hyperlink" Target="https://www.asha.org/practice-portal/professional-issues/augmentative-and-alternative-communication/" TargetMode="External"/><Relationship Id="rId16" Type="http://schemas.openxmlformats.org/officeDocument/2006/relationships/hyperlink" Target="https://www.asha.org/practice-portal/clinical-topics/autism/" TargetMode="External"/><Relationship Id="rId18" Type="http://schemas.openxmlformats.org/officeDocument/2006/relationships/hyperlink" Target="https://www.asha.org/practice-portal/clinical-topics/social-communication-disorder/" TargetMode="External"/><Relationship Id="rId19" Type="http://schemas.openxmlformats.org/officeDocument/2006/relationships/hyperlink" Target="https://www.who.int/standards/classifications/international-classification-of-functioning-disability-and-health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ARMONIA — Profilo osservativo della comunicazione e interazione</dc:title>
  <dc:subject>PCI v1.0 · Guida e scheda osservativa non standardizzata</dc:subject>
  <dc:creator>ARMONIA</dc:creator>
  <cp:keywords>ARMONIA, PCI, comunicazione, interazione, osservazione non standardizzata</cp:keywords>
  <dc:description>Edizione editoriale 1.0. Revisione clinica e validazione psicometrica non eseguite.</dc:description>
  <cp:lastModifiedBy>ARMONIA</cp:lastModifiedBy>
  <cp:revision>1</cp:revision>
  <dcterms:created xsi:type="dcterms:W3CDTF">2026-10-03T00:00:00Z</dcterms:created>
  <dcterms:modified xsi:type="dcterms:W3CDTF">2026-10-03T00:00:00Z</dcterms:modified>
  <cp:category>Schede osservative e di monitoraggio</cp:category>
  <dc:language>it-IT</dc:language>
  <cp:version>1.0</cp:version>
</cp:coreProperties>
</file>