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C50" w:rsidRPr="008D7C50" w:rsidRDefault="008D7C50" w:rsidP="008D7C50">
      <w:pPr>
        <w:widowControl/>
        <w:spacing w:line="390" w:lineRule="atLeast"/>
        <w:jc w:val="center"/>
        <w:outlineLvl w:val="0"/>
        <w:rPr>
          <w:rFonts w:ascii="微软雅黑" w:eastAsia="微软雅黑" w:hAnsi="微软雅黑" w:cs="宋体"/>
          <w:b/>
          <w:bCs/>
          <w:color w:val="000000"/>
          <w:kern w:val="36"/>
          <w:sz w:val="27"/>
          <w:szCs w:val="27"/>
        </w:rPr>
      </w:pPr>
      <w:r w:rsidRPr="008D7C50">
        <w:rPr>
          <w:rFonts w:ascii="微软雅黑" w:eastAsia="微软雅黑" w:hAnsi="微软雅黑" w:cs="宋体" w:hint="eastAsia"/>
          <w:b/>
          <w:bCs/>
          <w:color w:val="000000"/>
          <w:kern w:val="36"/>
          <w:sz w:val="27"/>
          <w:szCs w:val="27"/>
        </w:rPr>
        <w:t>上海师范大学天华学院科研工作量管理办法（试行）（2016年修订）</w:t>
      </w:r>
    </w:p>
    <w:p w:rsidR="008D7C50" w:rsidRPr="008D7C50" w:rsidRDefault="008D7C50" w:rsidP="008D7C50">
      <w:pPr>
        <w:widowControl/>
        <w:jc w:val="center"/>
        <w:rPr>
          <w:rFonts w:ascii="微软雅黑" w:eastAsia="微软雅黑" w:hAnsi="微软雅黑" w:cs="宋体" w:hint="eastAsia"/>
          <w:kern w:val="0"/>
          <w:szCs w:val="21"/>
        </w:rPr>
      </w:pPr>
      <w:r w:rsidRPr="008D7C50">
        <w:rPr>
          <w:rFonts w:ascii="微软雅黑" w:eastAsia="微软雅黑" w:hAnsi="微软雅黑" w:cs="宋体" w:hint="eastAsia"/>
          <w:color w:val="B9B9B9"/>
          <w:kern w:val="0"/>
          <w:sz w:val="18"/>
          <w:szCs w:val="18"/>
          <w:bdr w:val="none" w:sz="0" w:space="0" w:color="auto" w:frame="1"/>
        </w:rPr>
        <w:t>发布者：科研处发布时间：2018-04-09</w:t>
      </w:r>
      <w:r>
        <w:rPr>
          <w:rFonts w:ascii="微软雅黑" w:eastAsia="微软雅黑" w:hAnsi="微软雅黑" w:cs="宋体" w:hint="eastAsia"/>
          <w:color w:val="B9B9B9"/>
          <w:kern w:val="0"/>
          <w:sz w:val="18"/>
          <w:szCs w:val="18"/>
          <w:bdr w:val="none" w:sz="0" w:space="0" w:color="auto" w:frame="1"/>
        </w:rPr>
        <w:t xml:space="preserve"> </w:t>
      </w:r>
      <w:bookmarkStart w:id="0" w:name="_GoBack"/>
      <w:bookmarkEnd w:id="0"/>
    </w:p>
    <w:p w:rsidR="008D7C50" w:rsidRPr="008D7C50" w:rsidRDefault="008D7C50" w:rsidP="008D7C50">
      <w:pPr>
        <w:widowControl/>
        <w:spacing w:line="315" w:lineRule="atLeast"/>
        <w:jc w:val="center"/>
        <w:rPr>
          <w:rFonts w:ascii="微软雅黑" w:eastAsia="微软雅黑" w:hAnsi="微软雅黑" w:cs="宋体" w:hint="eastAsia"/>
          <w:kern w:val="0"/>
          <w:szCs w:val="21"/>
        </w:rPr>
      </w:pP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第一条 总则</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为了进一步建立健全科研管理制度，充分调动教职工的科研积极性和创造性，强化科研意识，提升教师科研能力，促进我校科研水平的进一步提高，并为我校教师的考核、配套科研成果奖励办法与晋升提供较为全面、客观的科研工作量依据，根据我校科研发展的实际情况特制定本办法。</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第二条 基本原则</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激励和约束并重，实事求是，科学合理、便于操作，鼓励多出成果、出高质量成果。</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第三条 适用对象</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本办法适用对象是学校教师系列的各级专业技术职务的专职教师。</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第四条 科研工作量统计范围</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本办法所指科研工作量是指本校专职教师，从事与本职工作相关的科学研究工作所取得的科研成果。具体包括：国家正式出版社出版的学术专著、译著、教材及其它工具书，在具有全国统一刊号的期刊上发表的学术论文、译文和文学作品，已结题的国家级、省（市、部）级、委（办、局）级和校级科研课题，获奖成果、专利及其它经学校学术委员会认可的各类科研成果。各类科研成果的作者单位须署名上海师范大学天华学院。以外单位名义发表的科研成果不予计算科研工作量。</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第五条 科研工作量计量标准</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科研工作量的核定以“分”为计量标准。根据实际完成的科研成果的质量和数量，进行计分、统计和考核。</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第六条 科研工作量确定</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各级专业技术职务的专职教师都要完成一定的科研工作量。根据学校的实际情况，专业课教师和部分基础课教师根据其职称高低确定不同的年度科研工作量。</w:t>
      </w:r>
    </w:p>
    <w:tbl>
      <w:tblPr>
        <w:tblW w:w="7950" w:type="dxa"/>
        <w:tblCellMar>
          <w:left w:w="0" w:type="dxa"/>
          <w:right w:w="0" w:type="dxa"/>
        </w:tblCellMar>
        <w:tblLook w:val="04A0" w:firstRow="1" w:lastRow="0" w:firstColumn="1" w:lastColumn="0" w:noHBand="0" w:noVBand="1"/>
      </w:tblPr>
      <w:tblGrid>
        <w:gridCol w:w="3150"/>
        <w:gridCol w:w="1461"/>
        <w:gridCol w:w="1287"/>
        <w:gridCol w:w="1113"/>
        <w:gridCol w:w="939"/>
      </w:tblGrid>
      <w:tr w:rsidR="008D7C50" w:rsidRPr="008D7C50" w:rsidTr="008D7C50">
        <w:tc>
          <w:tcPr>
            <w:tcW w:w="271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人员类别</w:t>
            </w:r>
          </w:p>
        </w:tc>
        <w:tc>
          <w:tcPr>
            <w:tcW w:w="12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教授</w:t>
            </w:r>
          </w:p>
        </w:tc>
        <w:tc>
          <w:tcPr>
            <w:tcW w:w="11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副教授</w:t>
            </w:r>
          </w:p>
        </w:tc>
        <w:tc>
          <w:tcPr>
            <w:tcW w:w="9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讲师</w:t>
            </w:r>
          </w:p>
        </w:tc>
        <w:tc>
          <w:tcPr>
            <w:tcW w:w="8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助教</w:t>
            </w:r>
          </w:p>
        </w:tc>
      </w:tr>
      <w:tr w:rsidR="008D7C50" w:rsidRPr="008D7C50" w:rsidTr="008D7C50">
        <w:tc>
          <w:tcPr>
            <w:tcW w:w="271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专业课教师</w:t>
            </w:r>
          </w:p>
        </w:tc>
        <w:tc>
          <w:tcPr>
            <w:tcW w:w="12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12</w:t>
            </w:r>
          </w:p>
        </w:tc>
        <w:tc>
          <w:tcPr>
            <w:tcW w:w="11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10</w:t>
            </w:r>
          </w:p>
        </w:tc>
        <w:tc>
          <w:tcPr>
            <w:tcW w:w="9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8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3</w:t>
            </w:r>
          </w:p>
        </w:tc>
      </w:tr>
      <w:tr w:rsidR="008D7C50" w:rsidRPr="008D7C50" w:rsidTr="008D7C50">
        <w:tc>
          <w:tcPr>
            <w:tcW w:w="271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lastRenderedPageBreak/>
              <w:t>部分公共基础课教师</w:t>
            </w:r>
          </w:p>
        </w:tc>
        <w:tc>
          <w:tcPr>
            <w:tcW w:w="12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6</w:t>
            </w:r>
          </w:p>
        </w:tc>
        <w:tc>
          <w:tcPr>
            <w:tcW w:w="11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9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2.5</w:t>
            </w:r>
          </w:p>
        </w:tc>
        <w:tc>
          <w:tcPr>
            <w:tcW w:w="8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r>
    </w:tbl>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注：部分公共基础课是指公共外语、高等数学、大学物理、大学语文、体育及通识课程等。</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第七条  科研成果的计分标准</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一、论文、译文类</w:t>
      </w:r>
      <w:r w:rsidRPr="008D7C50">
        <w:rPr>
          <w:rFonts w:ascii="宋体" w:eastAsia="宋体" w:hAnsi="宋体" w:cs="宋体" w:hint="eastAsia"/>
          <w:kern w:val="0"/>
          <w:sz w:val="24"/>
          <w:szCs w:val="24"/>
          <w:bdr w:val="none" w:sz="0" w:space="0" w:color="auto" w:frame="1"/>
        </w:rPr>
        <w:t>（单位：分/篇）</w:t>
      </w:r>
    </w:p>
    <w:tbl>
      <w:tblPr>
        <w:tblW w:w="7905" w:type="dxa"/>
        <w:tblCellMar>
          <w:left w:w="0" w:type="dxa"/>
          <w:right w:w="0" w:type="dxa"/>
        </w:tblCellMar>
        <w:tblLook w:val="04A0" w:firstRow="1" w:lastRow="0" w:firstColumn="1" w:lastColumn="0" w:noHBand="0" w:noVBand="1"/>
      </w:tblPr>
      <w:tblGrid>
        <w:gridCol w:w="1035"/>
        <w:gridCol w:w="1256"/>
        <w:gridCol w:w="1164"/>
        <w:gridCol w:w="960"/>
        <w:gridCol w:w="1662"/>
        <w:gridCol w:w="683"/>
        <w:gridCol w:w="1145"/>
      </w:tblGrid>
      <w:tr w:rsidR="008D7C50" w:rsidRPr="008D7C50" w:rsidTr="008D7C50">
        <w:tc>
          <w:tcPr>
            <w:tcW w:w="84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类别</w:t>
            </w:r>
          </w:p>
        </w:tc>
        <w:tc>
          <w:tcPr>
            <w:tcW w:w="10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SCI</w:t>
            </w:r>
            <w:r w:rsidRPr="008D7C50">
              <w:rPr>
                <w:rFonts w:ascii="宋体" w:eastAsia="宋体" w:hAnsi="宋体" w:cs="宋体" w:hint="eastAsia"/>
                <w:kern w:val="0"/>
                <w:sz w:val="24"/>
                <w:szCs w:val="24"/>
                <w:bdr w:val="none" w:sz="0" w:space="0" w:color="auto" w:frame="1"/>
              </w:rPr>
              <w:t>、</w:t>
            </w:r>
            <w:r w:rsidRPr="008D7C50">
              <w:rPr>
                <w:rFonts w:ascii="Times New Roman" w:eastAsia="微软雅黑" w:hAnsi="Times New Roman" w:cs="Times New Roman"/>
                <w:kern w:val="0"/>
                <w:sz w:val="24"/>
                <w:szCs w:val="24"/>
                <w:bdr w:val="none" w:sz="0" w:space="0" w:color="auto" w:frame="1"/>
              </w:rPr>
              <w:t>EI</w:t>
            </w:r>
            <w:r w:rsidRPr="008D7C50">
              <w:rPr>
                <w:rFonts w:ascii="宋体" w:eastAsia="宋体" w:hAnsi="宋体" w:cs="宋体" w:hint="eastAsia"/>
                <w:kern w:val="0"/>
                <w:sz w:val="24"/>
                <w:szCs w:val="24"/>
                <w:bdr w:val="none" w:sz="0" w:space="0" w:color="auto" w:frame="1"/>
              </w:rPr>
              <w:t>、</w:t>
            </w:r>
            <w:r w:rsidRPr="008D7C50">
              <w:rPr>
                <w:rFonts w:ascii="Times New Roman" w:eastAsia="微软雅黑" w:hAnsi="Times New Roman" w:cs="Times New Roman"/>
                <w:kern w:val="0"/>
                <w:sz w:val="24"/>
                <w:szCs w:val="24"/>
                <w:bdr w:val="none" w:sz="0" w:space="0" w:color="auto" w:frame="1"/>
              </w:rPr>
              <w:t>SSCI</w:t>
            </w:r>
          </w:p>
        </w:tc>
        <w:tc>
          <w:tcPr>
            <w:tcW w:w="94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国家级期刊</w:t>
            </w:r>
          </w:p>
        </w:tc>
        <w:tc>
          <w:tcPr>
            <w:tcW w:w="7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核心期刊</w:t>
            </w:r>
          </w:p>
        </w:tc>
        <w:tc>
          <w:tcPr>
            <w:tcW w:w="135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一般公开期刊</w:t>
            </w:r>
          </w:p>
        </w:tc>
        <w:tc>
          <w:tcPr>
            <w:tcW w:w="55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译文</w:t>
            </w:r>
          </w:p>
        </w:tc>
        <w:tc>
          <w:tcPr>
            <w:tcW w:w="93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p>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天华教育研究</w:t>
            </w:r>
          </w:p>
        </w:tc>
      </w:tr>
      <w:tr w:rsidR="008D7C50" w:rsidRPr="008D7C50" w:rsidTr="008D7C50">
        <w:tc>
          <w:tcPr>
            <w:tcW w:w="84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分值</w:t>
            </w:r>
          </w:p>
        </w:tc>
        <w:tc>
          <w:tcPr>
            <w:tcW w:w="10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30</w:t>
            </w:r>
          </w:p>
        </w:tc>
        <w:tc>
          <w:tcPr>
            <w:tcW w:w="94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20</w:t>
            </w:r>
          </w:p>
        </w:tc>
        <w:tc>
          <w:tcPr>
            <w:tcW w:w="7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10</w:t>
            </w:r>
          </w:p>
        </w:tc>
        <w:tc>
          <w:tcPr>
            <w:tcW w:w="135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55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93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4</w:t>
            </w:r>
          </w:p>
        </w:tc>
      </w:tr>
    </w:tbl>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注：国家级期刊名单以学校学术委员会认定的期刊为准，核心期刊以最新版的《全国中文核心期刊要目总览》和南京大学公布的CSSCI收录期刊为准。以论文集形式出版的论文按一般公开期刊论文标准计算分值。</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二、图书类</w:t>
      </w:r>
      <w:r w:rsidRPr="008D7C50">
        <w:rPr>
          <w:rFonts w:ascii="宋体" w:eastAsia="宋体" w:hAnsi="宋体" w:cs="宋体" w:hint="eastAsia"/>
          <w:kern w:val="0"/>
          <w:sz w:val="24"/>
          <w:szCs w:val="24"/>
          <w:bdr w:val="none" w:sz="0" w:space="0" w:color="auto" w:frame="1"/>
        </w:rPr>
        <w:t>（单位：分/万字）</w:t>
      </w:r>
    </w:p>
    <w:tbl>
      <w:tblPr>
        <w:tblW w:w="7905" w:type="dxa"/>
        <w:tblCellMar>
          <w:left w:w="0" w:type="dxa"/>
          <w:right w:w="0" w:type="dxa"/>
        </w:tblCellMar>
        <w:tblLook w:val="04A0" w:firstRow="1" w:lastRow="0" w:firstColumn="1" w:lastColumn="0" w:noHBand="0" w:noVBand="1"/>
      </w:tblPr>
      <w:tblGrid>
        <w:gridCol w:w="1490"/>
        <w:gridCol w:w="1595"/>
        <w:gridCol w:w="1595"/>
        <w:gridCol w:w="1630"/>
        <w:gridCol w:w="1595"/>
      </w:tblGrid>
      <w:tr w:rsidR="008D7C50" w:rsidRPr="008D7C50" w:rsidTr="008D7C50">
        <w:tc>
          <w:tcPr>
            <w:tcW w:w="129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类别</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专著</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教材</w:t>
            </w:r>
          </w:p>
        </w:tc>
        <w:tc>
          <w:tcPr>
            <w:tcW w:w="14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译著</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工具书</w:t>
            </w:r>
          </w:p>
        </w:tc>
      </w:tr>
      <w:tr w:rsidR="008D7C50" w:rsidRPr="008D7C50" w:rsidTr="008D7C50">
        <w:tc>
          <w:tcPr>
            <w:tcW w:w="129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分值</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3</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w:t>
            </w:r>
          </w:p>
        </w:tc>
        <w:tc>
          <w:tcPr>
            <w:tcW w:w="141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c>
          <w:tcPr>
            <w:tcW w:w="138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w:t>
            </w:r>
          </w:p>
        </w:tc>
      </w:tr>
    </w:tbl>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三、科研课题类</w:t>
      </w:r>
      <w:r w:rsidRPr="008D7C50">
        <w:rPr>
          <w:rFonts w:ascii="宋体" w:eastAsia="宋体" w:hAnsi="宋体" w:cs="宋体" w:hint="eastAsia"/>
          <w:kern w:val="0"/>
          <w:sz w:val="24"/>
          <w:szCs w:val="24"/>
          <w:bdr w:val="none" w:sz="0" w:space="0" w:color="auto" w:frame="1"/>
        </w:rPr>
        <w:t>（单位：分/项）</w:t>
      </w:r>
    </w:p>
    <w:tbl>
      <w:tblPr>
        <w:tblW w:w="7905" w:type="dxa"/>
        <w:tblCellMar>
          <w:left w:w="0" w:type="dxa"/>
          <w:right w:w="0" w:type="dxa"/>
        </w:tblCellMar>
        <w:tblLook w:val="04A0" w:firstRow="1" w:lastRow="0" w:firstColumn="1" w:lastColumn="0" w:noHBand="0" w:noVBand="1"/>
      </w:tblPr>
      <w:tblGrid>
        <w:gridCol w:w="751"/>
        <w:gridCol w:w="1109"/>
        <w:gridCol w:w="1949"/>
        <w:gridCol w:w="1431"/>
        <w:gridCol w:w="1109"/>
        <w:gridCol w:w="1556"/>
      </w:tblGrid>
      <w:tr w:rsidR="008D7C50" w:rsidRPr="008D7C50" w:rsidTr="008D7C50">
        <w:tc>
          <w:tcPr>
            <w:tcW w:w="63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类别</w:t>
            </w:r>
          </w:p>
        </w:tc>
        <w:tc>
          <w:tcPr>
            <w:tcW w:w="9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国家级</w:t>
            </w:r>
          </w:p>
        </w:tc>
        <w:tc>
          <w:tcPr>
            <w:tcW w:w="163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省市部级</w:t>
            </w:r>
          </w:p>
        </w:tc>
        <w:tc>
          <w:tcPr>
            <w:tcW w:w="120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委办局级</w:t>
            </w:r>
          </w:p>
        </w:tc>
        <w:tc>
          <w:tcPr>
            <w:tcW w:w="9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校级</w:t>
            </w:r>
          </w:p>
        </w:tc>
        <w:tc>
          <w:tcPr>
            <w:tcW w:w="1305"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横向课题</w:t>
            </w:r>
          </w:p>
        </w:tc>
      </w:tr>
      <w:tr w:rsidR="008D7C50" w:rsidRPr="008D7C50" w:rsidTr="008D7C50">
        <w:tc>
          <w:tcPr>
            <w:tcW w:w="6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分值</w:t>
            </w:r>
          </w:p>
        </w:tc>
        <w:tc>
          <w:tcPr>
            <w:tcW w:w="9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80</w:t>
            </w:r>
          </w:p>
        </w:tc>
        <w:tc>
          <w:tcPr>
            <w:tcW w:w="163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40</w:t>
            </w:r>
          </w:p>
        </w:tc>
        <w:tc>
          <w:tcPr>
            <w:tcW w:w="120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c>
          <w:tcPr>
            <w:tcW w:w="9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10</w:t>
            </w:r>
          </w:p>
        </w:tc>
        <w:tc>
          <w:tcPr>
            <w:tcW w:w="1305"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w:t>
            </w:r>
            <w:r w:rsidRPr="008D7C50">
              <w:rPr>
                <w:rFonts w:ascii="微软雅黑" w:eastAsia="微软雅黑" w:hAnsi="微软雅黑" w:cs="宋体" w:hint="eastAsia"/>
                <w:kern w:val="0"/>
                <w:szCs w:val="21"/>
                <w:bdr w:val="none" w:sz="0" w:space="0" w:color="auto" w:frame="1"/>
              </w:rPr>
              <w:t>万元经费</w:t>
            </w:r>
          </w:p>
        </w:tc>
      </w:tr>
    </w:tbl>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第八条  获奖科研成果的加分</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为了鼓励教职工提升科研成果的质量，扩大学校在社会上的知名度，对于在学校外获得奖励的科研成果按照获奖等级给予一次性的加分。具体标准为：（单位：分/项）</w:t>
      </w:r>
    </w:p>
    <w:tbl>
      <w:tblPr>
        <w:tblW w:w="8205" w:type="dxa"/>
        <w:tblCellMar>
          <w:left w:w="0" w:type="dxa"/>
          <w:right w:w="0" w:type="dxa"/>
        </w:tblCellMar>
        <w:tblLook w:val="04A0" w:firstRow="1" w:lastRow="0" w:firstColumn="1" w:lastColumn="0" w:noHBand="0" w:noVBand="1"/>
      </w:tblPr>
      <w:tblGrid>
        <w:gridCol w:w="3438"/>
        <w:gridCol w:w="829"/>
        <w:gridCol w:w="1226"/>
        <w:gridCol w:w="1416"/>
        <w:gridCol w:w="1296"/>
      </w:tblGrid>
      <w:tr w:rsidR="008D7C50" w:rsidRPr="008D7C50" w:rsidTr="008D7C50">
        <w:tc>
          <w:tcPr>
            <w:tcW w:w="298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获奖等级</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专著</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教材</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学术论文</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科研课题</w:t>
            </w:r>
          </w:p>
        </w:tc>
      </w:tr>
      <w:tr w:rsidR="008D7C50" w:rsidRPr="008D7C50" w:rsidTr="008D7C50">
        <w:tc>
          <w:tcPr>
            <w:tcW w:w="2985" w:type="dxa"/>
            <w:tcBorders>
              <w:top w:val="nil"/>
              <w:left w:val="nil"/>
              <w:bottom w:val="nil"/>
              <w:right w:val="nil"/>
            </w:tcBorders>
            <w:hideMark/>
          </w:tcPr>
          <w:p w:rsidR="008D7C50" w:rsidRPr="008D7C50" w:rsidRDefault="008D7C50" w:rsidP="008D7C50">
            <w:pPr>
              <w:widowControl/>
              <w:spacing w:line="408"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国家一等</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80</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60</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60</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60</w:t>
            </w:r>
          </w:p>
        </w:tc>
      </w:tr>
      <w:tr w:rsidR="008D7C50" w:rsidRPr="008D7C50" w:rsidTr="008D7C50">
        <w:tc>
          <w:tcPr>
            <w:tcW w:w="2985" w:type="dxa"/>
            <w:tcBorders>
              <w:top w:val="nil"/>
              <w:left w:val="nil"/>
              <w:bottom w:val="nil"/>
              <w:right w:val="nil"/>
            </w:tcBorders>
            <w:hideMark/>
          </w:tcPr>
          <w:p w:rsidR="008D7C50" w:rsidRPr="008D7C50" w:rsidRDefault="008D7C50" w:rsidP="008D7C50">
            <w:pPr>
              <w:widowControl/>
              <w:spacing w:line="408" w:lineRule="atLeast"/>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国家二等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省市部级一等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国家级学会一等</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60</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40</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40</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40</w:t>
            </w:r>
          </w:p>
        </w:tc>
      </w:tr>
      <w:tr w:rsidR="008D7C50" w:rsidRPr="008D7C50" w:rsidTr="008D7C50">
        <w:tc>
          <w:tcPr>
            <w:tcW w:w="2985" w:type="dxa"/>
            <w:tcBorders>
              <w:top w:val="nil"/>
              <w:left w:val="nil"/>
              <w:bottom w:val="nil"/>
              <w:right w:val="nil"/>
            </w:tcBorders>
            <w:hideMark/>
          </w:tcPr>
          <w:p w:rsidR="008D7C50" w:rsidRPr="008D7C50" w:rsidRDefault="008D7C50" w:rsidP="008D7C50">
            <w:pPr>
              <w:widowControl/>
              <w:spacing w:line="408" w:lineRule="atLeast"/>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lastRenderedPageBreak/>
              <w:t>国家三等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省市部级二等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国家级学会二等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省市级学会一等</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30</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20</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20</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20</w:t>
            </w:r>
          </w:p>
        </w:tc>
      </w:tr>
      <w:tr w:rsidR="008D7C50" w:rsidRPr="008D7C50" w:rsidTr="008D7C50">
        <w:tc>
          <w:tcPr>
            <w:tcW w:w="2985" w:type="dxa"/>
            <w:tcBorders>
              <w:top w:val="nil"/>
              <w:left w:val="nil"/>
              <w:bottom w:val="nil"/>
              <w:right w:val="nil"/>
            </w:tcBorders>
            <w:hideMark/>
          </w:tcPr>
          <w:p w:rsidR="008D7C50" w:rsidRPr="008D7C50" w:rsidRDefault="008D7C50" w:rsidP="008D7C50">
            <w:pPr>
              <w:widowControl/>
              <w:spacing w:line="408" w:lineRule="atLeast"/>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省市部级三等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国家级学会三等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省市级学会二等</w:t>
            </w:r>
            <w:r w:rsidRPr="008D7C50">
              <w:rPr>
                <w:rFonts w:ascii="Times New Roman" w:eastAsia="微软雅黑" w:hAnsi="Times New Roman" w:cs="Times New Roman"/>
                <w:kern w:val="0"/>
                <w:sz w:val="24"/>
                <w:szCs w:val="24"/>
                <w:bdr w:val="none" w:sz="0" w:space="0" w:color="auto" w:frame="1"/>
              </w:rPr>
              <w:t>/</w:t>
            </w:r>
            <w:r w:rsidRPr="008D7C50">
              <w:rPr>
                <w:rFonts w:ascii="宋体" w:eastAsia="宋体" w:hAnsi="宋体" w:cs="宋体" w:hint="eastAsia"/>
                <w:kern w:val="0"/>
                <w:sz w:val="24"/>
                <w:szCs w:val="24"/>
                <w:bdr w:val="none" w:sz="0" w:space="0" w:color="auto" w:frame="1"/>
              </w:rPr>
              <w:t>委办局级一等</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20</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15</w:t>
            </w:r>
          </w:p>
        </w:tc>
      </w:tr>
      <w:tr w:rsidR="008D7C50" w:rsidRPr="008D7C50" w:rsidTr="008D7C50">
        <w:tc>
          <w:tcPr>
            <w:tcW w:w="2985" w:type="dxa"/>
            <w:tcBorders>
              <w:top w:val="nil"/>
              <w:left w:val="nil"/>
              <w:bottom w:val="nil"/>
              <w:right w:val="nil"/>
            </w:tcBorders>
            <w:hideMark/>
          </w:tcPr>
          <w:p w:rsidR="008D7C50" w:rsidRPr="008D7C50" w:rsidRDefault="008D7C50" w:rsidP="008D7C50">
            <w:pPr>
              <w:widowControl/>
              <w:spacing w:line="408"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其它</w:t>
            </w:r>
          </w:p>
        </w:tc>
        <w:tc>
          <w:tcPr>
            <w:tcW w:w="72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10</w:t>
            </w:r>
          </w:p>
        </w:tc>
        <w:tc>
          <w:tcPr>
            <w:tcW w:w="106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123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c>
          <w:tcPr>
            <w:tcW w:w="112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Times New Roman" w:eastAsia="微软雅黑" w:hAnsi="Times New Roman" w:cs="Times New Roman"/>
                <w:kern w:val="0"/>
                <w:sz w:val="24"/>
                <w:szCs w:val="24"/>
                <w:bdr w:val="none" w:sz="0" w:space="0" w:color="auto" w:frame="1"/>
              </w:rPr>
              <w:t>5</w:t>
            </w:r>
          </w:p>
        </w:tc>
      </w:tr>
    </w:tbl>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第九条  专利计分标准</w:t>
      </w:r>
    </w:p>
    <w:tbl>
      <w:tblPr>
        <w:tblW w:w="7905" w:type="dxa"/>
        <w:jc w:val="center"/>
        <w:tblCellMar>
          <w:left w:w="0" w:type="dxa"/>
          <w:right w:w="0" w:type="dxa"/>
        </w:tblCellMar>
        <w:tblLook w:val="04A0" w:firstRow="1" w:lastRow="0" w:firstColumn="1" w:lastColumn="0" w:noHBand="0" w:noVBand="1"/>
      </w:tblPr>
      <w:tblGrid>
        <w:gridCol w:w="4914"/>
        <w:gridCol w:w="2991"/>
      </w:tblGrid>
      <w:tr w:rsidR="008D7C50" w:rsidRPr="008D7C50" w:rsidTr="008D7C50">
        <w:trPr>
          <w:trHeight w:val="330"/>
          <w:jc w:val="center"/>
        </w:trPr>
        <w:tc>
          <w:tcPr>
            <w:tcW w:w="4560"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color w:val="262626"/>
                <w:kern w:val="0"/>
                <w:sz w:val="24"/>
                <w:szCs w:val="24"/>
                <w:bdr w:val="none" w:sz="0" w:space="0" w:color="auto" w:frame="1"/>
              </w:rPr>
              <w:t>类别</w:t>
            </w:r>
          </w:p>
        </w:tc>
        <w:tc>
          <w:tcPr>
            <w:tcW w:w="2775" w:type="dxa"/>
            <w:tcBorders>
              <w:top w:val="nil"/>
              <w:left w:val="nil"/>
              <w:bottom w:val="nil"/>
              <w:right w:val="nil"/>
            </w:tcBorders>
            <w:vAlign w:val="center"/>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color w:val="262626"/>
                <w:kern w:val="0"/>
                <w:szCs w:val="21"/>
                <w:bdr w:val="none" w:sz="0" w:space="0" w:color="auto" w:frame="1"/>
              </w:rPr>
              <w:t>分值</w:t>
            </w:r>
          </w:p>
        </w:tc>
      </w:tr>
      <w:tr w:rsidR="008D7C50" w:rsidRPr="008D7C50" w:rsidTr="008D7C50">
        <w:trPr>
          <w:trHeight w:val="315"/>
          <w:jc w:val="center"/>
        </w:trPr>
        <w:tc>
          <w:tcPr>
            <w:tcW w:w="456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color w:val="262626"/>
                <w:kern w:val="0"/>
                <w:szCs w:val="21"/>
                <w:bdr w:val="none" w:sz="0" w:space="0" w:color="auto" w:frame="1"/>
              </w:rPr>
              <w:t>发明专利</w:t>
            </w:r>
          </w:p>
        </w:tc>
        <w:tc>
          <w:tcPr>
            <w:tcW w:w="2775"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color w:val="262626"/>
                <w:kern w:val="0"/>
                <w:sz w:val="24"/>
                <w:szCs w:val="24"/>
                <w:bdr w:val="none" w:sz="0" w:space="0" w:color="auto" w:frame="1"/>
              </w:rPr>
              <w:t>30/项</w:t>
            </w:r>
          </w:p>
        </w:tc>
      </w:tr>
      <w:tr w:rsidR="008D7C50" w:rsidRPr="008D7C50" w:rsidTr="008D7C50">
        <w:trPr>
          <w:trHeight w:val="315"/>
          <w:jc w:val="center"/>
        </w:trPr>
        <w:tc>
          <w:tcPr>
            <w:tcW w:w="456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color w:val="262626"/>
                <w:kern w:val="0"/>
                <w:szCs w:val="21"/>
                <w:bdr w:val="none" w:sz="0" w:space="0" w:color="auto" w:frame="1"/>
              </w:rPr>
              <w:t>实用新型专利</w:t>
            </w:r>
          </w:p>
        </w:tc>
        <w:tc>
          <w:tcPr>
            <w:tcW w:w="2775"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color w:val="262626"/>
                <w:kern w:val="0"/>
                <w:sz w:val="24"/>
                <w:szCs w:val="24"/>
                <w:bdr w:val="none" w:sz="0" w:space="0" w:color="auto" w:frame="1"/>
              </w:rPr>
              <w:t>10/部</w:t>
            </w:r>
          </w:p>
        </w:tc>
      </w:tr>
      <w:tr w:rsidR="008D7C50" w:rsidRPr="008D7C50" w:rsidTr="008D7C50">
        <w:trPr>
          <w:jc w:val="center"/>
        </w:trPr>
        <w:tc>
          <w:tcPr>
            <w:tcW w:w="4560"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微软雅黑" w:eastAsia="微软雅黑" w:hAnsi="微软雅黑" w:cs="宋体" w:hint="eastAsia"/>
                <w:color w:val="262626"/>
                <w:kern w:val="0"/>
                <w:szCs w:val="21"/>
                <w:bdr w:val="none" w:sz="0" w:space="0" w:color="auto" w:frame="1"/>
              </w:rPr>
              <w:t>外观设计专利</w:t>
            </w:r>
          </w:p>
        </w:tc>
        <w:tc>
          <w:tcPr>
            <w:tcW w:w="2775" w:type="dxa"/>
            <w:tcBorders>
              <w:top w:val="nil"/>
              <w:left w:val="nil"/>
              <w:bottom w:val="nil"/>
              <w:right w:val="nil"/>
            </w:tcBorders>
            <w:hideMark/>
          </w:tcPr>
          <w:p w:rsidR="008D7C50" w:rsidRPr="008D7C50" w:rsidRDefault="008D7C50" w:rsidP="008D7C50">
            <w:pPr>
              <w:widowControl/>
              <w:spacing w:line="408" w:lineRule="atLeast"/>
              <w:jc w:val="center"/>
              <w:rPr>
                <w:rFonts w:ascii="微软雅黑" w:eastAsia="微软雅黑" w:hAnsi="微软雅黑" w:cs="宋体" w:hint="eastAsia"/>
                <w:kern w:val="0"/>
                <w:szCs w:val="21"/>
              </w:rPr>
            </w:pPr>
            <w:r w:rsidRPr="008D7C50">
              <w:rPr>
                <w:rFonts w:ascii="宋体" w:eastAsia="宋体" w:hAnsi="宋体" w:cs="宋体" w:hint="eastAsia"/>
                <w:color w:val="262626"/>
                <w:kern w:val="0"/>
                <w:sz w:val="24"/>
                <w:szCs w:val="24"/>
                <w:bdr w:val="none" w:sz="0" w:space="0" w:color="auto" w:frame="1"/>
              </w:rPr>
              <w:t>10/部</w:t>
            </w:r>
          </w:p>
        </w:tc>
      </w:tr>
    </w:tbl>
    <w:p w:rsidR="008D7C50" w:rsidRPr="008D7C50" w:rsidRDefault="008D7C50" w:rsidP="008D7C50">
      <w:pPr>
        <w:widowControl/>
        <w:spacing w:line="315" w:lineRule="atLeast"/>
        <w:ind w:firstLine="734"/>
        <w:jc w:val="left"/>
        <w:rPr>
          <w:rFonts w:ascii="微软雅黑" w:eastAsia="微软雅黑" w:hAnsi="微软雅黑" w:cs="宋体" w:hint="eastAsia"/>
          <w:kern w:val="0"/>
          <w:szCs w:val="21"/>
        </w:rPr>
      </w:pPr>
      <w:r w:rsidRPr="008D7C50">
        <w:rPr>
          <w:rFonts w:ascii="微软雅黑" w:eastAsia="微软雅黑" w:hAnsi="微软雅黑" w:cs="宋体" w:hint="eastAsia"/>
          <w:color w:val="262626"/>
          <w:kern w:val="0"/>
          <w:szCs w:val="21"/>
          <w:bdr w:val="none" w:sz="0" w:space="0" w:color="auto" w:frame="1"/>
        </w:rPr>
        <w:t>专利须通过国家知识产权局授权并取得国家专利证书。</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第十条  考核周期</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参考国家及教委统计时间为每年</w:t>
      </w:r>
      <w:r w:rsidRPr="008D7C50">
        <w:rPr>
          <w:rFonts w:ascii="Times New Roman" w:eastAsia="微软雅黑" w:hAnsi="Times New Roman" w:cs="Times New Roman"/>
          <w:kern w:val="0"/>
          <w:sz w:val="24"/>
          <w:szCs w:val="24"/>
          <w:bdr w:val="none" w:sz="0" w:space="0" w:color="auto" w:frame="1"/>
        </w:rPr>
        <w:t>6</w:t>
      </w:r>
      <w:r w:rsidRPr="008D7C50">
        <w:rPr>
          <w:rFonts w:ascii="宋体" w:eastAsia="宋体" w:hAnsi="宋体" w:cs="宋体" w:hint="eastAsia"/>
          <w:kern w:val="0"/>
          <w:sz w:val="24"/>
          <w:szCs w:val="24"/>
          <w:bdr w:val="none" w:sz="0" w:space="0" w:color="auto" w:frame="1"/>
        </w:rPr>
        <w:t>月</w:t>
      </w:r>
      <w:r w:rsidRPr="008D7C50">
        <w:rPr>
          <w:rFonts w:ascii="Times New Roman" w:eastAsia="微软雅黑" w:hAnsi="Times New Roman" w:cs="Times New Roman"/>
          <w:kern w:val="0"/>
          <w:sz w:val="24"/>
          <w:szCs w:val="24"/>
          <w:bdr w:val="none" w:sz="0" w:space="0" w:color="auto" w:frame="1"/>
        </w:rPr>
        <w:t>30</w:t>
      </w:r>
      <w:r w:rsidRPr="008D7C50">
        <w:rPr>
          <w:rFonts w:ascii="宋体" w:eastAsia="宋体" w:hAnsi="宋体" w:cs="宋体" w:hint="eastAsia"/>
          <w:kern w:val="0"/>
          <w:sz w:val="24"/>
          <w:szCs w:val="24"/>
          <w:bdr w:val="none" w:sz="0" w:space="0" w:color="auto" w:frame="1"/>
        </w:rPr>
        <w:t>日，学校每年进行统计（上一年</w:t>
      </w:r>
      <w:r w:rsidRPr="008D7C50">
        <w:rPr>
          <w:rFonts w:ascii="Times New Roman" w:eastAsia="微软雅黑" w:hAnsi="Times New Roman" w:cs="Times New Roman"/>
          <w:kern w:val="0"/>
          <w:sz w:val="24"/>
          <w:szCs w:val="24"/>
          <w:bdr w:val="none" w:sz="0" w:space="0" w:color="auto" w:frame="1"/>
        </w:rPr>
        <w:t>7</w:t>
      </w:r>
      <w:r w:rsidRPr="008D7C50">
        <w:rPr>
          <w:rFonts w:ascii="宋体" w:eastAsia="宋体" w:hAnsi="宋体" w:cs="宋体" w:hint="eastAsia"/>
          <w:kern w:val="0"/>
          <w:sz w:val="24"/>
          <w:szCs w:val="24"/>
          <w:bdr w:val="none" w:sz="0" w:space="0" w:color="auto" w:frame="1"/>
        </w:rPr>
        <w:t>月</w:t>
      </w:r>
      <w:r w:rsidRPr="008D7C50">
        <w:rPr>
          <w:rFonts w:ascii="Times New Roman" w:eastAsia="微软雅黑" w:hAnsi="Times New Roman" w:cs="Times New Roman"/>
          <w:kern w:val="0"/>
          <w:sz w:val="24"/>
          <w:szCs w:val="24"/>
          <w:bdr w:val="none" w:sz="0" w:space="0" w:color="auto" w:frame="1"/>
        </w:rPr>
        <w:t>1</w:t>
      </w:r>
      <w:r w:rsidRPr="008D7C50">
        <w:rPr>
          <w:rFonts w:ascii="宋体" w:eastAsia="宋体" w:hAnsi="宋体" w:cs="宋体" w:hint="eastAsia"/>
          <w:kern w:val="0"/>
          <w:sz w:val="24"/>
          <w:szCs w:val="24"/>
          <w:bdr w:val="none" w:sz="0" w:space="0" w:color="auto" w:frame="1"/>
        </w:rPr>
        <w:t>日至下一年</w:t>
      </w:r>
      <w:r w:rsidRPr="008D7C50">
        <w:rPr>
          <w:rFonts w:ascii="Times New Roman" w:eastAsia="微软雅黑" w:hAnsi="Times New Roman" w:cs="Times New Roman"/>
          <w:kern w:val="0"/>
          <w:sz w:val="24"/>
          <w:szCs w:val="24"/>
          <w:bdr w:val="none" w:sz="0" w:space="0" w:color="auto" w:frame="1"/>
        </w:rPr>
        <w:t>6</w:t>
      </w:r>
      <w:r w:rsidRPr="008D7C50">
        <w:rPr>
          <w:rFonts w:ascii="宋体" w:eastAsia="宋体" w:hAnsi="宋体" w:cs="宋体" w:hint="eastAsia"/>
          <w:kern w:val="0"/>
          <w:sz w:val="24"/>
          <w:szCs w:val="24"/>
          <w:bdr w:val="none" w:sz="0" w:space="0" w:color="auto" w:frame="1"/>
        </w:rPr>
        <w:t>月</w:t>
      </w:r>
      <w:r w:rsidRPr="008D7C50">
        <w:rPr>
          <w:rFonts w:ascii="Times New Roman" w:eastAsia="微软雅黑" w:hAnsi="Times New Roman" w:cs="Times New Roman"/>
          <w:kern w:val="0"/>
          <w:sz w:val="24"/>
          <w:szCs w:val="24"/>
          <w:bdr w:val="none" w:sz="0" w:space="0" w:color="auto" w:frame="1"/>
        </w:rPr>
        <w:t>30</w:t>
      </w:r>
      <w:r w:rsidRPr="008D7C50">
        <w:rPr>
          <w:rFonts w:ascii="宋体" w:eastAsia="宋体" w:hAnsi="宋体" w:cs="宋体" w:hint="eastAsia"/>
          <w:kern w:val="0"/>
          <w:sz w:val="24"/>
          <w:szCs w:val="24"/>
          <w:bdr w:val="none" w:sz="0" w:space="0" w:color="auto" w:frame="1"/>
        </w:rPr>
        <w:t>日），每二年为一个考核周期。</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第十一条  多人合作的科研成果分值分配</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学术论文如果多人合作联合署名发表的，按其在署名中的排位确定分值。排名第</w:t>
      </w:r>
      <w:r w:rsidRPr="008D7C50">
        <w:rPr>
          <w:rFonts w:ascii="Times New Roman" w:eastAsia="微软雅黑" w:hAnsi="Times New Roman" w:cs="Times New Roman"/>
          <w:kern w:val="0"/>
          <w:sz w:val="24"/>
          <w:szCs w:val="24"/>
          <w:bdr w:val="none" w:sz="0" w:space="0" w:color="auto" w:frame="1"/>
        </w:rPr>
        <w:t>1</w:t>
      </w:r>
      <w:r w:rsidRPr="008D7C50">
        <w:rPr>
          <w:rFonts w:ascii="宋体" w:eastAsia="宋体" w:hAnsi="宋体" w:cs="宋体" w:hint="eastAsia"/>
          <w:kern w:val="0"/>
          <w:sz w:val="24"/>
          <w:szCs w:val="24"/>
          <w:bdr w:val="none" w:sz="0" w:space="0" w:color="auto" w:frame="1"/>
        </w:rPr>
        <w:t>占相应分值的</w:t>
      </w:r>
      <w:r w:rsidRPr="008D7C50">
        <w:rPr>
          <w:rFonts w:ascii="Times New Roman" w:eastAsia="微软雅黑" w:hAnsi="Times New Roman" w:cs="Times New Roman"/>
          <w:kern w:val="0"/>
          <w:sz w:val="24"/>
          <w:szCs w:val="24"/>
          <w:bdr w:val="none" w:sz="0" w:space="0" w:color="auto" w:frame="1"/>
        </w:rPr>
        <w:t>70%</w:t>
      </w:r>
      <w:r w:rsidRPr="008D7C50">
        <w:rPr>
          <w:rFonts w:ascii="宋体" w:eastAsia="宋体" w:hAnsi="宋体" w:cs="宋体" w:hint="eastAsia"/>
          <w:kern w:val="0"/>
          <w:sz w:val="24"/>
          <w:szCs w:val="24"/>
          <w:bdr w:val="none" w:sz="0" w:space="0" w:color="auto" w:frame="1"/>
        </w:rPr>
        <w:t>，排名第</w:t>
      </w:r>
      <w:r w:rsidRPr="008D7C50">
        <w:rPr>
          <w:rFonts w:ascii="Times New Roman" w:eastAsia="微软雅黑" w:hAnsi="Times New Roman" w:cs="Times New Roman"/>
          <w:kern w:val="0"/>
          <w:sz w:val="24"/>
          <w:szCs w:val="24"/>
          <w:bdr w:val="none" w:sz="0" w:space="0" w:color="auto" w:frame="1"/>
        </w:rPr>
        <w:t>2</w:t>
      </w:r>
      <w:r w:rsidRPr="008D7C50">
        <w:rPr>
          <w:rFonts w:ascii="宋体" w:eastAsia="宋体" w:hAnsi="宋体" w:cs="宋体" w:hint="eastAsia"/>
          <w:kern w:val="0"/>
          <w:sz w:val="24"/>
          <w:szCs w:val="24"/>
          <w:bdr w:val="none" w:sz="0" w:space="0" w:color="auto" w:frame="1"/>
        </w:rPr>
        <w:t>占相应分值的</w:t>
      </w:r>
      <w:r w:rsidRPr="008D7C50">
        <w:rPr>
          <w:rFonts w:ascii="Times New Roman" w:eastAsia="微软雅黑" w:hAnsi="Times New Roman" w:cs="Times New Roman"/>
          <w:kern w:val="0"/>
          <w:sz w:val="24"/>
          <w:szCs w:val="24"/>
          <w:bdr w:val="none" w:sz="0" w:space="0" w:color="auto" w:frame="1"/>
        </w:rPr>
        <w:t>20%</w:t>
      </w:r>
      <w:r w:rsidRPr="008D7C50">
        <w:rPr>
          <w:rFonts w:ascii="宋体" w:eastAsia="宋体" w:hAnsi="宋体" w:cs="宋体" w:hint="eastAsia"/>
          <w:kern w:val="0"/>
          <w:sz w:val="24"/>
          <w:szCs w:val="24"/>
          <w:bdr w:val="none" w:sz="0" w:space="0" w:color="auto" w:frame="1"/>
        </w:rPr>
        <w:t>，排名第</w:t>
      </w:r>
      <w:r w:rsidRPr="008D7C50">
        <w:rPr>
          <w:rFonts w:ascii="Times New Roman" w:eastAsia="微软雅黑" w:hAnsi="Times New Roman" w:cs="Times New Roman"/>
          <w:kern w:val="0"/>
          <w:sz w:val="24"/>
          <w:szCs w:val="24"/>
          <w:bdr w:val="none" w:sz="0" w:space="0" w:color="auto" w:frame="1"/>
        </w:rPr>
        <w:t>3</w:t>
      </w:r>
      <w:r w:rsidRPr="008D7C50">
        <w:rPr>
          <w:rFonts w:ascii="宋体" w:eastAsia="宋体" w:hAnsi="宋体" w:cs="宋体" w:hint="eastAsia"/>
          <w:kern w:val="0"/>
          <w:sz w:val="24"/>
          <w:szCs w:val="24"/>
          <w:bdr w:val="none" w:sz="0" w:space="0" w:color="auto" w:frame="1"/>
        </w:rPr>
        <w:t>占相应分值的</w:t>
      </w:r>
      <w:r w:rsidRPr="008D7C50">
        <w:rPr>
          <w:rFonts w:ascii="Times New Roman" w:eastAsia="微软雅黑" w:hAnsi="Times New Roman" w:cs="Times New Roman"/>
          <w:kern w:val="0"/>
          <w:sz w:val="24"/>
          <w:szCs w:val="24"/>
          <w:bdr w:val="none" w:sz="0" w:space="0" w:color="auto" w:frame="1"/>
        </w:rPr>
        <w:t>10%</w:t>
      </w:r>
      <w:r w:rsidRPr="008D7C50">
        <w:rPr>
          <w:rFonts w:ascii="宋体" w:eastAsia="宋体" w:hAnsi="宋体" w:cs="宋体" w:hint="eastAsia"/>
          <w:kern w:val="0"/>
          <w:sz w:val="24"/>
          <w:szCs w:val="24"/>
          <w:bdr w:val="none" w:sz="0" w:space="0" w:color="auto" w:frame="1"/>
        </w:rPr>
        <w:t>。排名第</w:t>
      </w:r>
      <w:r w:rsidRPr="008D7C50">
        <w:rPr>
          <w:rFonts w:ascii="Times New Roman" w:eastAsia="微软雅黑" w:hAnsi="Times New Roman" w:cs="Times New Roman"/>
          <w:kern w:val="0"/>
          <w:sz w:val="24"/>
          <w:szCs w:val="24"/>
          <w:bdr w:val="none" w:sz="0" w:space="0" w:color="auto" w:frame="1"/>
        </w:rPr>
        <w:t>4</w:t>
      </w:r>
      <w:r w:rsidRPr="008D7C50">
        <w:rPr>
          <w:rFonts w:ascii="宋体" w:eastAsia="宋体" w:hAnsi="宋体" w:cs="宋体" w:hint="eastAsia"/>
          <w:kern w:val="0"/>
          <w:sz w:val="24"/>
          <w:szCs w:val="24"/>
          <w:bdr w:val="none" w:sz="0" w:space="0" w:color="auto" w:frame="1"/>
        </w:rPr>
        <w:t>及以后的作者不计分值。</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科研课题一般由多人合作完成，课题负责人占课题相应分值的</w:t>
      </w:r>
      <w:r w:rsidRPr="008D7C50">
        <w:rPr>
          <w:rFonts w:ascii="Times New Roman" w:eastAsia="微软雅黑" w:hAnsi="Times New Roman" w:cs="Times New Roman"/>
          <w:kern w:val="0"/>
          <w:sz w:val="24"/>
          <w:szCs w:val="24"/>
          <w:bdr w:val="none" w:sz="0" w:space="0" w:color="auto" w:frame="1"/>
        </w:rPr>
        <w:t>60%</w:t>
      </w:r>
      <w:r w:rsidRPr="008D7C50">
        <w:rPr>
          <w:rFonts w:ascii="宋体" w:eastAsia="宋体" w:hAnsi="宋体" w:cs="宋体" w:hint="eastAsia"/>
          <w:kern w:val="0"/>
          <w:sz w:val="24"/>
          <w:szCs w:val="24"/>
          <w:bdr w:val="none" w:sz="0" w:space="0" w:color="auto" w:frame="1"/>
        </w:rPr>
        <w:t>，其余分值由课题负责人根据课题组成员在课题研究中的贡献大小来分配。</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专著等作者取前</w:t>
      </w:r>
      <w:r w:rsidRPr="008D7C50">
        <w:rPr>
          <w:rFonts w:ascii="Times New Roman" w:eastAsia="微软雅黑" w:hAnsi="Times New Roman" w:cs="Times New Roman"/>
          <w:kern w:val="0"/>
          <w:sz w:val="24"/>
          <w:szCs w:val="24"/>
          <w:bdr w:val="none" w:sz="0" w:space="0" w:color="auto" w:frame="1"/>
        </w:rPr>
        <w:t>4</w:t>
      </w:r>
      <w:r w:rsidRPr="008D7C50">
        <w:rPr>
          <w:rFonts w:ascii="宋体" w:eastAsia="宋体" w:hAnsi="宋体" w:cs="宋体" w:hint="eastAsia"/>
          <w:kern w:val="0"/>
          <w:sz w:val="24"/>
          <w:szCs w:val="24"/>
          <w:bdr w:val="none" w:sz="0" w:space="0" w:color="auto" w:frame="1"/>
        </w:rPr>
        <w:t>位，按照相应分值分配每人应得分。</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第十二条  对学术论文字数要求</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学术论文字数一般应在</w:t>
      </w:r>
      <w:r w:rsidRPr="008D7C50">
        <w:rPr>
          <w:rFonts w:ascii="Times New Roman" w:eastAsia="微软雅黑" w:hAnsi="Times New Roman" w:cs="Times New Roman"/>
          <w:kern w:val="0"/>
          <w:sz w:val="24"/>
          <w:szCs w:val="24"/>
          <w:bdr w:val="none" w:sz="0" w:space="0" w:color="auto" w:frame="1"/>
        </w:rPr>
        <w:t>3000</w:t>
      </w:r>
      <w:r w:rsidRPr="008D7C50">
        <w:rPr>
          <w:rFonts w:ascii="宋体" w:eastAsia="宋体" w:hAnsi="宋体" w:cs="宋体" w:hint="eastAsia"/>
          <w:kern w:val="0"/>
          <w:sz w:val="24"/>
          <w:szCs w:val="24"/>
          <w:bdr w:val="none" w:sz="0" w:space="0" w:color="auto" w:frame="1"/>
        </w:rPr>
        <w:t>字以上（含</w:t>
      </w:r>
      <w:r w:rsidRPr="008D7C50">
        <w:rPr>
          <w:rFonts w:ascii="Times New Roman" w:eastAsia="微软雅黑" w:hAnsi="Times New Roman" w:cs="Times New Roman"/>
          <w:kern w:val="0"/>
          <w:sz w:val="24"/>
          <w:szCs w:val="24"/>
          <w:bdr w:val="none" w:sz="0" w:space="0" w:color="auto" w:frame="1"/>
        </w:rPr>
        <w:t>3000</w:t>
      </w:r>
      <w:r w:rsidRPr="008D7C50">
        <w:rPr>
          <w:rFonts w:ascii="宋体" w:eastAsia="宋体" w:hAnsi="宋体" w:cs="宋体" w:hint="eastAsia"/>
          <w:kern w:val="0"/>
          <w:sz w:val="24"/>
          <w:szCs w:val="24"/>
          <w:bdr w:val="none" w:sz="0" w:space="0" w:color="auto" w:frame="1"/>
        </w:rPr>
        <w:t>字），若</w:t>
      </w:r>
      <w:r w:rsidRPr="008D7C50">
        <w:rPr>
          <w:rFonts w:ascii="Times New Roman" w:eastAsia="微软雅黑" w:hAnsi="Times New Roman" w:cs="Times New Roman"/>
          <w:kern w:val="0"/>
          <w:sz w:val="24"/>
          <w:szCs w:val="24"/>
          <w:bdr w:val="none" w:sz="0" w:space="0" w:color="auto" w:frame="1"/>
        </w:rPr>
        <w:t>3000</w:t>
      </w:r>
      <w:r w:rsidRPr="008D7C50">
        <w:rPr>
          <w:rFonts w:ascii="宋体" w:eastAsia="宋体" w:hAnsi="宋体" w:cs="宋体" w:hint="eastAsia"/>
          <w:kern w:val="0"/>
          <w:sz w:val="24"/>
          <w:szCs w:val="24"/>
          <w:bdr w:val="none" w:sz="0" w:space="0" w:color="auto" w:frame="1"/>
        </w:rPr>
        <w:t>字以下的学术论文按相应分值的</w:t>
      </w:r>
      <w:r w:rsidRPr="008D7C50">
        <w:rPr>
          <w:rFonts w:ascii="Times New Roman" w:eastAsia="微软雅黑" w:hAnsi="Times New Roman" w:cs="Times New Roman"/>
          <w:kern w:val="0"/>
          <w:sz w:val="24"/>
          <w:szCs w:val="24"/>
          <w:bdr w:val="none" w:sz="0" w:space="0" w:color="auto" w:frame="1"/>
        </w:rPr>
        <w:t>80%</w:t>
      </w:r>
      <w:r w:rsidRPr="008D7C50">
        <w:rPr>
          <w:rFonts w:ascii="宋体" w:eastAsia="宋体" w:hAnsi="宋体" w:cs="宋体" w:hint="eastAsia"/>
          <w:kern w:val="0"/>
          <w:sz w:val="24"/>
          <w:szCs w:val="24"/>
          <w:bdr w:val="none" w:sz="0" w:space="0" w:color="auto" w:frame="1"/>
        </w:rPr>
        <w:t>计算。</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第十三条  </w:t>
      </w:r>
      <w:r w:rsidRPr="008D7C50">
        <w:rPr>
          <w:rFonts w:ascii="宋体" w:eastAsia="宋体" w:hAnsi="宋体" w:cs="宋体" w:hint="eastAsia"/>
          <w:kern w:val="0"/>
          <w:sz w:val="24"/>
          <w:szCs w:val="24"/>
          <w:bdr w:val="none" w:sz="0" w:space="0" w:color="auto" w:frame="1"/>
        </w:rPr>
        <w:t>音乐、艺术、书画摄影作品的分值计算标准另定。</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第十四条</w:t>
      </w:r>
      <w:r w:rsidRPr="008D7C50">
        <w:rPr>
          <w:rFonts w:ascii="宋体" w:eastAsia="宋体" w:hAnsi="宋体" w:cs="宋体" w:hint="eastAsia"/>
          <w:kern w:val="0"/>
          <w:sz w:val="24"/>
          <w:szCs w:val="24"/>
          <w:bdr w:val="none" w:sz="0" w:space="0" w:color="auto" w:frame="1"/>
        </w:rPr>
        <w:t>教师所完成的科研工作是指与本人所从事的专业相关的科研成果。若发表与本专业无关的科研成果（经校学术委员会鉴定），则不作为相应的科研工作量统计。</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第十五条  考核期的科研成果是</w:t>
      </w:r>
      <w:proofErr w:type="gramStart"/>
      <w:r w:rsidRPr="008D7C50">
        <w:rPr>
          <w:rFonts w:ascii="微软雅黑" w:eastAsia="微软雅黑" w:hAnsi="微软雅黑" w:cs="宋体" w:hint="eastAsia"/>
          <w:b/>
          <w:bCs/>
          <w:kern w:val="0"/>
          <w:szCs w:val="21"/>
          <w:bdr w:val="none" w:sz="0" w:space="0" w:color="auto" w:frame="1"/>
        </w:rPr>
        <w:t>指考核期</w:t>
      </w:r>
      <w:proofErr w:type="gramEnd"/>
      <w:r w:rsidRPr="008D7C50">
        <w:rPr>
          <w:rFonts w:ascii="微软雅黑" w:eastAsia="微软雅黑" w:hAnsi="微软雅黑" w:cs="宋体" w:hint="eastAsia"/>
          <w:b/>
          <w:bCs/>
          <w:kern w:val="0"/>
          <w:szCs w:val="21"/>
          <w:bdr w:val="none" w:sz="0" w:space="0" w:color="auto" w:frame="1"/>
        </w:rPr>
        <w:t>已完成的科研成果。</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lastRenderedPageBreak/>
        <w:t>科研课题是指在考核期</w:t>
      </w:r>
      <w:proofErr w:type="gramStart"/>
      <w:r w:rsidRPr="008D7C50">
        <w:rPr>
          <w:rFonts w:ascii="宋体" w:eastAsia="宋体" w:hAnsi="宋体" w:cs="宋体" w:hint="eastAsia"/>
          <w:kern w:val="0"/>
          <w:sz w:val="24"/>
          <w:szCs w:val="24"/>
          <w:bdr w:val="none" w:sz="0" w:space="0" w:color="auto" w:frame="1"/>
        </w:rPr>
        <w:t>内结项的</w:t>
      </w:r>
      <w:proofErr w:type="gramEnd"/>
      <w:r w:rsidRPr="008D7C50">
        <w:rPr>
          <w:rFonts w:ascii="宋体" w:eastAsia="宋体" w:hAnsi="宋体" w:cs="宋体" w:hint="eastAsia"/>
          <w:kern w:val="0"/>
          <w:sz w:val="24"/>
          <w:szCs w:val="24"/>
          <w:bdr w:val="none" w:sz="0" w:space="0" w:color="auto" w:frame="1"/>
        </w:rPr>
        <w:t>课题。如由于信息传递等原因，当年未计入考核期的科研成果可转入下一考核期。</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第十六条</w:t>
      </w:r>
      <w:r w:rsidRPr="008D7C50">
        <w:rPr>
          <w:rFonts w:ascii="宋体" w:eastAsia="宋体" w:hAnsi="宋体" w:cs="宋体" w:hint="eastAsia"/>
          <w:kern w:val="0"/>
          <w:sz w:val="24"/>
          <w:szCs w:val="24"/>
          <w:bdr w:val="none" w:sz="0" w:space="0" w:color="auto" w:frame="1"/>
        </w:rPr>
        <w:t>科研成果如被SSCI、SCI、EI收录和《新华文摘》全文转载的，在其相应分值基础上一次性加50分。被《新华文摘》部分转载和中国人民大学报刊复印资料全文转载的一次性加20分。</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第十七条科研工作量的计分、统计和核定。</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宋体" w:eastAsia="宋体" w:hAnsi="宋体" w:cs="宋体" w:hint="eastAsia"/>
          <w:kern w:val="0"/>
          <w:sz w:val="24"/>
          <w:szCs w:val="24"/>
          <w:bdr w:val="none" w:sz="0" w:space="0" w:color="auto" w:frame="1"/>
        </w:rPr>
        <w:t>考核期内（每年统计，每二年进行一次考核），教师的科研工作量的计分和统计工作由各二级学院负责。按照本办法的标准加以统计，核定。教师个人应填写《个人年度科研成果登记表》，经二级学院审核汇总后，以二级学院为单位，将每位教师的《个人年度科研成果登记表》、《部门科研工作量汇总表》、《部门科研分数汇总表》以及科研成果原件一并送科研处核对认可。不需承担科研工作量的教职工的科研成果，也应同时参加本部门的科研成果统计，但不计分考核。如作者本人对其成果的确定有异议，由学校学术委员会给予裁定。</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第十八条  </w:t>
      </w:r>
      <w:r w:rsidRPr="008D7C50">
        <w:rPr>
          <w:rFonts w:ascii="宋体" w:eastAsia="宋体" w:hAnsi="宋体" w:cs="宋体" w:hint="eastAsia"/>
          <w:kern w:val="0"/>
          <w:sz w:val="24"/>
          <w:szCs w:val="24"/>
          <w:bdr w:val="none" w:sz="0" w:space="0" w:color="auto" w:frame="1"/>
        </w:rPr>
        <w:t>科研绩效考核的评定分为“优秀”、“良好”“合格”及“不合格”。</w:t>
      </w:r>
    </w:p>
    <w:p w:rsidR="008D7C50" w:rsidRPr="008D7C50" w:rsidRDefault="008D7C50" w:rsidP="008D7C50">
      <w:pPr>
        <w:widowControl/>
        <w:spacing w:line="315" w:lineRule="atLeast"/>
        <w:ind w:firstLine="547"/>
        <w:jc w:val="lef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达到专业技术职称所须完成绩效分的为合格；超过所须完成绩效分</w:t>
      </w:r>
      <w:r w:rsidRPr="008D7C50">
        <w:rPr>
          <w:rFonts w:ascii="宋体" w:eastAsia="宋体" w:hAnsi="宋体" w:cs="宋体" w:hint="eastAsia"/>
          <w:kern w:val="0"/>
          <w:sz w:val="24"/>
          <w:szCs w:val="24"/>
          <w:bdr w:val="none" w:sz="0" w:space="0" w:color="auto" w:frame="1"/>
        </w:rPr>
        <w:t>30%</w:t>
      </w:r>
      <w:r w:rsidRPr="008D7C50">
        <w:rPr>
          <w:rFonts w:ascii="微软雅黑" w:eastAsia="微软雅黑" w:hAnsi="微软雅黑" w:cs="宋体" w:hint="eastAsia"/>
          <w:kern w:val="0"/>
          <w:szCs w:val="21"/>
          <w:bdr w:val="none" w:sz="0" w:space="0" w:color="auto" w:frame="1"/>
        </w:rPr>
        <w:t>的为良好；超过所须完成绩效分</w:t>
      </w:r>
      <w:r w:rsidRPr="008D7C50">
        <w:rPr>
          <w:rFonts w:ascii="宋体" w:eastAsia="宋体" w:hAnsi="宋体" w:cs="宋体" w:hint="eastAsia"/>
          <w:kern w:val="0"/>
          <w:sz w:val="24"/>
          <w:szCs w:val="24"/>
          <w:bdr w:val="none" w:sz="0" w:space="0" w:color="auto" w:frame="1"/>
        </w:rPr>
        <w:t>50%</w:t>
      </w:r>
      <w:r w:rsidRPr="008D7C50">
        <w:rPr>
          <w:rFonts w:ascii="微软雅黑" w:eastAsia="微软雅黑" w:hAnsi="微软雅黑" w:cs="宋体" w:hint="eastAsia"/>
          <w:kern w:val="0"/>
          <w:szCs w:val="21"/>
          <w:bdr w:val="none" w:sz="0" w:space="0" w:color="auto" w:frame="1"/>
        </w:rPr>
        <w:t>的为优秀。</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第十九条  </w:t>
      </w:r>
      <w:r w:rsidRPr="008D7C50">
        <w:rPr>
          <w:rFonts w:ascii="宋体" w:eastAsia="宋体" w:hAnsi="宋体" w:cs="宋体" w:hint="eastAsia"/>
          <w:kern w:val="0"/>
          <w:sz w:val="24"/>
          <w:szCs w:val="24"/>
          <w:bdr w:val="none" w:sz="0" w:space="0" w:color="auto" w:frame="1"/>
        </w:rPr>
        <w:t>每位教师应认真如实填写，二级学院负责人应严格审查，不得虚填、</w:t>
      </w:r>
      <w:proofErr w:type="gramStart"/>
      <w:r w:rsidRPr="008D7C50">
        <w:rPr>
          <w:rFonts w:ascii="宋体" w:eastAsia="宋体" w:hAnsi="宋体" w:cs="宋体" w:hint="eastAsia"/>
          <w:kern w:val="0"/>
          <w:sz w:val="24"/>
          <w:szCs w:val="24"/>
          <w:bdr w:val="none" w:sz="0" w:space="0" w:color="auto" w:frame="1"/>
        </w:rPr>
        <w:t>重填和漏</w:t>
      </w:r>
      <w:proofErr w:type="gramEnd"/>
      <w:r w:rsidRPr="008D7C50">
        <w:rPr>
          <w:rFonts w:ascii="宋体" w:eastAsia="宋体" w:hAnsi="宋体" w:cs="宋体" w:hint="eastAsia"/>
          <w:kern w:val="0"/>
          <w:sz w:val="24"/>
          <w:szCs w:val="24"/>
          <w:bdr w:val="none" w:sz="0" w:space="0" w:color="auto" w:frame="1"/>
        </w:rPr>
        <w:t>填。科研工作量完成情况将列入个人和二级学院的年度工作考核，并作为分配下年度科研经费的重要依据。</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第二十条  </w:t>
      </w:r>
      <w:r w:rsidRPr="008D7C50">
        <w:rPr>
          <w:rFonts w:ascii="微软雅黑" w:eastAsia="微软雅黑" w:hAnsi="微软雅黑" w:cs="宋体" w:hint="eastAsia"/>
          <w:kern w:val="0"/>
          <w:sz w:val="24"/>
          <w:szCs w:val="24"/>
          <w:bdr w:val="none" w:sz="0" w:space="0" w:color="auto" w:frame="1"/>
        </w:rPr>
        <w:t>本办法经校学术委员会审议通过，自</w:t>
      </w:r>
      <w:r w:rsidRPr="008D7C50">
        <w:rPr>
          <w:rFonts w:ascii="微软雅黑" w:eastAsia="微软雅黑" w:hAnsi="微软雅黑" w:cs="宋体" w:hint="eastAsia"/>
          <w:kern w:val="0"/>
          <w:szCs w:val="21"/>
          <w:bdr w:val="none" w:sz="0" w:space="0" w:color="auto" w:frame="1"/>
        </w:rPr>
        <w:t>2017</w:t>
      </w:r>
      <w:r w:rsidRPr="008D7C50">
        <w:rPr>
          <w:rFonts w:ascii="微软雅黑" w:eastAsia="微软雅黑" w:hAnsi="微软雅黑" w:cs="宋体" w:hint="eastAsia"/>
          <w:kern w:val="0"/>
          <w:sz w:val="24"/>
          <w:szCs w:val="24"/>
          <w:bdr w:val="none" w:sz="0" w:space="0" w:color="auto" w:frame="1"/>
        </w:rPr>
        <w:t>年</w:t>
      </w:r>
      <w:r w:rsidRPr="008D7C50">
        <w:rPr>
          <w:rFonts w:ascii="微软雅黑" w:eastAsia="微软雅黑" w:hAnsi="微软雅黑" w:cs="宋体" w:hint="eastAsia"/>
          <w:kern w:val="0"/>
          <w:szCs w:val="21"/>
          <w:bdr w:val="none" w:sz="0" w:space="0" w:color="auto" w:frame="1"/>
        </w:rPr>
        <w:t>1</w:t>
      </w:r>
      <w:r w:rsidRPr="008D7C50">
        <w:rPr>
          <w:rFonts w:ascii="微软雅黑" w:eastAsia="微软雅黑" w:hAnsi="微软雅黑" w:cs="宋体" w:hint="eastAsia"/>
          <w:kern w:val="0"/>
          <w:sz w:val="24"/>
          <w:szCs w:val="24"/>
          <w:bdr w:val="none" w:sz="0" w:space="0" w:color="auto" w:frame="1"/>
        </w:rPr>
        <w:t>月起试行</w:t>
      </w:r>
      <w:r w:rsidRPr="008D7C50">
        <w:rPr>
          <w:rFonts w:ascii="宋体" w:eastAsia="宋体" w:hAnsi="宋体" w:cs="宋体" w:hint="eastAsia"/>
          <w:kern w:val="0"/>
          <w:sz w:val="24"/>
          <w:szCs w:val="24"/>
          <w:bdr w:val="none" w:sz="0" w:space="0" w:color="auto" w:frame="1"/>
        </w:rPr>
        <w:t>。</w:t>
      </w:r>
    </w:p>
    <w:p w:rsidR="008D7C50" w:rsidRPr="008D7C50" w:rsidRDefault="008D7C50" w:rsidP="008D7C50">
      <w:pPr>
        <w:widowControl/>
        <w:spacing w:line="315" w:lineRule="atLeast"/>
        <w:jc w:val="left"/>
        <w:rPr>
          <w:rFonts w:ascii="微软雅黑" w:eastAsia="微软雅黑" w:hAnsi="微软雅黑" w:cs="宋体" w:hint="eastAsia"/>
          <w:kern w:val="0"/>
          <w:szCs w:val="21"/>
        </w:rPr>
      </w:pPr>
      <w:r w:rsidRPr="008D7C50">
        <w:rPr>
          <w:rFonts w:ascii="微软雅黑" w:eastAsia="微软雅黑" w:hAnsi="微软雅黑" w:cs="宋体" w:hint="eastAsia"/>
          <w:b/>
          <w:bCs/>
          <w:kern w:val="0"/>
          <w:szCs w:val="21"/>
          <w:bdr w:val="none" w:sz="0" w:space="0" w:color="auto" w:frame="1"/>
        </w:rPr>
        <w:t>第二十一条  </w:t>
      </w:r>
      <w:r w:rsidRPr="008D7C50">
        <w:rPr>
          <w:rFonts w:ascii="宋体" w:eastAsia="宋体" w:hAnsi="宋体" w:cs="宋体" w:hint="eastAsia"/>
          <w:kern w:val="0"/>
          <w:sz w:val="24"/>
          <w:szCs w:val="24"/>
          <w:bdr w:val="none" w:sz="0" w:space="0" w:color="auto" w:frame="1"/>
        </w:rPr>
        <w:t>本办法由科研处和人事处负责解释。</w:t>
      </w:r>
    </w:p>
    <w:p w:rsidR="008D7C50" w:rsidRPr="008D7C50" w:rsidRDefault="008D7C50" w:rsidP="008D7C50">
      <w:pPr>
        <w:widowControl/>
        <w:spacing w:line="315" w:lineRule="atLeast"/>
        <w:ind w:right="274"/>
        <w:jc w:val="righ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上海师范大学天华学院</w:t>
      </w:r>
    </w:p>
    <w:p w:rsidR="008D7C50" w:rsidRPr="008D7C50" w:rsidRDefault="008D7C50" w:rsidP="008D7C50">
      <w:pPr>
        <w:widowControl/>
        <w:spacing w:line="315" w:lineRule="atLeast"/>
        <w:jc w:val="right"/>
        <w:rPr>
          <w:rFonts w:ascii="微软雅黑" w:eastAsia="微软雅黑" w:hAnsi="微软雅黑" w:cs="宋体" w:hint="eastAsia"/>
          <w:kern w:val="0"/>
          <w:szCs w:val="21"/>
        </w:rPr>
      </w:pPr>
      <w:r w:rsidRPr="008D7C50">
        <w:rPr>
          <w:rFonts w:ascii="微软雅黑" w:eastAsia="微软雅黑" w:hAnsi="微软雅黑" w:cs="宋体" w:hint="eastAsia"/>
          <w:kern w:val="0"/>
          <w:szCs w:val="21"/>
          <w:bdr w:val="none" w:sz="0" w:space="0" w:color="auto" w:frame="1"/>
        </w:rPr>
        <w:t>二〇一六年十二月二十八日</w:t>
      </w:r>
    </w:p>
    <w:p w:rsidR="005B13A6" w:rsidRDefault="005B13A6"/>
    <w:sectPr w:rsidR="005B1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50"/>
    <w:rsid w:val="005B13A6"/>
    <w:rsid w:val="008D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B7A23-4A30-41B4-BEDC-B2CBCEDE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D7C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7C50"/>
    <w:rPr>
      <w:rFonts w:ascii="宋体" w:eastAsia="宋体" w:hAnsi="宋体" w:cs="宋体"/>
      <w:b/>
      <w:bCs/>
      <w:kern w:val="36"/>
      <w:sz w:val="48"/>
      <w:szCs w:val="48"/>
    </w:rPr>
  </w:style>
  <w:style w:type="paragraph" w:customStyle="1" w:styleId="artimetas">
    <w:name w:val="arti_metas"/>
    <w:basedOn w:val="a"/>
    <w:rsid w:val="008D7C50"/>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8D7C50"/>
  </w:style>
  <w:style w:type="character" w:customStyle="1" w:styleId="artiupdate">
    <w:name w:val="arti_update"/>
    <w:basedOn w:val="a0"/>
    <w:rsid w:val="008D7C50"/>
  </w:style>
  <w:style w:type="character" w:customStyle="1" w:styleId="artiviews">
    <w:name w:val="arti_views"/>
    <w:basedOn w:val="a0"/>
    <w:rsid w:val="008D7C50"/>
  </w:style>
  <w:style w:type="character" w:customStyle="1" w:styleId="wpvisitcount">
    <w:name w:val="wp_visitcount"/>
    <w:basedOn w:val="a0"/>
    <w:rsid w:val="008D7C50"/>
  </w:style>
  <w:style w:type="paragraph" w:customStyle="1" w:styleId="western">
    <w:name w:val="western"/>
    <w:basedOn w:val="a"/>
    <w:rsid w:val="008D7C5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D7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390644">
      <w:bodyDiv w:val="1"/>
      <w:marLeft w:val="0"/>
      <w:marRight w:val="0"/>
      <w:marTop w:val="0"/>
      <w:marBottom w:val="0"/>
      <w:divBdr>
        <w:top w:val="none" w:sz="0" w:space="0" w:color="auto"/>
        <w:left w:val="none" w:sz="0" w:space="0" w:color="auto"/>
        <w:bottom w:val="none" w:sz="0" w:space="0" w:color="auto"/>
        <w:right w:val="none" w:sz="0" w:space="0" w:color="auto"/>
      </w:divBdr>
      <w:divsChild>
        <w:div w:id="1451821953">
          <w:marLeft w:val="0"/>
          <w:marRight w:val="0"/>
          <w:marTop w:val="0"/>
          <w:marBottom w:val="0"/>
          <w:divBdr>
            <w:top w:val="none" w:sz="0" w:space="0" w:color="auto"/>
            <w:left w:val="none" w:sz="0" w:space="0" w:color="auto"/>
            <w:bottom w:val="none" w:sz="0" w:space="0" w:color="auto"/>
            <w:right w:val="none" w:sz="0" w:space="0" w:color="auto"/>
          </w:divBdr>
          <w:divsChild>
            <w:div w:id="1949505673">
              <w:marLeft w:val="0"/>
              <w:marRight w:val="0"/>
              <w:marTop w:val="0"/>
              <w:marBottom w:val="0"/>
              <w:divBdr>
                <w:top w:val="none" w:sz="0" w:space="0" w:color="auto"/>
                <w:left w:val="none" w:sz="0" w:space="0" w:color="auto"/>
                <w:bottom w:val="none" w:sz="0" w:space="0" w:color="auto"/>
                <w:right w:val="none" w:sz="0" w:space="0" w:color="auto"/>
              </w:divBdr>
              <w:divsChild>
                <w:div w:id="20328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2020-06-23T10:06:00Z</dcterms:created>
  <dcterms:modified xsi:type="dcterms:W3CDTF">2020-06-23T10:09:00Z</dcterms:modified>
</cp:coreProperties>
</file>