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4786" w14:textId="6C52F5E6" w:rsidR="00366682" w:rsidRDefault="00397B62" w:rsidP="00F2009E">
      <w:pPr>
        <w:pStyle w:val="1"/>
      </w:pPr>
      <w:r w:rsidRPr="00397B62">
        <w:t xml:space="preserve">Differential-Drive Robot </w:t>
      </w:r>
      <w:r w:rsidRPr="00F2009E">
        <w:t>Localization</w:t>
      </w:r>
      <w:r w:rsidRPr="00397B62">
        <w:t xml:space="preserve"> Using Noisy Odometry</w:t>
      </w:r>
    </w:p>
    <w:p w14:paraId="495638DB" w14:textId="77777777" w:rsidR="00397B62" w:rsidRDefault="00397B62" w:rsidP="00E95742"/>
    <w:p w14:paraId="62CE0122" w14:textId="77777777" w:rsidR="008B1B80" w:rsidRPr="008B1B80" w:rsidRDefault="008B1B80" w:rsidP="00F2009E">
      <w:pPr>
        <w:pStyle w:val="2"/>
      </w:pPr>
      <w:r w:rsidRPr="008B1B80">
        <w:t>Problem Statement</w:t>
      </w:r>
    </w:p>
    <w:p w14:paraId="5079F600" w14:textId="372B9514" w:rsidR="00D8216F" w:rsidRDefault="00D8216F" w:rsidP="00113EBC">
      <w:r w:rsidRPr="00D8216F">
        <w:t xml:space="preserve">This project estimates a differential-drive robot’s two-dimensional position and orientation using noisy wheel odometry in Gazebo. Starting from a known pose of </w:t>
      </w:r>
      <w:proofErr w:type="gramStart"/>
      <w:r w:rsidRPr="00D8216F">
        <w:t>\(</w:t>
      </w:r>
      <w:proofErr w:type="gramEnd"/>
      <w:r w:rsidRPr="00D8216F">
        <w:t>(0,0,</w:t>
      </w:r>
      <w:proofErr w:type="gramStart"/>
      <w:r w:rsidRPr="00D8216F">
        <w:t>0)\</w:t>
      </w:r>
      <w:proofErr w:type="gramEnd"/>
      <w:r w:rsidRPr="00D8216F">
        <w:t>), the robot visits waypoints at (1,2), (2,1), and (3,3) through successive turns and forward movements. The objective is to evaluate accumulated localization error by comparing the estimated trajectory with the simulator’s</w:t>
      </w:r>
      <w:r w:rsidR="00EC5EA2">
        <w:rPr>
          <w:rFonts w:hint="eastAsia"/>
        </w:rPr>
        <w:t xml:space="preserve"> </w:t>
      </w:r>
      <w:r w:rsidR="00113EBC" w:rsidRPr="00113EBC">
        <w:t>ground truth.</w:t>
      </w:r>
    </w:p>
    <w:p w14:paraId="3407DD99" w14:textId="77777777" w:rsidR="00CF3C92" w:rsidRDefault="00CF3C92" w:rsidP="00113EBC">
      <w:pPr>
        <w:rPr>
          <w:rFonts w:hint="eastAsia"/>
        </w:rPr>
      </w:pPr>
    </w:p>
    <w:p w14:paraId="337263C1" w14:textId="6FEF7575" w:rsidR="00C023D5" w:rsidRDefault="00C023D5" w:rsidP="00F2009E">
      <w:pPr>
        <w:pStyle w:val="2"/>
      </w:pPr>
      <w:r>
        <w:t>Methods</w:t>
      </w:r>
    </w:p>
    <w:p w14:paraId="04BCBE6C" w14:textId="77777777" w:rsidR="00472F63" w:rsidRDefault="00472F63" w:rsidP="00472F63">
      <w:r>
        <w:t>The simulation uses ROS 2 Jazzy and Gazebo Harmonic, with a wheel radius of 0.025 m and a wheel separation of 0.10 m. Dead reckoning estimates the robot’s pose from measured wheel-angle changes rather than commanded velocities.</w:t>
      </w:r>
    </w:p>
    <w:p w14:paraId="3A81E3F2" w14:textId="77777777" w:rsidR="007F070C" w:rsidRDefault="00472F63" w:rsidP="007F070C">
      <w:r>
        <w:t>Each wheel-angle change is multiplied by its radius to obtain the wheel travel distance. Forward displacement and heading change are then calculated as:</w:t>
      </w:r>
      <w:r w:rsidR="0073511E" w:rsidRPr="0073511E">
        <w:rPr>
          <w:rFonts w:ascii="Cambria Math" w:hAnsi="Cambria Math"/>
          <w:i/>
          <w:color w:val="666666"/>
        </w:rPr>
        <w:br/>
      </w:r>
      <m:oMathPara>
        <m:oMath>
          <m:r>
            <m:rPr>
              <m:sty m:val="p"/>
            </m:rPr>
            <w:rPr>
              <w:rFonts w:ascii="Cambria Math" w:hAnsi="Cambria Math"/>
              <w:color w:val="666666"/>
            </w:rPr>
            <m:t>Δ</m:t>
          </m:r>
          <m:r>
            <w:rPr>
              <w:rFonts w:ascii="Cambria Math" w:hAnsi="Cambria Math"/>
              <w:color w:val="666666"/>
            </w:rPr>
            <m:t>s=</m:t>
          </m:r>
          <m:f>
            <m:fPr>
              <m:ctrlPr>
                <w:rPr>
                  <w:rFonts w:ascii="Cambria Math" w:hAnsi="Cambria Math"/>
                  <w:color w:val="666666"/>
                </w:rPr>
              </m:ctrlPr>
            </m:fPr>
            <m:num>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R</m:t>
                  </m:r>
                </m:sub>
              </m:sSub>
              <m:r>
                <w:rPr>
                  <w:rFonts w:ascii="Cambria Math" w:hAnsi="Cambria Math"/>
                  <w:color w:val="666666"/>
                </w:rPr>
                <m:t>+</m:t>
              </m:r>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L</m:t>
                  </m:r>
                </m:sub>
              </m:sSub>
            </m:num>
            <m:den>
              <m:r>
                <w:rPr>
                  <w:rFonts w:ascii="Cambria Math" w:hAnsi="Cambria Math"/>
                  <w:color w:val="666666"/>
                </w:rPr>
                <m:t>2</m:t>
              </m:r>
            </m:den>
          </m:f>
          <m:r>
            <w:rPr>
              <w:rFonts w:ascii="Cambria Math" w:hAnsi="Cambria Math"/>
              <w:color w:val="666666"/>
            </w:rPr>
            <m:t>,  </m:t>
          </m:r>
          <m:r>
            <m:rPr>
              <m:sty m:val="p"/>
            </m:rPr>
            <w:rPr>
              <w:rFonts w:ascii="Cambria Math" w:hAnsi="Cambria Math"/>
              <w:color w:val="666666"/>
            </w:rPr>
            <m:t>Δ</m:t>
          </m:r>
          <m:r>
            <w:rPr>
              <w:rFonts w:ascii="Cambria Math" w:hAnsi="Cambria Math"/>
              <w:color w:val="666666"/>
            </w:rPr>
            <m:t>θ=</m:t>
          </m:r>
          <m:f>
            <m:fPr>
              <m:ctrlPr>
                <w:rPr>
                  <w:rFonts w:ascii="Cambria Math" w:hAnsi="Cambria Math"/>
                  <w:color w:val="666666"/>
                </w:rPr>
              </m:ctrlPr>
            </m:fPr>
            <m:num>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R</m:t>
                  </m:r>
                </m:sub>
              </m:sSub>
              <m:r>
                <w:rPr>
                  <w:rFonts w:ascii="Cambria Math" w:hAnsi="Cambria Math"/>
                  <w:color w:val="666666"/>
                </w:rPr>
                <m:t>-</m:t>
              </m:r>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L</m:t>
                  </m:r>
                </m:sub>
              </m:sSub>
            </m:num>
            <m:den>
              <m:r>
                <w:rPr>
                  <w:rFonts w:ascii="Cambria Math" w:hAnsi="Cambria Math"/>
                  <w:color w:val="666666"/>
                </w:rPr>
                <m:t>b</m:t>
              </m:r>
            </m:den>
          </m:f>
          <m:r>
            <w:rPr>
              <w:rFonts w:ascii="Cambria Math" w:hAnsi="Cambria Math"/>
              <w:color w:val="666666"/>
            </w:rPr>
            <m:t>.</m:t>
          </m:r>
          <m:r>
            <w:rPr>
              <w:rFonts w:ascii="Cambria Math" w:hAnsi="Cambria Math"/>
              <w:i/>
              <w:color w:val="666666"/>
            </w:rPr>
            <w:br/>
          </m:r>
        </m:oMath>
      </m:oMathPara>
      <w:r w:rsidR="007F070C">
        <w:t>Independent zero-mean Gaussian noise is added to these increments during movement. The estimator accumulates the noisy increments, updating position using the midpoint heading and normalizing orientation to handle angle wrapping. A second estimate without injected noise provides a baseline. The model assumes planar differential-drive motion and a known initial pose.</w:t>
      </w:r>
    </w:p>
    <w:p w14:paraId="64475131" w14:textId="0B819D9D" w:rsidR="00BA3DB8" w:rsidRDefault="007F070C" w:rsidP="007F070C">
      <w:r>
        <w:t>Ground truth is obtained independently from Gazebo and synchronized with the estimates using simulation timestamps and interpolation. It is used only for evaluation, never to generate or correct the estimates. Navigation uses the original odometry and wheel feedback independently of the noisy estimator.</w:t>
      </w:r>
    </w:p>
    <w:p w14:paraId="7AA4F6A6" w14:textId="77777777" w:rsidR="00772FBA" w:rsidRPr="00472F63" w:rsidRDefault="00772FBA" w:rsidP="007F070C"/>
    <w:p w14:paraId="6E8D0162" w14:textId="77777777" w:rsidR="007E2D71" w:rsidRDefault="007E2D71" w:rsidP="00E45DF6">
      <w:pPr>
        <w:pStyle w:val="2"/>
      </w:pPr>
      <w:r>
        <w:t>Results</w:t>
      </w:r>
    </w:p>
    <w:p w14:paraId="7C365C6B" w14:textId="59F911BC" w:rsidR="00AE53CA" w:rsidRDefault="00AE53CA" w:rsidP="00AE53CA">
      <w:r>
        <w:t>The robot followed a trajectory through approximate waypoints o</w:t>
      </w:r>
      <w:r w:rsidR="00517710">
        <w:rPr>
          <w:rFonts w:hint="eastAsia"/>
        </w:rPr>
        <w:t>f (0,0), (1,2), (2,1)</w:t>
      </w:r>
      <w:r>
        <w:t>, and (3,3)</w:t>
      </w:r>
      <w:r w:rsidR="00517710">
        <w:rPr>
          <w:rFonts w:hint="eastAsia"/>
        </w:rPr>
        <w:t xml:space="preserve"> </w:t>
      </w:r>
      <w:r w:rsidR="0055604D">
        <w:t>mover</w:t>
      </w:r>
      <w:r>
        <w:t xml:space="preserve"> approximately 62 seconds. The trajectory plot compares the noisy odometry estimate, clean odometry baseline, and Gazebo ground truth.</w:t>
      </w:r>
    </w:p>
    <w:p w14:paraId="6D4B2F36" w14:textId="12416699" w:rsidR="00B628B3" w:rsidRDefault="00AE53CA" w:rsidP="00AE53CA">
      <w:r>
        <w:t>The noisy estimate achieved a position RMSE of 0.06022 m, with an approximate final error of 0.075 m and a maximum error of 0.077 m. Position error was calculated as the Euclidean distance between the estimated and ground-truth positions at matched simulation timestamps:</w:t>
      </w:r>
      <w:r w:rsidR="00B628B3" w:rsidRPr="00B628B3">
        <w:rPr>
          <w:rFonts w:ascii="Cambria Math" w:hAnsi="Cambria Math"/>
          <w:i/>
          <w:color w:val="666666"/>
        </w:rPr>
        <w:br/>
      </w:r>
      <m:oMathPara>
        <m:oMath>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i</m:t>
              </m:r>
            </m:sub>
          </m:sSub>
          <m:r>
            <w:rPr>
              <w:rFonts w:ascii="Cambria Math" w:hAnsi="Cambria Math"/>
              <w:color w:val="666666"/>
            </w:rPr>
            <m:t>=</m:t>
          </m:r>
          <m:rad>
            <m:radPr>
              <m:degHide m:val="1"/>
              <m:ctrlPr>
                <w:rPr>
                  <w:rFonts w:ascii="Cambria Math" w:hAnsi="Cambria Math"/>
                  <w:color w:val="666666"/>
                </w:rPr>
              </m:ctrlPr>
            </m:radPr>
            <m:deg/>
            <m:e>
              <m:sSup>
                <m:sSupPr>
                  <m:ctrlPr>
                    <w:rPr>
                      <w:rFonts w:ascii="Cambria Math" w:hAnsi="Cambria Math"/>
                      <w:color w:val="666666"/>
                    </w:rPr>
                  </m:ctrlPr>
                </m:sSupPr>
                <m:e>
                  <m:d>
                    <m:dPr>
                      <m:ctrlPr>
                        <w:rPr>
                          <w:rFonts w:ascii="Cambria Math" w:hAnsi="Cambria Math"/>
                          <w:color w:val="666666"/>
                        </w:rPr>
                      </m:ctrlPr>
                    </m:dPr>
                    <m:e>
                      <m:sSub>
                        <m:sSubPr>
                          <m:ctrlPr>
                            <w:rPr>
                              <w:rFonts w:ascii="Cambria Math" w:hAnsi="Cambria Math"/>
                              <w:color w:val="666666"/>
                            </w:rPr>
                          </m:ctrlPr>
                        </m:sSubPr>
                        <m:e>
                          <m:acc>
                            <m:accPr>
                              <m:chr m:val="ˆ"/>
                              <m:ctrlPr>
                                <w:rPr>
                                  <w:rFonts w:ascii="Cambria Math" w:hAnsi="Cambria Math"/>
                                  <w:color w:val="666666"/>
                                </w:rPr>
                              </m:ctrlPr>
                            </m:accPr>
                            <m:e>
                              <m:r>
                                <w:rPr>
                                  <w:rFonts w:ascii="Cambria Math" w:hAnsi="Cambria Math"/>
                                  <w:color w:val="666666"/>
                                </w:rPr>
                                <m:t>x</m:t>
                              </m:r>
                            </m:e>
                          </m:acc>
                        </m:e>
                        <m:sub>
                          <m:r>
                            <w:rPr>
                              <w:rFonts w:ascii="Cambria Math" w:hAnsi="Cambria Math"/>
                              <w:color w:val="666666"/>
                            </w:rPr>
                            <m:t>i</m:t>
                          </m:r>
                        </m:sub>
                      </m:sSub>
                      <m:r>
                        <w:rPr>
                          <w:rFonts w:ascii="Cambria Math" w:hAnsi="Cambria Math"/>
                          <w:color w:val="666666"/>
                        </w:rPr>
                        <m:t>-</m:t>
                      </m:r>
                      <m:sSubSup>
                        <m:sSubSupPr>
                          <m:ctrlPr>
                            <w:rPr>
                              <w:rFonts w:ascii="Cambria Math" w:hAnsi="Cambria Math"/>
                              <w:color w:val="666666"/>
                            </w:rPr>
                          </m:ctrlPr>
                        </m:sSubSupPr>
                        <m:e>
                          <m:r>
                            <w:rPr>
                              <w:rFonts w:ascii="Cambria Math" w:hAnsi="Cambria Math"/>
                              <w:color w:val="666666"/>
                            </w:rPr>
                            <m:t>x</m:t>
                          </m:r>
                        </m:e>
                        <m:sub>
                          <m:r>
                            <w:rPr>
                              <w:rFonts w:ascii="Cambria Math" w:hAnsi="Cambria Math"/>
                              <w:color w:val="666666"/>
                            </w:rPr>
                            <m:t>i</m:t>
                          </m:r>
                        </m:sub>
                        <m:sup>
                          <m:r>
                            <w:rPr>
                              <w:rFonts w:ascii="Cambria Math" w:hAnsi="Cambria Math"/>
                              <w:color w:val="666666"/>
                            </w:rPr>
                            <m:t>GT</m:t>
                          </m:r>
                        </m:sup>
                      </m:sSubSup>
                    </m:e>
                  </m:d>
                </m:e>
                <m:sup>
                  <m:r>
                    <w:rPr>
                      <w:rFonts w:ascii="Cambria Math" w:hAnsi="Cambria Math"/>
                      <w:color w:val="666666"/>
                    </w:rPr>
                    <m:t>2</m:t>
                  </m:r>
                </m:sup>
              </m:sSup>
              <m:r>
                <w:rPr>
                  <w:rFonts w:ascii="Cambria Math" w:hAnsi="Cambria Math"/>
                  <w:color w:val="666666"/>
                </w:rPr>
                <m:t>+</m:t>
              </m:r>
              <m:sSup>
                <m:sSupPr>
                  <m:ctrlPr>
                    <w:rPr>
                      <w:rFonts w:ascii="Cambria Math" w:hAnsi="Cambria Math"/>
                      <w:color w:val="666666"/>
                    </w:rPr>
                  </m:ctrlPr>
                </m:sSupPr>
                <m:e>
                  <m:d>
                    <m:dPr>
                      <m:ctrlPr>
                        <w:rPr>
                          <w:rFonts w:ascii="Cambria Math" w:hAnsi="Cambria Math"/>
                          <w:color w:val="666666"/>
                        </w:rPr>
                      </m:ctrlPr>
                    </m:dPr>
                    <m:e>
                      <m:sSub>
                        <m:sSubPr>
                          <m:ctrlPr>
                            <w:rPr>
                              <w:rFonts w:ascii="Cambria Math" w:hAnsi="Cambria Math"/>
                              <w:color w:val="666666"/>
                            </w:rPr>
                          </m:ctrlPr>
                        </m:sSubPr>
                        <m:e>
                          <m:acc>
                            <m:accPr>
                              <m:chr m:val="ˆ"/>
                              <m:ctrlPr>
                                <w:rPr>
                                  <w:rFonts w:ascii="Cambria Math" w:hAnsi="Cambria Math"/>
                                  <w:color w:val="666666"/>
                                </w:rPr>
                              </m:ctrlPr>
                            </m:accPr>
                            <m:e>
                              <m:r>
                                <w:rPr>
                                  <w:rFonts w:ascii="Cambria Math" w:hAnsi="Cambria Math"/>
                                  <w:color w:val="666666"/>
                                </w:rPr>
                                <m:t>y</m:t>
                              </m:r>
                            </m:e>
                          </m:acc>
                        </m:e>
                        <m:sub>
                          <m:r>
                            <w:rPr>
                              <w:rFonts w:ascii="Cambria Math" w:hAnsi="Cambria Math"/>
                              <w:color w:val="666666"/>
                            </w:rPr>
                            <m:t>i</m:t>
                          </m:r>
                        </m:sub>
                      </m:sSub>
                      <m:r>
                        <w:rPr>
                          <w:rFonts w:ascii="Cambria Math" w:hAnsi="Cambria Math"/>
                          <w:color w:val="666666"/>
                        </w:rPr>
                        <m:t>-</m:t>
                      </m:r>
                      <m:sSubSup>
                        <m:sSubSupPr>
                          <m:ctrlPr>
                            <w:rPr>
                              <w:rFonts w:ascii="Cambria Math" w:hAnsi="Cambria Math"/>
                              <w:color w:val="666666"/>
                            </w:rPr>
                          </m:ctrlPr>
                        </m:sSubSupPr>
                        <m:e>
                          <m:r>
                            <w:rPr>
                              <w:rFonts w:ascii="Cambria Math" w:hAnsi="Cambria Math"/>
                              <w:color w:val="666666"/>
                            </w:rPr>
                            <m:t>y</m:t>
                          </m:r>
                        </m:e>
                        <m:sub>
                          <m:r>
                            <w:rPr>
                              <w:rFonts w:ascii="Cambria Math" w:hAnsi="Cambria Math"/>
                              <w:color w:val="666666"/>
                            </w:rPr>
                            <m:t>i</m:t>
                          </m:r>
                        </m:sub>
                        <m:sup>
                          <m:r>
                            <w:rPr>
                              <w:rFonts w:ascii="Cambria Math" w:hAnsi="Cambria Math"/>
                              <w:color w:val="666666"/>
                            </w:rPr>
                            <m:t>GT</m:t>
                          </m:r>
                        </m:sup>
                      </m:sSubSup>
                    </m:e>
                  </m:d>
                </m:e>
                <m:sup>
                  <m:r>
                    <w:rPr>
                      <w:rFonts w:ascii="Cambria Math" w:hAnsi="Cambria Math"/>
                      <w:color w:val="666666"/>
                    </w:rPr>
                    <m:t>2</m:t>
                  </m:r>
                </m:sup>
              </m:sSup>
            </m:e>
          </m:rad>
          <m:r>
            <w:rPr>
              <w:rFonts w:ascii="Cambria Math" w:hAnsi="Cambria Math"/>
              <w:color w:val="666666"/>
            </w:rPr>
            <m:t>,  </m:t>
          </m:r>
          <m:r>
            <m:rPr>
              <m:sty m:val="p"/>
            </m:rPr>
            <w:rPr>
              <w:rFonts w:ascii="Cambria Math" w:hAnsi="Cambria Math"/>
              <w:color w:val="666666"/>
            </w:rPr>
            <m:t>RMSE</m:t>
          </m:r>
          <m:r>
            <w:rPr>
              <w:rFonts w:ascii="Cambria Math" w:hAnsi="Cambria Math"/>
              <w:color w:val="666666"/>
            </w:rPr>
            <m:t>=</m:t>
          </m:r>
          <m:rad>
            <m:radPr>
              <m:degHide m:val="1"/>
              <m:ctrlPr>
                <w:rPr>
                  <w:rFonts w:ascii="Cambria Math" w:hAnsi="Cambria Math"/>
                  <w:color w:val="666666"/>
                </w:rPr>
              </m:ctrlPr>
            </m:radPr>
            <m:deg/>
            <m:e>
              <m:f>
                <m:fPr>
                  <m:ctrlPr>
                    <w:rPr>
                      <w:rFonts w:ascii="Cambria Math" w:hAnsi="Cambria Math"/>
                      <w:color w:val="666666"/>
                    </w:rPr>
                  </m:ctrlPr>
                </m:fPr>
                <m:num>
                  <m:r>
                    <w:rPr>
                      <w:rFonts w:ascii="Cambria Math" w:hAnsi="Cambria Math"/>
                      <w:color w:val="666666"/>
                    </w:rPr>
                    <m:t>1</m:t>
                  </m:r>
                </m:num>
                <m:den>
                  <m:r>
                    <w:rPr>
                      <w:rFonts w:ascii="Cambria Math" w:hAnsi="Cambria Math"/>
                      <w:color w:val="666666"/>
                    </w:rPr>
                    <m:t>N</m:t>
                  </m:r>
                </m:den>
              </m:f>
              <m:nary>
                <m:naryPr>
                  <m:chr m:val="∑"/>
                  <m:limLoc m:val="undOvr"/>
                  <m:ctrlPr>
                    <w:rPr>
                      <w:rFonts w:ascii="Cambria Math" w:hAnsi="Cambria Math"/>
                      <w:color w:val="666666"/>
                    </w:rPr>
                  </m:ctrlPr>
                </m:naryPr>
                <m:sub>
                  <m:r>
                    <w:rPr>
                      <w:rFonts w:ascii="Cambria Math" w:hAnsi="Cambria Math"/>
                      <w:color w:val="666666"/>
                    </w:rPr>
                    <m:t>i=1</m:t>
                  </m:r>
                </m:sub>
                <m:sup>
                  <m:r>
                    <w:rPr>
                      <w:rFonts w:ascii="Cambria Math" w:hAnsi="Cambria Math"/>
                      <w:color w:val="666666"/>
                    </w:rPr>
                    <m:t>N</m:t>
                  </m:r>
                </m:sup>
                <m:e>
                  <m:sSubSup>
                    <m:sSubSupPr>
                      <m:ctrlPr>
                        <w:rPr>
                          <w:rFonts w:ascii="Cambria Math" w:hAnsi="Cambria Math"/>
                          <w:color w:val="666666"/>
                        </w:rPr>
                      </m:ctrlPr>
                    </m:sSubSupPr>
                    <m:e>
                      <m:r>
                        <w:rPr>
                          <w:rFonts w:ascii="Cambria Math" w:hAnsi="Cambria Math"/>
                          <w:color w:val="666666"/>
                        </w:rPr>
                        <m:t>e</m:t>
                      </m:r>
                    </m:e>
                    <m:sub>
                      <m:r>
                        <w:rPr>
                          <w:rFonts w:ascii="Cambria Math" w:hAnsi="Cambria Math"/>
                          <w:color w:val="666666"/>
                        </w:rPr>
                        <m:t>i</m:t>
                      </m:r>
                    </m:sub>
                    <m:sup>
                      <m:r>
                        <w:rPr>
                          <w:rFonts w:ascii="Cambria Math" w:hAnsi="Cambria Math"/>
                          <w:color w:val="666666"/>
                        </w:rPr>
                        <m:t>2</m:t>
                      </m:r>
                    </m:sup>
                  </m:sSubSup>
                </m:e>
              </m:nary>
            </m:e>
          </m:rad>
          <m:r>
            <w:rPr>
              <w:rFonts w:ascii="Cambria Math" w:hAnsi="Cambria Math"/>
              <w:color w:val="666666"/>
            </w:rPr>
            <m:t>.</m:t>
          </m:r>
          <m:r>
            <w:rPr>
              <w:rFonts w:ascii="Cambria Math" w:hAnsi="Cambria Math"/>
              <w:i/>
              <w:color w:val="666666"/>
            </w:rPr>
            <w:br/>
          </m:r>
        </m:oMath>
      </m:oMathPara>
      <w:r w:rsidR="00B92126" w:rsidRPr="00B92126">
        <w:t xml:space="preserve">The clean estimate closely followed ground truth, while the noisy estimate showed accumulated drift. Heading errors affect the direction of subsequent position updates, contributing to displacement from the true trajectory. The error occasionally decreased because successive errors can partially </w:t>
      </w:r>
      <w:proofErr w:type="gramStart"/>
      <w:r w:rsidR="00B92126" w:rsidRPr="00B92126">
        <w:t>cancel</w:t>
      </w:r>
      <w:proofErr w:type="gramEnd"/>
      <w:r w:rsidR="00B92126" w:rsidRPr="00B92126">
        <w:t xml:space="preserve">. Overall, dead reckoning tracked the trajectory with </w:t>
      </w:r>
      <w:proofErr w:type="spellStart"/>
      <w:r w:rsidR="00B92126" w:rsidRPr="00B92126">
        <w:t>centimetre</w:t>
      </w:r>
      <w:proofErr w:type="spellEnd"/>
      <w:r w:rsidR="00B92126" w:rsidRPr="00B92126">
        <w:t>-scale error in this experiment, but accumulated uncertainty limited its accuracy.</w:t>
      </w:r>
    </w:p>
    <w:p w14:paraId="72A7B250" w14:textId="77777777" w:rsidR="00B628B3" w:rsidRDefault="00B628B3" w:rsidP="00AE53CA"/>
    <w:sectPr w:rsidR="00B62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A5"/>
    <w:rsid w:val="000244ED"/>
    <w:rsid w:val="00110FA6"/>
    <w:rsid w:val="00113EBC"/>
    <w:rsid w:val="00187A49"/>
    <w:rsid w:val="001E0117"/>
    <w:rsid w:val="002B0DB4"/>
    <w:rsid w:val="002C5A29"/>
    <w:rsid w:val="00366682"/>
    <w:rsid w:val="00367090"/>
    <w:rsid w:val="00396C4F"/>
    <w:rsid w:val="00397B62"/>
    <w:rsid w:val="003C47A5"/>
    <w:rsid w:val="00472F63"/>
    <w:rsid w:val="0049485F"/>
    <w:rsid w:val="00515900"/>
    <w:rsid w:val="00517710"/>
    <w:rsid w:val="0055604D"/>
    <w:rsid w:val="005E29E6"/>
    <w:rsid w:val="00623A5F"/>
    <w:rsid w:val="00661CFE"/>
    <w:rsid w:val="00682147"/>
    <w:rsid w:val="00716F75"/>
    <w:rsid w:val="0073511E"/>
    <w:rsid w:val="00750171"/>
    <w:rsid w:val="00772FBA"/>
    <w:rsid w:val="007879AB"/>
    <w:rsid w:val="007C5F1E"/>
    <w:rsid w:val="007E2D71"/>
    <w:rsid w:val="007F070C"/>
    <w:rsid w:val="008B1B80"/>
    <w:rsid w:val="00934EDC"/>
    <w:rsid w:val="009A2311"/>
    <w:rsid w:val="009D0548"/>
    <w:rsid w:val="00A22437"/>
    <w:rsid w:val="00AE53CA"/>
    <w:rsid w:val="00B34DD7"/>
    <w:rsid w:val="00B50980"/>
    <w:rsid w:val="00B628B3"/>
    <w:rsid w:val="00B92126"/>
    <w:rsid w:val="00BA3DB8"/>
    <w:rsid w:val="00BD58A1"/>
    <w:rsid w:val="00BE55FC"/>
    <w:rsid w:val="00C023D5"/>
    <w:rsid w:val="00CB5DC1"/>
    <w:rsid w:val="00CF3C92"/>
    <w:rsid w:val="00D45970"/>
    <w:rsid w:val="00D8216F"/>
    <w:rsid w:val="00DE1B1D"/>
    <w:rsid w:val="00DF2824"/>
    <w:rsid w:val="00E45DF6"/>
    <w:rsid w:val="00E95742"/>
    <w:rsid w:val="00EC5EA2"/>
    <w:rsid w:val="00ED1F0C"/>
    <w:rsid w:val="00F2009E"/>
    <w:rsid w:val="00F8120A"/>
    <w:rsid w:val="00FC2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DBF78"/>
  <w15:chartTrackingRefBased/>
  <w15:docId w15:val="{BFA58BF6-DA2B-461D-A2E7-423198D0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7B62"/>
    <w:pPr>
      <w:widowControl w:val="0"/>
      <w:adjustRightInd w:val="0"/>
      <w:snapToGrid w:val="0"/>
      <w:spacing w:after="0" w:line="240" w:lineRule="auto"/>
    </w:pPr>
    <w:rPr>
      <w:rFonts w:ascii="Times New Roman" w:hAnsi="Times New Roman"/>
    </w:rPr>
  </w:style>
  <w:style w:type="paragraph" w:styleId="1">
    <w:name w:val="heading 1"/>
    <w:basedOn w:val="a"/>
    <w:next w:val="a"/>
    <w:link w:val="10"/>
    <w:uiPriority w:val="9"/>
    <w:qFormat/>
    <w:rsid w:val="00F2009E"/>
    <w:pPr>
      <w:jc w:val="center"/>
      <w:outlineLvl w:val="0"/>
    </w:pPr>
    <w:rPr>
      <w:rFonts w:eastAsiaTheme="majorEastAsia" w:cstheme="majorBidi"/>
      <w:sz w:val="36"/>
      <w:szCs w:val="40"/>
    </w:rPr>
  </w:style>
  <w:style w:type="paragraph" w:styleId="2">
    <w:name w:val="heading 2"/>
    <w:basedOn w:val="a"/>
    <w:next w:val="a"/>
    <w:link w:val="20"/>
    <w:uiPriority w:val="9"/>
    <w:unhideWhenUsed/>
    <w:qFormat/>
    <w:rsid w:val="00F2009E"/>
    <w:pPr>
      <w:outlineLvl w:val="1"/>
    </w:pPr>
    <w:rPr>
      <w:rFonts w:eastAsiaTheme="majorEastAsia" w:cstheme="majorBidi"/>
      <w:sz w:val="32"/>
      <w:szCs w:val="32"/>
    </w:rPr>
  </w:style>
  <w:style w:type="paragraph" w:styleId="3">
    <w:name w:val="heading 3"/>
    <w:basedOn w:val="a"/>
    <w:next w:val="a"/>
    <w:link w:val="30"/>
    <w:uiPriority w:val="9"/>
    <w:semiHidden/>
    <w:unhideWhenUsed/>
    <w:qFormat/>
    <w:rsid w:val="003C47A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C47A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C47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C47A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C47A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C47A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C47A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09E"/>
    <w:rPr>
      <w:rFonts w:ascii="Times New Roman" w:eastAsiaTheme="majorEastAsia" w:hAnsi="Times New Roman" w:cstheme="majorBidi"/>
      <w:sz w:val="36"/>
      <w:szCs w:val="40"/>
    </w:rPr>
  </w:style>
  <w:style w:type="character" w:customStyle="1" w:styleId="20">
    <w:name w:val="标题 2 字符"/>
    <w:basedOn w:val="a0"/>
    <w:link w:val="2"/>
    <w:uiPriority w:val="9"/>
    <w:rsid w:val="00F2009E"/>
    <w:rPr>
      <w:rFonts w:ascii="Times New Roman" w:eastAsiaTheme="majorEastAsia" w:hAnsi="Times New Roman" w:cstheme="majorBidi"/>
      <w:sz w:val="32"/>
      <w:szCs w:val="32"/>
    </w:rPr>
  </w:style>
  <w:style w:type="character" w:customStyle="1" w:styleId="30">
    <w:name w:val="标题 3 字符"/>
    <w:basedOn w:val="a0"/>
    <w:link w:val="3"/>
    <w:uiPriority w:val="9"/>
    <w:semiHidden/>
    <w:rsid w:val="003C47A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C47A5"/>
    <w:rPr>
      <w:rFonts w:eastAsiaTheme="majorEastAsia" w:cstheme="majorBidi"/>
      <w:i/>
      <w:iCs/>
      <w:color w:val="0F4761" w:themeColor="accent1" w:themeShade="BF"/>
    </w:rPr>
  </w:style>
  <w:style w:type="character" w:customStyle="1" w:styleId="50">
    <w:name w:val="标题 5 字符"/>
    <w:basedOn w:val="a0"/>
    <w:link w:val="5"/>
    <w:uiPriority w:val="9"/>
    <w:semiHidden/>
    <w:rsid w:val="003C47A5"/>
    <w:rPr>
      <w:rFonts w:eastAsiaTheme="majorEastAsia" w:cstheme="majorBidi"/>
      <w:color w:val="0F4761" w:themeColor="accent1" w:themeShade="BF"/>
    </w:rPr>
  </w:style>
  <w:style w:type="character" w:customStyle="1" w:styleId="60">
    <w:name w:val="标题 6 字符"/>
    <w:basedOn w:val="a0"/>
    <w:link w:val="6"/>
    <w:uiPriority w:val="9"/>
    <w:semiHidden/>
    <w:rsid w:val="003C47A5"/>
    <w:rPr>
      <w:rFonts w:eastAsiaTheme="majorEastAsia" w:cstheme="majorBidi"/>
      <w:i/>
      <w:iCs/>
      <w:color w:val="595959" w:themeColor="text1" w:themeTint="A6"/>
    </w:rPr>
  </w:style>
  <w:style w:type="character" w:customStyle="1" w:styleId="70">
    <w:name w:val="标题 7 字符"/>
    <w:basedOn w:val="a0"/>
    <w:link w:val="7"/>
    <w:uiPriority w:val="9"/>
    <w:semiHidden/>
    <w:rsid w:val="003C47A5"/>
    <w:rPr>
      <w:rFonts w:eastAsiaTheme="majorEastAsia" w:cstheme="majorBidi"/>
      <w:color w:val="595959" w:themeColor="text1" w:themeTint="A6"/>
    </w:rPr>
  </w:style>
  <w:style w:type="character" w:customStyle="1" w:styleId="80">
    <w:name w:val="标题 8 字符"/>
    <w:basedOn w:val="a0"/>
    <w:link w:val="8"/>
    <w:uiPriority w:val="9"/>
    <w:semiHidden/>
    <w:rsid w:val="003C47A5"/>
    <w:rPr>
      <w:rFonts w:eastAsiaTheme="majorEastAsia" w:cstheme="majorBidi"/>
      <w:i/>
      <w:iCs/>
      <w:color w:val="272727" w:themeColor="text1" w:themeTint="D8"/>
    </w:rPr>
  </w:style>
  <w:style w:type="character" w:customStyle="1" w:styleId="90">
    <w:name w:val="标题 9 字符"/>
    <w:basedOn w:val="a0"/>
    <w:link w:val="9"/>
    <w:uiPriority w:val="9"/>
    <w:semiHidden/>
    <w:rsid w:val="003C47A5"/>
    <w:rPr>
      <w:rFonts w:eastAsiaTheme="majorEastAsia" w:cstheme="majorBidi"/>
      <w:color w:val="272727" w:themeColor="text1" w:themeTint="D8"/>
    </w:rPr>
  </w:style>
  <w:style w:type="paragraph" w:styleId="a3">
    <w:name w:val="Title"/>
    <w:basedOn w:val="a"/>
    <w:next w:val="a"/>
    <w:link w:val="a4"/>
    <w:uiPriority w:val="10"/>
    <w:qFormat/>
    <w:rsid w:val="003C47A5"/>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47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47A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C47A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C47A5"/>
    <w:pPr>
      <w:spacing w:before="160"/>
      <w:jc w:val="center"/>
    </w:pPr>
    <w:rPr>
      <w:i/>
      <w:iCs/>
      <w:color w:val="404040" w:themeColor="text1" w:themeTint="BF"/>
    </w:rPr>
  </w:style>
  <w:style w:type="character" w:customStyle="1" w:styleId="a8">
    <w:name w:val="引用 字符"/>
    <w:basedOn w:val="a0"/>
    <w:link w:val="a7"/>
    <w:uiPriority w:val="29"/>
    <w:rsid w:val="003C47A5"/>
    <w:rPr>
      <w:i/>
      <w:iCs/>
      <w:color w:val="404040" w:themeColor="text1" w:themeTint="BF"/>
    </w:rPr>
  </w:style>
  <w:style w:type="paragraph" w:styleId="a9">
    <w:name w:val="List Paragraph"/>
    <w:basedOn w:val="a"/>
    <w:uiPriority w:val="34"/>
    <w:qFormat/>
    <w:rsid w:val="003C47A5"/>
    <w:pPr>
      <w:ind w:left="720"/>
      <w:contextualSpacing/>
    </w:pPr>
  </w:style>
  <w:style w:type="character" w:styleId="aa">
    <w:name w:val="Intense Emphasis"/>
    <w:basedOn w:val="a0"/>
    <w:uiPriority w:val="21"/>
    <w:qFormat/>
    <w:rsid w:val="003C47A5"/>
    <w:rPr>
      <w:i/>
      <w:iCs/>
      <w:color w:val="0F4761" w:themeColor="accent1" w:themeShade="BF"/>
    </w:rPr>
  </w:style>
  <w:style w:type="paragraph" w:styleId="ab">
    <w:name w:val="Intense Quote"/>
    <w:basedOn w:val="a"/>
    <w:next w:val="a"/>
    <w:link w:val="ac"/>
    <w:uiPriority w:val="30"/>
    <w:qFormat/>
    <w:rsid w:val="003C4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47A5"/>
    <w:rPr>
      <w:i/>
      <w:iCs/>
      <w:color w:val="0F4761" w:themeColor="accent1" w:themeShade="BF"/>
    </w:rPr>
  </w:style>
  <w:style w:type="character" w:styleId="ad">
    <w:name w:val="Intense Reference"/>
    <w:basedOn w:val="a0"/>
    <w:uiPriority w:val="32"/>
    <w:qFormat/>
    <w:rsid w:val="003C47A5"/>
    <w:rPr>
      <w:b/>
      <w:bCs/>
      <w:smallCaps/>
      <w:color w:val="0F4761" w:themeColor="accent1" w:themeShade="BF"/>
      <w:spacing w:val="5"/>
    </w:rPr>
  </w:style>
  <w:style w:type="character" w:styleId="ae">
    <w:name w:val="Placeholder Text"/>
    <w:basedOn w:val="a0"/>
    <w:uiPriority w:val="99"/>
    <w:semiHidden/>
    <w:rsid w:val="00CB5D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836A0-E24B-43C5-B575-9EF704E59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Bruce Sakura</cp:lastModifiedBy>
  <cp:revision>61</cp:revision>
  <dcterms:created xsi:type="dcterms:W3CDTF">2026-10-10T11:39:00Z</dcterms:created>
  <dcterms:modified xsi:type="dcterms:W3CDTF">2026-10-10T12:23:00Z</dcterms:modified>
</cp:coreProperties>
</file>