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36"/>
        <w:gridCol w:w="1439"/>
        <w:gridCol w:w="1280"/>
        <w:gridCol w:w="1219"/>
        <w:gridCol w:w="1008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组员</w:t>
            </w:r>
          </w:p>
        </w:tc>
        <w:tc>
          <w:tcPr>
            <w:tcW w:w="14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负责模块</w:t>
            </w:r>
          </w:p>
        </w:tc>
        <w:tc>
          <w:tcPr>
            <w:tcW w:w="5983" w:type="dxa"/>
            <w:gridSpan w:val="5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进度记录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萧毅文</w:t>
            </w:r>
          </w:p>
        </w:tc>
        <w:tc>
          <w:tcPr>
            <w:tcW w:w="14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配置管理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商场配置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0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高琦</w:t>
            </w:r>
          </w:p>
        </w:tc>
        <w:tc>
          <w:tcPr>
            <w:tcW w:w="14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会员管理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0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欧阳帆</w:t>
            </w:r>
          </w:p>
        </w:tc>
        <w:tc>
          <w:tcPr>
            <w:tcW w:w="14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商品管理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商品列表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32"/>
                <w:vertAlign w:val="baseline"/>
                <w:lang w:val="en-US" w:eastAsia="zh-CN"/>
              </w:rPr>
              <w:t>商品上架</w:t>
            </w:r>
          </w:p>
        </w:tc>
        <w:tc>
          <w:tcPr>
            <w:tcW w:w="10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汪鲲</w:t>
            </w:r>
          </w:p>
        </w:tc>
        <w:tc>
          <w:tcPr>
            <w:tcW w:w="14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推广管理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32"/>
                <w:vertAlign w:val="baseline"/>
                <w:lang w:val="en-US" w:eastAsia="zh-CN"/>
              </w:rPr>
              <w:t>广告管理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0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李瑄宜</w:t>
            </w:r>
          </w:p>
        </w:tc>
        <w:tc>
          <w:tcPr>
            <w:tcW w:w="14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统计报表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32"/>
                <w:vertAlign w:val="baseline"/>
                <w:lang w:val="en-US" w:eastAsia="zh-CN"/>
              </w:rPr>
              <w:t>用户统计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0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徐泽化</w:t>
            </w:r>
          </w:p>
        </w:tc>
        <w:tc>
          <w:tcPr>
            <w:tcW w:w="14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商场管理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24"/>
                <w:szCs w:val="32"/>
                <w:vertAlign w:val="baseline"/>
                <w:lang w:val="en-US" w:eastAsia="zh-CN"/>
              </w:rPr>
              <w:t>行政区域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32"/>
                <w:vertAlign w:val="baseline"/>
                <w:lang w:val="en-US" w:eastAsia="zh-CN"/>
              </w:rPr>
              <w:t>关键词</w:t>
            </w:r>
          </w:p>
        </w:tc>
        <w:tc>
          <w:tcPr>
            <w:tcW w:w="10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23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</w:tbl>
    <w:p/>
    <w:p/>
    <w:p/>
    <w:p/>
    <w:p>
      <w:pP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 w:eastAsia="zh-CN"/>
        </w:rPr>
        <w:t>Bug 讨论：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高琦</w:t>
      </w: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]新建项目启动类配置</w: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@MapperScan(basePackages = "com.cskaoyan.mapper")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萧毅文</w:t>
      </w: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]数据库修改密码后在Navicat上要重新连接数据库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欧阳帆</w:t>
      </w: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]前端如果是Get方法map无法接收，可以用参数接收或者用javabean；逆向工程需要删除掉target文件夹；条件查询时有的是模糊查询，有的是非模糊查询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汪鲲</w:t>
      </w: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]小鸟插件有问题需手动创建.xml文件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徐泽化</w:t>
      </w: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]对于两个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@RequestMapping("admin/keyword/list") </w:t>
      </w:r>
      <w:r>
        <w:rPr>
          <w:rFonts w:hint="eastAsia" w:ascii="Times New Roman" w:hAnsi="Times New Roman" w:cs="Times New Roman"/>
          <w:b w:val="0"/>
          <w:bCs w:val="0"/>
          <w:sz w:val="44"/>
          <w:szCs w:val="44"/>
          <w:lang w:val="en-US" w:eastAsia="zh-CN"/>
        </w:rPr>
        <w:t>的方法可以用javabean 接收后传到service层进行判断代码参考如下：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1734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1135" cy="22694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51CD7B"/>
    <w:multiLevelType w:val="singleLevel"/>
    <w:tmpl w:val="CD51CD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4BF6"/>
    <w:rsid w:val="164B64C3"/>
    <w:rsid w:val="3CB217EF"/>
    <w:rsid w:val="64A50A5F"/>
    <w:rsid w:val="75A66079"/>
    <w:rsid w:val="7D05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2019-12-27T05:04:55Z</dcterms:created>
  <dc:creator>Pined</dc:creator>
  <cp:lastModifiedBy>Pined</cp:lastModifiedBy>
  <dcterms:modified xsi:type="dcterms:W3CDTF">2019-12-27T05:20:42Z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