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黑体"/>
          <w:b/>
          <w:sz w:val="32"/>
        </w:rPr>
        <w:t>第二章  基于几何—频域先验的训练自由轻量化点云基础表征方法</w:t>
      </w:r>
    </w:p>
    <w:p>
      <w:pPr>
        <w:pStyle w:val="Heading2"/>
      </w:pPr>
      <w:r>
        <w:t>2.1 概述</w:t>
      </w:r>
    </w:p>
    <w:p>
      <w:pPr/>
      <w:r>
        <w:rPr>
          <w:rFonts w:ascii="Times New Roman" w:hAnsi="Times New Roman" w:eastAsia="宋体"/>
        </w:rPr>
        <w:t>第一章已经指出，三维点云智能分析的发展正在由单一几何任务驱动的专用网络逐步转向统一的2D–3D–语言表征、可查询场景记忆以及具备跨任务泛化能力的多模态基础模型。然而，无论是面向大规模场景的高效骨干网络，还是依赖自监督预训练的统一表示框架，其有效性都建立在稳定的三维几何底座之上。PointNet、PointNet++、DGCNN、PointNeXt 和 Point Transformer V3 等方法从不同角度推动了点云分析的发展</w:t>
      </w:r>
      <w:r>
        <w:rPr>
          <w:rFonts w:ascii="Times New Roman" w:hAnsi="Times New Roman" w:eastAsia="宋体"/>
          <w:sz w:val="17"/>
          <w:vertAlign w:val="superscript"/>
        </w:rPr>
        <w:t>[1-5]</w:t>
      </w:r>
      <w:r>
        <w:rPr>
          <w:rFonts w:ascii="Times New Roman" w:hAnsi="Times New Roman" w:eastAsia="宋体"/>
        </w:rPr>
        <w:t>；Sonata 与 Concerto 等工作进一步表明，可靠的三维表征是实现低标注迁移、开放词汇理解与跨模态协同的前提</w:t>
      </w:r>
      <w:r>
        <w:rPr>
          <w:rFonts w:ascii="Times New Roman" w:hAnsi="Times New Roman" w:eastAsia="宋体"/>
          <w:sz w:val="17"/>
          <w:vertAlign w:val="superscript"/>
        </w:rPr>
        <w:t>[9,10]</w:t>
      </w:r>
      <w:r>
        <w:rPr>
          <w:rFonts w:ascii="Times New Roman" w:hAnsi="Times New Roman" w:eastAsia="宋体"/>
        </w:rPr>
        <w:t>。因此，对于本论文所关注的“轻量化多模态统一点云分析”问题而言，首先建立一种参数开销低、训练依赖弱且具有明确几何解释性的基础表征方法，具有十分关键的理论和工程意义。</w:t>
      </w:r>
    </w:p>
    <w:p>
      <w:pPr/>
      <w:r>
        <w:rPr>
          <w:rFonts w:ascii="Times New Roman" w:hAnsi="Times New Roman" w:eastAsia="宋体"/>
        </w:rPr>
        <w:t>与传统将深层网络规模扩展作为主要性能来源的研究路线不同，本章更关注资源约束下的点云基础表示问题。具体而言，本文假设后续方法需要部署于边缘感知、移动机器人或低成本三维重建等场景，因此基础编码器不仅要具备较强的局部结构敏感性和全局语义可聚合性，还应尽量减少对大规模标注数据、长周期反向传播训练以及复杂算子调度的依赖。与此同时，该基础表示还需要为第三章的跨模态对齐和第四章的配准—3DGS扩展提供统一接口。若在本章阶段便引入过多与图像、文本或显式场景表示相关的机制，反而会削弱论文各章创新点的边界清晰度。因此，本章将研究范围严格限定于“点云基础表征”本身，即在尽量训练自由的条件下，如何从原始点集挖掘足够稳定、可迁移且部署友好的三维特征。</w:t>
      </w:r>
    </w:p>
    <w:p>
      <w:pPr/>
      <w:r>
        <w:rPr>
          <w:rFonts w:ascii="Times New Roman" w:hAnsi="Times New Roman" w:eastAsia="宋体"/>
        </w:rPr>
        <w:t>近两年 training-free 或少参数点云分析方法的出现，为上述问题提供了新的思路。Point-NN 与 Seg-NN 说明，即使不依赖大规模可学习参数，仅通过合理的采样、邻域搜索和非参数聚合，也能够获得有竞争力的分类与分割结果</w:t>
      </w:r>
      <w:r>
        <w:rPr>
          <w:rFonts w:ascii="Times New Roman" w:hAnsi="Times New Roman" w:eastAsia="宋体"/>
          <w:sz w:val="17"/>
          <w:vertAlign w:val="superscript"/>
        </w:rPr>
        <w:t>[6,7]</w:t>
      </w:r>
      <w:r>
        <w:rPr>
          <w:rFonts w:ascii="Times New Roman" w:hAnsi="Times New Roman" w:eastAsia="宋体"/>
        </w:rPr>
        <w:t>。作者前期研究的 NPMFF-Net 进一步表明，如果在非参数框架中显式引入 Plücker 几何关系、Fourier 频域映射、核加权邻域聚合及自适应法向池化，则 training-free 路线并非只是重型监督模型的替代方案，而能够成为后续多模态扩展的高质量几何底座</w:t>
      </w:r>
      <w:r>
        <w:rPr>
          <w:rFonts w:ascii="Times New Roman" w:hAnsi="Times New Roman" w:eastAsia="宋体"/>
          <w:sz w:val="17"/>
          <w:vertAlign w:val="superscript"/>
        </w:rPr>
        <w:t>[8]</w:t>
      </w:r>
      <w:r>
        <w:rPr>
          <w:rFonts w:ascii="Times New Roman" w:hAnsi="Times New Roman" w:eastAsia="宋体"/>
        </w:rPr>
        <w:t>。从深度研究报告所归纳的最新趋势来看，当前高质量三维研究的关键不再仅仅是“是否使用更强的多模态模型”，而是“能否在统一框架中保留几何先验的主导地位，并以较低训练成本获得可泛化的三维表征”</w:t>
      </w:r>
      <w:r>
        <w:rPr>
          <w:rFonts w:ascii="Times New Roman" w:hAnsi="Times New Roman" w:eastAsia="宋体"/>
          <w:sz w:val="17"/>
          <w:vertAlign w:val="superscript"/>
        </w:rPr>
        <w:t>[5,9,10]</w:t>
      </w:r>
      <w:r>
        <w:rPr>
          <w:rFonts w:ascii="Times New Roman" w:hAnsi="Times New Roman" w:eastAsia="宋体"/>
        </w:rPr>
        <w:t>。这恰恰构成了本章研究的核心动机。</w:t>
      </w:r>
    </w:p>
    <w:p>
      <w:pPr/>
      <w:r>
        <w:rPr>
          <w:rFonts w:ascii="Times New Roman" w:hAnsi="Times New Roman" w:eastAsia="宋体"/>
        </w:rPr>
        <w:t>基于上述认识，本章提出一种基于几何—频域先验的训练自由轻量化点云基础表征方法。该方法以原始点云的局部关系为出发点，将点对相对位移、Plücker型线关系、法向一致性和Fourier频域映射统一到同一邻域描述空间中，再借助基于核权重的非参数聚合与多尺度自适应池化构建点级和对象级表示。与面向多模态统一建模的后续章节不同，本章并不试图直接引入图像、文本或3DGS信息，而是坚持“显式几何优先、参数学习后置”的设计原则：首先用可解释的几何机制承担主要表征任务，再在必要时仅通过极少量可学习头完成任务适配。这样处理的目的在于，确保本章工作能够以独立研究单元的形式成立，同时为后续章节提供稳定、清晰且易复用的点云主干。</w:t>
      </w:r>
    </w:p>
    <w:p>
      <w:pPr/>
      <w:r>
        <w:rPr>
          <w:rFonts w:ascii="Times New Roman" w:hAnsi="Times New Roman" w:eastAsia="宋体"/>
        </w:rPr>
        <w:t>本章后续内容安排如下：2.2节给出研究任务定义、设计原则及具体方法，重点介绍几何—频域联合编码、训练自由轻量聚合、多尺度融合和任务输出机制；2.3节通过分类与分割实验，对方法的有效性、边界条件和部署友好性进行系统分析，并给出与典型 non-parametric 基线及重型监督方法的对比；2.4节对本章工作进行总结，并说明其与第三章跨模态统一建模、第四章鲁棒扩展与3DGS协同分析之间的衔接关系。</w:t>
      </w:r>
    </w:p>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【占位符：建议插入“输入点云—几何频域编码—非参数聚合—多尺度融合—任务头”的流程框图】</w:t>
            </w:r>
            <w:r>
              <w:br/>
            </w:r>
            <w:r>
              <w:br/>
            </w:r>
          </w:p>
        </w:tc>
      </w:tr>
    </w:tbl>
    <w:p>
      <w:pPr>
        <w:jc w:val="center"/>
      </w:pPr>
      <w:r>
        <w:rPr>
          <w:rFonts w:ascii="Times New Roman" w:hAnsi="Times New Roman" w:eastAsia="宋体"/>
          <w:sz w:val="21"/>
        </w:rPr>
        <w:t>图2-1 本章方法整体框架示意图【占位符】</w:t>
      </w:r>
    </w:p>
    <w:p>
      <w:pPr>
        <w:pStyle w:val="Heading2"/>
      </w:pPr>
      <w:r>
        <w:t>2.2 具体方法和原理</w:t>
      </w:r>
    </w:p>
    <w:p>
      <w:pPr>
        <w:pStyle w:val="Heading3"/>
      </w:pPr>
      <w:r>
        <w:t>2.2.1 研究任务定义与设计原则</w:t>
      </w:r>
    </w:p>
    <w:p>
      <w:pPr/>
      <w:r>
        <w:rPr>
          <w:rFonts w:ascii="Times New Roman" w:hAnsi="Times New Roman" w:eastAsia="宋体"/>
        </w:rPr>
        <w:t>设输入点云记为 P，其由 N 个三维点构成。每个点由空间坐标和可选附加属性组成，其中附加属性可以是颜色、强度、法向或其他可用的局部几何信息。为保证后续建模的一致性，当原始输入不包含法向量时，本文采用局部主成分分析对法向进行估计。第二章关注两类基础任务：对象级分类和点级分割。前者要求模型根据整体几何轮廓输出对象类别，后者则要求模型在点级空间中保持局部结构与语义边界的一致性。虽然这两类任务在监督形式和输出粒度上存在差异，但它们对“稳定的点云基础表示”有共同需求，因此适合在同一底座上统一建模。</w:t>
      </w:r>
    </w:p>
    <w:p>
      <w:pPr/>
      <w:r>
        <w:rPr>
          <w:rFonts w:ascii="Times New Roman" w:hAnsi="Times New Roman" w:eastAsia="宋体"/>
        </w:rPr>
        <w:t>从形式化角度看，本章希望构建一个基础表示函数 F_base，将原始点云映射为点级特征集合 H。与传统深层网络不同，本文并不将网络深度、参数规模或大规模预训练视为性能的唯一来源，而将问题抽象为：在给定点数 N、邻域规模 k 和资源预算 C 的条件下，如何最大限度挖掘原始点集中的显式几何关系和频域信息，使得到的点级表示既可用于全局类别聚合，又能保留局部结构判别能力。由此，本章方法的设计遵循四项原则：第一，点云几何必须作为主导信息源；第二，高频结构应通过显式频域映射得到补偿；第三，邻域聚合应尽量采用训练自由或少参数机制；第四，基础表示应为后续跨模态对齐和场景扩展保留统一接口。</w:t>
      </w:r>
    </w:p>
    <w:p>
      <w:pPr/>
      <w:r>
        <w:rPr>
          <w:rFonts w:ascii="Times New Roman" w:hAnsi="Times New Roman" w:eastAsia="宋体"/>
        </w:rPr>
        <w:t>基于上述原则，本章方法可分为四个阶段：输入标准化与邻域构建、几何—频域联合编码、训练自由轻量聚合与多尺度融合、任务输出与复杂度控制。与传统“先选骨干、再叠模块”的构造方式不同，本文更强调从几何信号组织方式出发设计整个表示流程，即通过显式关系编码减少后续模型对深层非线性交互的依赖，通过局部核权重聚合避免高成本全局注意力，通过共享底座与轻量任务头兼顾分类与分割两种输出形式。</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r>
                  <m:rPr>
                    <m:sty m:val="p"/>
                    <m:scr m:val="script"/>
                  </m:rPr>
                  <m:t>P</m:t>
                </m:r>
                <m:r>
                  <m:rPr>
                    <m:sty m:val="p"/>
                  </m:rPr>
                  <m:t>=</m:t>
                </m:r>
                <m:r>
                  <m:rPr>
                    <m:sty m:val="p"/>
                  </m:rPr>
                  <m:t>{</m:t>
                </m:r>
                <m:d>
                  <m:dPr>
                    <m:begChr m:val="("/>
                    <m:endChr m:val=")"/>
                    <m:sepChr m:val=""/>
                    <m:grow/>
                  </m:dPr>
                  <m:e>
                    <m:sSub>
                      <m:e>
                        <m:r>
                          <m:t>p</m:t>
                        </m:r>
                      </m:e>
                      <m:sub>
                        <m:r>
                          <m:t>i</m:t>
                        </m:r>
                      </m:sub>
                    </m:sSub>
                    <m:r>
                      <m:rPr>
                        <m:sty m:val="p"/>
                      </m:rPr>
                      <m:t>,</m:t>
                    </m:r>
                    <m:sSub>
                      <m:e>
                        <m:r>
                          <m:t>a</m:t>
                        </m:r>
                      </m:e>
                      <m:sub>
                        <m:r>
                          <m:t>i</m:t>
                        </m:r>
                      </m:sub>
                    </m:sSub>
                  </m:e>
                </m:d>
                <m:r>
                  <m:rPr>
                    <m:sty m:val="p"/>
                  </m:rPr>
                  <m:t>∣</m:t>
                </m:r>
                <m:sSub>
                  <m:e>
                    <m:r>
                      <m:t>p</m:t>
                    </m:r>
                  </m:e>
                  <m:sub>
                    <m:r>
                      <m:t>i</m:t>
                    </m:r>
                  </m:sub>
                </m:sSub>
                <m:r>
                  <m:rPr>
                    <m:sty m:val="p"/>
                  </m:rPr>
                  <m:t>∈</m:t>
                </m:r>
                <m:sSup>
                  <m:e>
                    <m:r>
                      <m:rPr>
                        <m:sty m:val="p"/>
                        <m:scr m:val="double-struck"/>
                      </m:rPr>
                      <m:t>R</m:t>
                    </m:r>
                  </m:e>
                  <m:sup>
                    <m:r>
                      <m:t>3</m:t>
                    </m:r>
                  </m:sup>
                </m:sSup>
                <m:r>
                  <m:rPr>
                    <m:sty m:val="p"/>
                  </m:rPr>
                  <m:t>,</m:t>
                </m:r>
                <m:r>
                  <m:t> </m:t>
                </m:r>
                <m:sSub>
                  <m:e>
                    <m:r>
                      <m:t>a</m:t>
                    </m:r>
                  </m:e>
                  <m:sub>
                    <m:r>
                      <m:t>i</m:t>
                    </m:r>
                  </m:sub>
                </m:sSub>
                <m:r>
                  <m:rPr>
                    <m:sty m:val="p"/>
                  </m:rPr>
                  <m:t>∈</m:t>
                </m:r>
                <m:sSup>
                  <m:e>
                    <m:r>
                      <m:rPr>
                        <m:sty m:val="p"/>
                        <m:scr m:val="double-struck"/>
                      </m:rPr>
                      <m:t>R</m:t>
                    </m:r>
                  </m:e>
                  <m:sup>
                    <m:sSub>
                      <m:e>
                        <m:r>
                          <m:t>d</m:t>
                        </m:r>
                      </m:e>
                      <m:sub>
                        <m:r>
                          <m:t>a</m:t>
                        </m:r>
                      </m:sub>
                    </m:sSub>
                  </m:sup>
                </m:sSup>
                <m:sSubSup>
                  <m:e>
                    <m:r>
                      <m:rPr>
                        <m:sty m:val="p"/>
                      </m:rPr>
                      <m:t>}</m:t>
                    </m:r>
                  </m:e>
                  <m:sub>
                    <m:r>
                      <m:t>i</m:t>
                    </m:r>
                    <m:r>
                      <m:rPr>
                        <m:sty m:val="p"/>
                      </m:rPr>
                      <m:t>=</m:t>
                    </m:r>
                    <m:r>
                      <m:t>1</m:t>
                    </m:r>
                  </m:sub>
                  <m:sup>
                    <m:r>
                      <m:t>N</m:t>
                    </m:r>
                  </m:sup>
                </m:sSubSup>
              </m:oMath>
            </m:oMathPara>
          </w:p>
        </w:tc>
        <w:tc>
          <w:tcPr>
            <w:tcW w:type="dxa" w:w="1417"/>
            <w:vAlign w:val="center"/>
            <w:tcMar>
              <w:top w:w="60" w:type="dxa"/>
              <w:bottom w:w="60" w:type="dxa"/>
              <w:left w:w="60" w:type="dxa"/>
              <w:right w:w="60" w:type="dxa"/>
            </w:tcMar>
          </w:tcPr>
          <w:p>
            <w:pPr>
              <w:jc w:val="right"/>
            </w:pPr>
            <w:bookmarkStart w:id="100" w:name="eq2_1"/>
            <w:r>
              <w:rPr>
                <w:rFonts w:ascii="Times New Roman" w:hAnsi="Times New Roman" w:eastAsia="宋体"/>
                <w:sz w:val="21"/>
              </w:rPr>
              <w:t>（2-1）</w:t>
            </w:r>
            <w:bookmarkEnd w:id="100"/>
          </w:p>
        </w:tc>
      </w:tr>
    </w:tbl>
    <w:p>
      <w:pPr/>
      <w:r>
        <w:rPr>
          <w:rFonts w:ascii="Times New Roman" w:hAnsi="Times New Roman" w:eastAsia="宋体"/>
        </w:rPr>
        <w:t>其中，p_i 表示第 i 个点的三维坐标，a_i 表示附加属性向量；当输入仅含坐标时，a_i 可退化为法向估计或空属性。</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r>
                  <m:rPr>
                    <m:sty m:val="p"/>
                    <m:scr m:val="script"/>
                  </m:rPr>
                  <m:t>H</m:t>
                </m:r>
                <m:r>
                  <m:rPr>
                    <m:sty m:val="p"/>
                  </m:rPr>
                  <m:t>=</m:t>
                </m:r>
                <m:sSub>
                  <m:e>
                    <m:r>
                      <m:t>F</m:t>
                    </m:r>
                  </m:e>
                  <m:sub>
                    <m:r>
                      <m:rPr>
                        <m:sty m:val="p"/>
                      </m:rPr>
                      <m:t>b</m:t>
                    </m:r>
                    <m:r>
                      <m:rPr>
                        <m:sty m:val="p"/>
                      </m:rPr>
                      <m:t>a</m:t>
                    </m:r>
                    <m:r>
                      <m:rPr>
                        <m:sty m:val="p"/>
                      </m:rPr>
                      <m:t>s</m:t>
                    </m:r>
                    <m:r>
                      <m:rPr>
                        <m:sty m:val="p"/>
                      </m:rPr>
                      <m:t>e</m:t>
                    </m:r>
                  </m:sub>
                </m:sSub>
                <m:d>
                  <m:dPr>
                    <m:begChr m:val="("/>
                    <m:endChr m:val=")"/>
                    <m:sepChr m:val=""/>
                    <m:grow/>
                  </m:dPr>
                  <m:e>
                    <m:r>
                      <m:rPr>
                        <m:sty m:val="p"/>
                        <m:scr m:val="script"/>
                      </m:rPr>
                      <m:t>P</m:t>
                    </m:r>
                  </m:e>
                </m:d>
                <m:r>
                  <m:rPr>
                    <m:sty m:val="p"/>
                  </m:rPr>
                  <m:t>=</m:t>
                </m:r>
                <m:r>
                  <m:rPr>
                    <m:sty m:val="p"/>
                  </m:rPr>
                  <m:t>{</m:t>
                </m:r>
                <m:sSub>
                  <m:e>
                    <m:r>
                      <m:t>h</m:t>
                    </m:r>
                  </m:e>
                  <m:sub>
                    <m:r>
                      <m:t>i</m:t>
                    </m:r>
                  </m:sub>
                </m:sSub>
                <m:sSubSup>
                  <m:e>
                    <m:r>
                      <m:rPr>
                        <m:sty m:val="p"/>
                      </m:rPr>
                      <m:t>}</m:t>
                    </m:r>
                  </m:e>
                  <m:sub>
                    <m:r>
                      <m:t>i</m:t>
                    </m:r>
                    <m:r>
                      <m:rPr>
                        <m:sty m:val="p"/>
                      </m:rPr>
                      <m:t>=</m:t>
                    </m:r>
                    <m:r>
                      <m:t>1</m:t>
                    </m:r>
                  </m:sub>
                  <m:sup>
                    <m:r>
                      <m:t>N</m:t>
                    </m:r>
                  </m:sup>
                </m:sSubSup>
                <m:r>
                  <m:rPr>
                    <m:sty m:val="p"/>
                  </m:rPr>
                  <m:t>,</m:t>
                </m:r>
                <m:r>
                  <m:t> </m:t>
                </m:r>
                <m:sSub>
                  <m:e>
                    <m:r>
                      <m:t>h</m:t>
                    </m:r>
                  </m:e>
                  <m:sub>
                    <m:r>
                      <m:t>i</m:t>
                    </m:r>
                  </m:sub>
                </m:sSub>
                <m:r>
                  <m:rPr>
                    <m:sty m:val="p"/>
                  </m:rPr>
                  <m:t>∈</m:t>
                </m:r>
                <m:sSup>
                  <m:e>
                    <m:r>
                      <m:rPr>
                        <m:sty m:val="p"/>
                        <m:scr m:val="double-struck"/>
                      </m:rPr>
                      <m:t>R</m:t>
                    </m:r>
                  </m:e>
                  <m:sup>
                    <m:sSub>
                      <m:e>
                        <m:r>
                          <m:t>d</m:t>
                        </m:r>
                      </m:e>
                      <m:sub>
                        <m:r>
                          <m:t>h</m:t>
                        </m:r>
                      </m:sub>
                    </m:sSub>
                  </m:sup>
                </m:sSup>
              </m:oMath>
            </m:oMathPara>
          </w:p>
        </w:tc>
        <w:tc>
          <w:tcPr>
            <w:tcW w:type="dxa" w:w="1417"/>
            <w:vAlign w:val="center"/>
            <w:tcMar>
              <w:top w:w="60" w:type="dxa"/>
              <w:bottom w:w="60" w:type="dxa"/>
              <w:left w:w="60" w:type="dxa"/>
              <w:right w:w="60" w:type="dxa"/>
            </w:tcMar>
          </w:tcPr>
          <w:p>
            <w:pPr>
              <w:jc w:val="right"/>
            </w:pPr>
            <w:bookmarkStart w:id="101" w:name="eq2_2"/>
            <w:r>
              <w:rPr>
                <w:rFonts w:ascii="Times New Roman" w:hAnsi="Times New Roman" w:eastAsia="宋体"/>
                <w:sz w:val="21"/>
              </w:rPr>
              <w:t>（2-2）</w:t>
            </w:r>
            <w:bookmarkEnd w:id="101"/>
          </w:p>
        </w:tc>
      </w:tr>
    </w:tbl>
    <w:p>
      <w:pPr/>
      <w:r>
        <w:rPr>
          <w:rFonts w:ascii="Times New Roman" w:hAnsi="Times New Roman" w:eastAsia="宋体"/>
        </w:rPr>
        <w:t>式（2-1）和式（2-2）分别给出了本章的输入表示和目标映射形式。围绕这些符号，本文后续所有模块均以点级特征 h_i 为基本运算单元，从而保证第二章与第三、第四章之间的接口一致性。</w:t>
      </w:r>
    </w:p>
    <w:p>
      <w:pPr>
        <w:jc w:val="center"/>
      </w:pPr>
      <w:r>
        <w:rPr>
          <w:rFonts w:ascii="Times New Roman" w:hAnsi="Times New Roman" w:eastAsia="宋体"/>
          <w:sz w:val="21"/>
        </w:rPr>
        <w:t>表2-1 主要符号与物理含义</w:t>
      </w:r>
    </w:p>
    <w:tbl>
      <w:tblPr>
        <w:tblStyle w:val="TableGrid"/>
        <w:tblW w:type="auto" w:w="0"/>
        <w:jc w:val="center"/>
        <w:tblLook w:firstColumn="1" w:firstRow="1" w:lastColumn="0" w:lastRow="0" w:noHBand="0" w:noVBand="1" w:val="04A0"/>
      </w:tblPr>
      <w:tblGrid>
        <w:gridCol w:w="2929"/>
        <w:gridCol w:w="2929"/>
        <w:gridCol w:w="2929"/>
      </w:tblGrid>
      <w:tr>
        <w:tc>
          <w:tcPr>
            <w:tcW w:type="dxa" w:w="1417"/>
            <w:vAlign w:val="center"/>
            <w:shd w:fill="D9EAF7"/>
          </w:tcPr>
          <w:p>
            <w:pPr>
              <w:spacing w:line="300" w:lineRule="auto" w:after="0" w:before="0"/>
              <w:jc w:val="center"/>
            </w:pPr>
            <w:r/>
            <w:r>
              <w:rPr>
                <w:rFonts w:ascii="Times New Roman" w:hAnsi="Times New Roman" w:eastAsia="宋体"/>
                <w:b/>
                <w:sz w:val="21"/>
              </w:rPr>
              <w:t>符号</w:t>
            </w:r>
          </w:p>
        </w:tc>
        <w:tc>
          <w:tcPr>
            <w:tcW w:type="dxa" w:w="4252"/>
            <w:vAlign w:val="center"/>
            <w:shd w:fill="D9EAF7"/>
          </w:tcPr>
          <w:p>
            <w:pPr>
              <w:spacing w:line="300" w:lineRule="auto" w:after="0" w:before="0"/>
              <w:jc w:val="center"/>
            </w:pPr>
            <w:r/>
            <w:r>
              <w:rPr>
                <w:rFonts w:ascii="Times New Roman" w:hAnsi="Times New Roman" w:eastAsia="宋体"/>
                <w:b/>
                <w:sz w:val="21"/>
              </w:rPr>
              <w:t>含义</w:t>
            </w:r>
          </w:p>
        </w:tc>
        <w:tc>
          <w:tcPr>
            <w:tcW w:type="dxa" w:w="1701"/>
            <w:vAlign w:val="center"/>
            <w:shd w:fill="D9EAF7"/>
          </w:tcPr>
          <w:p>
            <w:pPr>
              <w:spacing w:line="300" w:lineRule="auto" w:after="0" w:before="0"/>
              <w:jc w:val="center"/>
            </w:pPr>
            <w:r/>
            <w:r>
              <w:rPr>
                <w:rFonts w:ascii="Times New Roman" w:hAnsi="Times New Roman" w:eastAsia="宋体"/>
                <w:b/>
                <w:sz w:val="21"/>
              </w:rPr>
              <w:t>所在阶段</w:t>
            </w:r>
          </w:p>
        </w:tc>
      </w:tr>
      <w:tr>
        <w:tc>
          <w:tcPr>
            <w:tcW w:type="dxa" w:w="1417"/>
            <w:vAlign w:val="center"/>
          </w:tcPr>
          <w:p>
            <w:pPr>
              <w:spacing w:line="300" w:lineRule="auto" w:after="0" w:before="0"/>
              <w:jc w:val="center"/>
            </w:pPr>
            <w:r/>
            <w:r>
              <w:rPr>
                <w:rFonts w:ascii="Times New Roman" w:hAnsi="Times New Roman" w:eastAsia="宋体"/>
                <w:b w:val="0"/>
                <w:sz w:val="20"/>
              </w:rPr>
              <w:t>P</w:t>
            </w:r>
          </w:p>
        </w:tc>
        <w:tc>
          <w:tcPr>
            <w:tcW w:type="dxa" w:w="4252"/>
            <w:vAlign w:val="center"/>
          </w:tcPr>
          <w:p>
            <w:pPr>
              <w:spacing w:line="300" w:lineRule="auto" w:after="0" w:before="0"/>
              <w:jc w:val="center"/>
            </w:pPr>
            <w:r/>
            <w:r>
              <w:rPr>
                <w:rFonts w:ascii="Times New Roman" w:hAnsi="Times New Roman" w:eastAsia="宋体"/>
                <w:b w:val="0"/>
                <w:sz w:val="20"/>
              </w:rPr>
              <w:t>输入点云集合</w:t>
            </w:r>
          </w:p>
        </w:tc>
        <w:tc>
          <w:tcPr>
            <w:tcW w:type="dxa" w:w="1701"/>
            <w:vAlign w:val="center"/>
          </w:tcPr>
          <w:p>
            <w:pPr>
              <w:spacing w:line="300" w:lineRule="auto" w:after="0" w:before="0"/>
              <w:jc w:val="center"/>
            </w:pPr>
            <w:r/>
            <w:r>
              <w:rPr>
                <w:rFonts w:ascii="Times New Roman" w:hAnsi="Times New Roman" w:eastAsia="宋体"/>
                <w:b w:val="0"/>
                <w:sz w:val="20"/>
              </w:rPr>
              <w:t>任务定义</w:t>
            </w:r>
          </w:p>
        </w:tc>
      </w:tr>
      <w:tr>
        <w:tc>
          <w:tcPr>
            <w:tcW w:type="dxa" w:w="1417"/>
            <w:vAlign w:val="center"/>
          </w:tcPr>
          <w:p>
            <w:pPr>
              <w:spacing w:line="300" w:lineRule="auto" w:after="0" w:before="0"/>
              <w:jc w:val="center"/>
            </w:pPr>
            <w:r/>
            <w:r>
              <w:rPr>
                <w:rFonts w:ascii="Times New Roman" w:hAnsi="Times New Roman" w:eastAsia="宋体"/>
                <w:b w:val="0"/>
                <w:sz w:val="20"/>
              </w:rPr>
              <w:t>p_i</w:t>
            </w:r>
          </w:p>
        </w:tc>
        <w:tc>
          <w:tcPr>
            <w:tcW w:type="dxa" w:w="4252"/>
            <w:vAlign w:val="center"/>
          </w:tcPr>
          <w:p>
            <w:pPr>
              <w:spacing w:line="300" w:lineRule="auto" w:after="0" w:before="0"/>
              <w:jc w:val="center"/>
            </w:pPr>
            <w:r/>
            <w:r>
              <w:rPr>
                <w:rFonts w:ascii="Times New Roman" w:hAnsi="Times New Roman" w:eastAsia="宋体"/>
                <w:b w:val="0"/>
                <w:sz w:val="20"/>
              </w:rPr>
              <w:t>第 i 个点的三维坐标</w:t>
            </w:r>
          </w:p>
        </w:tc>
        <w:tc>
          <w:tcPr>
            <w:tcW w:type="dxa" w:w="1701"/>
            <w:vAlign w:val="center"/>
          </w:tcPr>
          <w:p>
            <w:pPr>
              <w:spacing w:line="300" w:lineRule="auto" w:after="0" w:before="0"/>
              <w:jc w:val="center"/>
            </w:pPr>
            <w:r/>
            <w:r>
              <w:rPr>
                <w:rFonts w:ascii="Times New Roman" w:hAnsi="Times New Roman" w:eastAsia="宋体"/>
                <w:b w:val="0"/>
                <w:sz w:val="20"/>
              </w:rPr>
              <w:t>输入描述</w:t>
            </w:r>
          </w:p>
        </w:tc>
      </w:tr>
      <w:tr>
        <w:tc>
          <w:tcPr>
            <w:tcW w:type="dxa" w:w="1417"/>
            <w:vAlign w:val="center"/>
          </w:tcPr>
          <w:p>
            <w:pPr>
              <w:spacing w:line="300" w:lineRule="auto" w:after="0" w:before="0"/>
              <w:jc w:val="center"/>
            </w:pPr>
            <w:r/>
            <w:r>
              <w:rPr>
                <w:rFonts w:ascii="Times New Roman" w:hAnsi="Times New Roman" w:eastAsia="宋体"/>
                <w:b w:val="0"/>
                <w:sz w:val="20"/>
              </w:rPr>
              <w:t>a_i</w:t>
            </w:r>
          </w:p>
        </w:tc>
        <w:tc>
          <w:tcPr>
            <w:tcW w:type="dxa" w:w="4252"/>
            <w:vAlign w:val="center"/>
          </w:tcPr>
          <w:p>
            <w:pPr>
              <w:spacing w:line="300" w:lineRule="auto" w:after="0" w:before="0"/>
              <w:jc w:val="center"/>
            </w:pPr>
            <w:r/>
            <w:r>
              <w:rPr>
                <w:rFonts w:ascii="Times New Roman" w:hAnsi="Times New Roman" w:eastAsia="宋体"/>
                <w:b w:val="0"/>
                <w:sz w:val="20"/>
              </w:rPr>
              <w:t>第 i 个点的附加属性或估计法向</w:t>
            </w:r>
          </w:p>
        </w:tc>
        <w:tc>
          <w:tcPr>
            <w:tcW w:type="dxa" w:w="1701"/>
            <w:vAlign w:val="center"/>
          </w:tcPr>
          <w:p>
            <w:pPr>
              <w:spacing w:line="300" w:lineRule="auto" w:after="0" w:before="0"/>
              <w:jc w:val="center"/>
            </w:pPr>
            <w:r/>
            <w:r>
              <w:rPr>
                <w:rFonts w:ascii="Times New Roman" w:hAnsi="Times New Roman" w:eastAsia="宋体"/>
                <w:b w:val="0"/>
                <w:sz w:val="20"/>
              </w:rPr>
              <w:t>输入描述</w:t>
            </w:r>
          </w:p>
        </w:tc>
      </w:tr>
      <w:tr>
        <w:tc>
          <w:tcPr>
            <w:tcW w:type="dxa" w:w="1417"/>
            <w:vAlign w:val="center"/>
          </w:tcPr>
          <w:p>
            <w:pPr>
              <w:spacing w:line="300" w:lineRule="auto" w:after="0" w:before="0"/>
              <w:jc w:val="center"/>
            </w:pPr>
            <w:r/>
            <w:r>
              <w:rPr>
                <w:rFonts w:ascii="Times New Roman" w:hAnsi="Times New Roman" w:eastAsia="宋体"/>
                <w:b w:val="0"/>
                <w:sz w:val="20"/>
              </w:rPr>
              <w:t>H</w:t>
            </w:r>
          </w:p>
        </w:tc>
        <w:tc>
          <w:tcPr>
            <w:tcW w:type="dxa" w:w="4252"/>
            <w:vAlign w:val="center"/>
          </w:tcPr>
          <w:p>
            <w:pPr>
              <w:spacing w:line="300" w:lineRule="auto" w:after="0" w:before="0"/>
              <w:jc w:val="center"/>
            </w:pPr>
            <w:r/>
            <w:r>
              <w:rPr>
                <w:rFonts w:ascii="Times New Roman" w:hAnsi="Times New Roman" w:eastAsia="宋体"/>
                <w:b w:val="0"/>
                <w:sz w:val="20"/>
              </w:rPr>
              <w:t>基础点级特征集合</w:t>
            </w:r>
          </w:p>
        </w:tc>
        <w:tc>
          <w:tcPr>
            <w:tcW w:type="dxa" w:w="1701"/>
            <w:vAlign w:val="center"/>
          </w:tcPr>
          <w:p>
            <w:pPr>
              <w:spacing w:line="300" w:lineRule="auto" w:after="0" w:before="0"/>
              <w:jc w:val="center"/>
            </w:pPr>
            <w:r/>
            <w:r>
              <w:rPr>
                <w:rFonts w:ascii="Times New Roman" w:hAnsi="Times New Roman" w:eastAsia="宋体"/>
                <w:b w:val="0"/>
                <w:sz w:val="20"/>
              </w:rPr>
              <w:t>统一表征</w:t>
            </w:r>
          </w:p>
        </w:tc>
      </w:tr>
      <w:tr>
        <w:tc>
          <w:tcPr>
            <w:tcW w:type="dxa" w:w="1417"/>
            <w:vAlign w:val="center"/>
          </w:tcPr>
          <w:p>
            <w:pPr>
              <w:spacing w:line="300" w:lineRule="auto" w:after="0" w:before="0"/>
              <w:jc w:val="center"/>
            </w:pPr>
            <w:r/>
            <w:r>
              <w:rPr>
                <w:rFonts w:ascii="Times New Roman" w:hAnsi="Times New Roman" w:eastAsia="宋体"/>
                <w:b w:val="0"/>
                <w:sz w:val="20"/>
              </w:rPr>
              <w:t>k</w:t>
            </w:r>
          </w:p>
        </w:tc>
        <w:tc>
          <w:tcPr>
            <w:tcW w:type="dxa" w:w="4252"/>
            <w:vAlign w:val="center"/>
          </w:tcPr>
          <w:p>
            <w:pPr>
              <w:spacing w:line="300" w:lineRule="auto" w:after="0" w:before="0"/>
              <w:jc w:val="center"/>
            </w:pPr>
            <w:r/>
            <w:r>
              <w:rPr>
                <w:rFonts w:ascii="Times New Roman" w:hAnsi="Times New Roman" w:eastAsia="宋体"/>
                <w:b w:val="0"/>
                <w:sz w:val="20"/>
              </w:rPr>
              <w:t>局部邻域规模</w:t>
            </w:r>
          </w:p>
        </w:tc>
        <w:tc>
          <w:tcPr>
            <w:tcW w:type="dxa" w:w="1701"/>
            <w:vAlign w:val="center"/>
          </w:tcPr>
          <w:p>
            <w:pPr>
              <w:spacing w:line="300" w:lineRule="auto" w:after="0" w:before="0"/>
              <w:jc w:val="center"/>
            </w:pPr>
            <w:r/>
            <w:r>
              <w:rPr>
                <w:rFonts w:ascii="Times New Roman" w:hAnsi="Times New Roman" w:eastAsia="宋体"/>
                <w:b w:val="0"/>
                <w:sz w:val="20"/>
              </w:rPr>
              <w:t>邻域构建</w:t>
            </w:r>
          </w:p>
        </w:tc>
      </w:tr>
      <w:tr>
        <w:tc>
          <w:tcPr>
            <w:tcW w:type="dxa" w:w="1417"/>
            <w:vAlign w:val="center"/>
          </w:tcPr>
          <w:p>
            <w:pPr>
              <w:spacing w:line="300" w:lineRule="auto" w:after="0" w:before="0"/>
              <w:jc w:val="center"/>
            </w:pPr>
            <w:r/>
            <w:r>
              <w:rPr>
                <w:rFonts w:ascii="Times New Roman" w:hAnsi="Times New Roman" w:eastAsia="宋体"/>
                <w:b w:val="0"/>
                <w:sz w:val="20"/>
              </w:rPr>
              <w:t>σ_i</w:t>
            </w:r>
          </w:p>
        </w:tc>
        <w:tc>
          <w:tcPr>
            <w:tcW w:type="dxa" w:w="4252"/>
            <w:vAlign w:val="center"/>
          </w:tcPr>
          <w:p>
            <w:pPr>
              <w:spacing w:line="300" w:lineRule="auto" w:after="0" w:before="0"/>
              <w:jc w:val="center"/>
            </w:pPr>
            <w:r/>
            <w:r>
              <w:rPr>
                <w:rFonts w:ascii="Times New Roman" w:hAnsi="Times New Roman" w:eastAsia="宋体"/>
                <w:b w:val="0"/>
                <w:sz w:val="20"/>
              </w:rPr>
              <w:t>第 i 个点的局部尺度参数</w:t>
            </w:r>
          </w:p>
        </w:tc>
        <w:tc>
          <w:tcPr>
            <w:tcW w:type="dxa" w:w="1701"/>
            <w:vAlign w:val="center"/>
          </w:tcPr>
          <w:p>
            <w:pPr>
              <w:spacing w:line="300" w:lineRule="auto" w:after="0" w:before="0"/>
              <w:jc w:val="center"/>
            </w:pPr>
            <w:r/>
            <w:r>
              <w:rPr>
                <w:rFonts w:ascii="Times New Roman" w:hAnsi="Times New Roman" w:eastAsia="宋体"/>
                <w:b w:val="0"/>
                <w:sz w:val="20"/>
              </w:rPr>
              <w:t>核权重聚合</w:t>
            </w:r>
          </w:p>
        </w:tc>
      </w:tr>
      <w:tr>
        <w:tc>
          <w:tcPr>
            <w:tcW w:type="dxa" w:w="1417"/>
            <w:vAlign w:val="center"/>
          </w:tcPr>
          <w:p>
            <w:pPr>
              <w:spacing w:line="300" w:lineRule="auto" w:after="0" w:before="0"/>
              <w:jc w:val="center"/>
            </w:pPr>
            <w:r/>
            <w:r>
              <w:rPr>
                <w:rFonts w:ascii="Times New Roman" w:hAnsi="Times New Roman" w:eastAsia="宋体"/>
                <w:b w:val="0"/>
                <w:sz w:val="20"/>
              </w:rPr>
              <w:t>z^{cls}</w:t>
            </w:r>
          </w:p>
        </w:tc>
        <w:tc>
          <w:tcPr>
            <w:tcW w:type="dxa" w:w="4252"/>
            <w:vAlign w:val="center"/>
          </w:tcPr>
          <w:p>
            <w:pPr>
              <w:spacing w:line="300" w:lineRule="auto" w:after="0" w:before="0"/>
              <w:jc w:val="center"/>
            </w:pPr>
            <w:r/>
            <w:r>
              <w:rPr>
                <w:rFonts w:ascii="Times New Roman" w:hAnsi="Times New Roman" w:eastAsia="宋体"/>
                <w:b w:val="0"/>
                <w:sz w:val="20"/>
              </w:rPr>
              <w:t>对象级全局描述向量</w:t>
            </w:r>
          </w:p>
        </w:tc>
        <w:tc>
          <w:tcPr>
            <w:tcW w:type="dxa" w:w="1701"/>
            <w:vAlign w:val="center"/>
          </w:tcPr>
          <w:p>
            <w:pPr>
              <w:spacing w:line="300" w:lineRule="auto" w:after="0" w:before="0"/>
              <w:jc w:val="center"/>
            </w:pPr>
            <w:r/>
            <w:r>
              <w:rPr>
                <w:rFonts w:ascii="Times New Roman" w:hAnsi="Times New Roman" w:eastAsia="宋体"/>
                <w:b w:val="0"/>
                <w:sz w:val="20"/>
              </w:rPr>
              <w:t>分类输出</w:t>
            </w:r>
          </w:p>
        </w:tc>
      </w:tr>
      <w:tr>
        <w:tc>
          <w:tcPr>
            <w:tcW w:type="dxa" w:w="1417"/>
            <w:vAlign w:val="center"/>
          </w:tcPr>
          <w:p>
            <w:pPr>
              <w:spacing w:line="300" w:lineRule="auto" w:after="0" w:before="0"/>
              <w:jc w:val="center"/>
            </w:pPr>
            <w:r/>
            <w:r>
              <w:rPr>
                <w:rFonts w:ascii="Times New Roman" w:hAnsi="Times New Roman" w:eastAsia="宋体"/>
                <w:b w:val="0"/>
                <w:sz w:val="20"/>
              </w:rPr>
              <w:t>z_i^{seg}</w:t>
            </w:r>
          </w:p>
        </w:tc>
        <w:tc>
          <w:tcPr>
            <w:tcW w:type="dxa" w:w="4252"/>
            <w:vAlign w:val="center"/>
          </w:tcPr>
          <w:p>
            <w:pPr>
              <w:spacing w:line="300" w:lineRule="auto" w:after="0" w:before="0"/>
              <w:jc w:val="center"/>
            </w:pPr>
            <w:r/>
            <w:r>
              <w:rPr>
                <w:rFonts w:ascii="Times New Roman" w:hAnsi="Times New Roman" w:eastAsia="宋体"/>
                <w:b w:val="0"/>
                <w:sz w:val="20"/>
              </w:rPr>
              <w:t>点级分割特征</w:t>
            </w:r>
          </w:p>
        </w:tc>
        <w:tc>
          <w:tcPr>
            <w:tcW w:type="dxa" w:w="1701"/>
            <w:vAlign w:val="center"/>
          </w:tcPr>
          <w:p>
            <w:pPr>
              <w:spacing w:line="300" w:lineRule="auto" w:after="0" w:before="0"/>
              <w:jc w:val="center"/>
            </w:pPr>
            <w:r/>
            <w:r>
              <w:rPr>
                <w:rFonts w:ascii="Times New Roman" w:hAnsi="Times New Roman" w:eastAsia="宋体"/>
                <w:b w:val="0"/>
                <w:sz w:val="20"/>
              </w:rPr>
              <w:t>分割输出</w:t>
            </w:r>
          </w:p>
        </w:tc>
      </w:tr>
    </w:tbl>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【占位符：建议插入“分类/分割共享底座、不同任务头输出”的关系示意图】</w:t>
            </w:r>
            <w:r>
              <w:br/>
            </w:r>
            <w:r>
              <w:br/>
            </w:r>
          </w:p>
        </w:tc>
      </w:tr>
    </w:tbl>
    <w:p>
      <w:pPr>
        <w:jc w:val="center"/>
      </w:pPr>
      <w:r>
        <w:rPr>
          <w:rFonts w:ascii="Times New Roman" w:hAnsi="Times New Roman" w:eastAsia="宋体"/>
          <w:sz w:val="21"/>
        </w:rPr>
        <w:t>图2-2 任务定义与信息流关系图【占位符】</w:t>
      </w:r>
    </w:p>
    <w:p>
      <w:pPr>
        <w:pStyle w:val="Heading3"/>
      </w:pPr>
      <w:r>
        <w:t>2.2.2 几何—频域联合编码机制</w:t>
      </w:r>
    </w:p>
    <w:p>
      <w:pPr/>
      <w:r>
        <w:rPr>
          <w:rFonts w:ascii="Times New Roman" w:hAnsi="Times New Roman" w:eastAsia="宋体"/>
        </w:rPr>
        <w:t>局部邻域关系是点云表征的核心。然而，仅使用欧氏距离或相对坐标往往难以充分区分局部结构的方向性、曲率变化和边界高频特征，尤其在薄结构、尖锐边缘和高曲率区域，这种不足会导致浅层表示发生特征混叠。为此，本文将邻域编码拆分为“几何关系建模”和“频域增强”两个相互补充的步骤：前者强调局部结构如何组织，后者强调局部变化如何分布。这样的设计一方面提升了 training-free 表示的分辨能力，另一方面也使后续模块无需依赖过深的网络来恢复高频信息。</w:t>
      </w:r>
    </w:p>
    <w:p>
      <w:pPr/>
      <w:r>
        <w:rPr>
          <w:rFonts w:ascii="Times New Roman" w:hAnsi="Times New Roman" w:eastAsia="宋体"/>
        </w:rPr>
        <w:t>对于中心点 p_i 及其邻域点 p_j，首先定义相对位移向量 Δp_{ij}=p_j-p_i。若仅采用 Δp_{ij} 作为邻域描述子，模型只能感知相对位置而缺乏对点对关系整体几何属性的表达。为进一步提升对方向与局部线结构的敏感性，本文引入 Plücker 型线关系编码，将两点间关系表示为方向向量与力矩向量的组合。该表示天然保留了方向、位置和局部结构的联合信息，对于区分“距离相似但几何取向不同”的邻域具有更强判别力。</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r>
                  <m:t>Δ</m:t>
                </m:r>
                <m:sSub>
                  <m:e>
                    <m:r>
                      <m:t>p</m:t>
                    </m:r>
                  </m:e>
                  <m:sub>
                    <m:r>
                      <m:t>i</m:t>
                    </m:r>
                    <m:r>
                      <m:t>j</m:t>
                    </m:r>
                  </m:sub>
                </m:sSub>
                <m:r>
                  <m:rPr>
                    <m:sty m:val="p"/>
                  </m:rPr>
                  <m:t>=</m:t>
                </m:r>
                <m:sSub>
                  <m:e>
                    <m:r>
                      <m:t>p</m:t>
                    </m:r>
                  </m:e>
                  <m:sub>
                    <m:r>
                      <m:t>j</m:t>
                    </m:r>
                  </m:sub>
                </m:sSub>
                <m:r>
                  <m:rPr>
                    <m:sty m:val="p"/>
                  </m:rPr>
                  <m:t>−</m:t>
                </m:r>
                <m:sSub>
                  <m:e>
                    <m:r>
                      <m:t>p</m:t>
                    </m:r>
                  </m:e>
                  <m:sub>
                    <m:r>
                      <m:t>i</m:t>
                    </m:r>
                  </m:sub>
                </m:sSub>
                <m:r>
                  <m:rPr>
                    <m:sty m:val="p"/>
                  </m:rPr>
                  <m:t>,</m:t>
                </m:r>
                <m:r>
                  <m:t> </m:t>
                </m:r>
                <m:sSub>
                  <m:e>
                    <m:r>
                      <m:t>d</m:t>
                    </m:r>
                  </m:e>
                  <m:sub>
                    <m:r>
                      <m:t>i</m:t>
                    </m:r>
                    <m:r>
                      <m:t>j</m:t>
                    </m:r>
                  </m:sub>
                </m:sSub>
                <m:r>
                  <m:rPr>
                    <m:sty m:val="p"/>
                  </m:rPr>
                  <m:t>=</m:t>
                </m:r>
                <m:r>
                  <m:t>Δ</m:t>
                </m:r>
                <m:sSub>
                  <m:e>
                    <m:r>
                      <m:t>p</m:t>
                    </m:r>
                  </m:e>
                  <m:sub>
                    <m:r>
                      <m:t>i</m:t>
                    </m:r>
                    <m:r>
                      <m:t>j</m:t>
                    </m:r>
                  </m:sub>
                </m:sSub>
                <m:r>
                  <m:rPr>
                    <m:sty m:val="p"/>
                  </m:rPr>
                  <m:t>,</m:t>
                </m:r>
                <m:r>
                  <m:t> </m:t>
                </m:r>
                <m:sSub>
                  <m:e>
                    <m:r>
                      <m:t>m</m:t>
                    </m:r>
                  </m:e>
                  <m:sub>
                    <m:r>
                      <m:t>i</m:t>
                    </m:r>
                    <m:r>
                      <m:t>j</m:t>
                    </m:r>
                  </m:sub>
                </m:sSub>
                <m:r>
                  <m:rPr>
                    <m:sty m:val="p"/>
                  </m:rPr>
                  <m:t>=</m:t>
                </m:r>
                <m:sSub>
                  <m:e>
                    <m:r>
                      <m:t>p</m:t>
                    </m:r>
                  </m:e>
                  <m:sub>
                    <m:r>
                      <m:t>i</m:t>
                    </m:r>
                  </m:sub>
                </m:sSub>
                <m:r>
                  <m:rPr>
                    <m:sty m:val="p"/>
                  </m:rPr>
                  <m:t>×</m:t>
                </m:r>
                <m:sSub>
                  <m:e>
                    <m:r>
                      <m:t>p</m:t>
                    </m:r>
                  </m:e>
                  <m:sub>
                    <m:r>
                      <m:t>j</m:t>
                    </m:r>
                  </m:sub>
                </m:sSub>
                <m:r>
                  <m:rPr>
                    <m:sty m:val="p"/>
                  </m:rPr>
                  <m:t>,</m:t>
                </m:r>
                <m:r>
                  <m:t> </m:t>
                </m:r>
                <m:sSub>
                  <m:e>
                    <m:r>
                      <m:t>l</m:t>
                    </m:r>
                  </m:e>
                  <m:sub>
                    <m:r>
                      <m:t>i</m:t>
                    </m:r>
                    <m:r>
                      <m:t>j</m:t>
                    </m:r>
                  </m:sub>
                </m:sSub>
                <m:r>
                  <m:rPr>
                    <m:sty m:val="p"/>
                  </m:rPr>
                  <m:t>=</m:t>
                </m:r>
                <m:d>
                  <m:dPr>
                    <m:begChr m:val="["/>
                    <m:endChr m:val="]"/>
                    <m:sepChr m:val=""/>
                    <m:grow/>
                  </m:dPr>
                  <m:e>
                    <m:sSub>
                      <m:e>
                        <m:r>
                          <m:t>d</m:t>
                        </m:r>
                      </m:e>
                      <m:sub>
                        <m:r>
                          <m:t>i</m:t>
                        </m:r>
                        <m:r>
                          <m:t>j</m:t>
                        </m:r>
                      </m:sub>
                    </m:sSub>
                    <m:r>
                      <m:rPr>
                        <m:sty m:val="p"/>
                      </m:rPr>
                      <m:t>,</m:t>
                    </m:r>
                    <m:sSub>
                      <m:e>
                        <m:r>
                          <m:t>m</m:t>
                        </m:r>
                      </m:e>
                      <m:sub>
                        <m:r>
                          <m:t>i</m:t>
                        </m:r>
                        <m:r>
                          <m:t>j</m:t>
                        </m:r>
                      </m:sub>
                    </m:sSub>
                  </m:e>
                </m:d>
              </m:oMath>
            </m:oMathPara>
          </w:p>
        </w:tc>
        <w:tc>
          <w:tcPr>
            <w:tcW w:type="dxa" w:w="1417"/>
            <w:vAlign w:val="center"/>
            <w:tcMar>
              <w:top w:w="60" w:type="dxa"/>
              <w:bottom w:w="60" w:type="dxa"/>
              <w:left w:w="60" w:type="dxa"/>
              <w:right w:w="60" w:type="dxa"/>
            </w:tcMar>
          </w:tcPr>
          <w:p>
            <w:pPr>
              <w:jc w:val="right"/>
            </w:pPr>
            <w:bookmarkStart w:id="102" w:name="eq2_3"/>
            <w:r>
              <w:rPr>
                <w:rFonts w:ascii="Times New Roman" w:hAnsi="Times New Roman" w:eastAsia="宋体"/>
                <w:sz w:val="21"/>
              </w:rPr>
              <w:t>（2-3）</w:t>
            </w:r>
            <w:bookmarkEnd w:id="102"/>
          </w:p>
        </w:tc>
      </w:tr>
    </w:tbl>
    <w:p>
      <w:pPr/>
      <w:r>
        <w:rPr>
          <w:rFonts w:ascii="Times New Roman" w:hAnsi="Times New Roman" w:eastAsia="宋体"/>
        </w:rPr>
        <w:t>当点云中包含法向量 n_i 与 n_j 时，本文进一步计算法向一致性和法向差分，以增强对曲面连续性与边界突变的区分能力。</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b>
                  <m:e>
                    <m:r>
                      <m:t>s</m:t>
                    </m:r>
                  </m:e>
                  <m:sub>
                    <m:r>
                      <m:t>i</m:t>
                    </m:r>
                    <m:r>
                      <m:t>j</m:t>
                    </m:r>
                  </m:sub>
                </m:sSub>
                <m:r>
                  <m:rPr>
                    <m:sty m:val="p"/>
                  </m:rPr>
                  <m:t>=</m:t>
                </m:r>
                <m:sSubSup>
                  <m:e>
                    <m:r>
                      <m:t>n</m:t>
                    </m:r>
                  </m:e>
                  <m:sub>
                    <m:r>
                      <m:t>i</m:t>
                    </m:r>
                  </m:sub>
                  <m:sup>
                    <m:r>
                      <m:rPr>
                        <m:sty m:val="p"/>
                      </m:rPr>
                      <m:t>⊤</m:t>
                    </m:r>
                  </m:sup>
                </m:sSubSup>
                <m:sSub>
                  <m:e>
                    <m:r>
                      <m:t>n</m:t>
                    </m:r>
                  </m:e>
                  <m:sub>
                    <m:r>
                      <m:t>j</m:t>
                    </m:r>
                  </m:sub>
                </m:sSub>
                <m:r>
                  <m:rPr>
                    <m:sty m:val="p"/>
                  </m:rPr>
                  <m:t>,</m:t>
                </m:r>
                <m:r>
                  <m:t> </m:t>
                </m:r>
                <m:sSub>
                  <m:e>
                    <m:r>
                      <m:t>δ</m:t>
                    </m:r>
                  </m:e>
                  <m:sub>
                    <m:r>
                      <m:t>i</m:t>
                    </m:r>
                    <m:r>
                      <m:t>j</m:t>
                    </m:r>
                  </m:sub>
                </m:sSub>
                <m:r>
                  <m:rPr>
                    <m:sty m:val="p"/>
                  </m:rPr>
                  <m:t>=</m:t>
                </m:r>
                <m:sSub>
                  <m:e>
                    <m:r>
                      <m:t>n</m:t>
                    </m:r>
                  </m:e>
                  <m:sub>
                    <m:r>
                      <m:t>j</m:t>
                    </m:r>
                  </m:sub>
                </m:sSub>
                <m:r>
                  <m:rPr>
                    <m:sty m:val="p"/>
                  </m:rPr>
                  <m:t>−</m:t>
                </m:r>
                <m:sSub>
                  <m:e>
                    <m:r>
                      <m:t>n</m:t>
                    </m:r>
                  </m:e>
                  <m:sub>
                    <m:r>
                      <m:t>i</m:t>
                    </m:r>
                  </m:sub>
                </m:sSub>
              </m:oMath>
            </m:oMathPara>
          </w:p>
        </w:tc>
        <w:tc>
          <w:tcPr>
            <w:tcW w:type="dxa" w:w="1417"/>
            <w:vAlign w:val="center"/>
            <w:tcMar>
              <w:top w:w="60" w:type="dxa"/>
              <w:bottom w:w="60" w:type="dxa"/>
              <w:left w:w="60" w:type="dxa"/>
              <w:right w:w="60" w:type="dxa"/>
            </w:tcMar>
          </w:tcPr>
          <w:p>
            <w:pPr>
              <w:jc w:val="right"/>
            </w:pPr>
            <w:bookmarkStart w:id="103" w:name="eq2_4"/>
            <w:r>
              <w:rPr>
                <w:rFonts w:ascii="Times New Roman" w:hAnsi="Times New Roman" w:eastAsia="宋体"/>
                <w:sz w:val="21"/>
              </w:rPr>
              <w:t>（2-4）</w:t>
            </w:r>
            <w:bookmarkEnd w:id="103"/>
          </w:p>
        </w:tc>
      </w:tr>
    </w:tbl>
    <w:p>
      <w:pPr/>
      <w:r>
        <w:rPr>
          <w:rFonts w:ascii="Times New Roman" w:hAnsi="Times New Roman" w:eastAsia="宋体"/>
        </w:rPr>
        <w:t>仅依靠几何关系仍然存在频谱偏置问题，即浅层模型更容易拟合低频结构，而对边界、尖锐转折和局部细节响应不足。参考 Fourier Feature Mapping 的思想，本文对线关系向量 l_{ij} 施加多尺度周期映射，将原本位于低维坐标空间的局部关系提升到更具分辨率的高维频域空间。</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r>
                  <m:t>γ</m:t>
                </m:r>
                <m:d>
                  <m:dPr>
                    <m:begChr m:val="("/>
                    <m:endChr m:val=")"/>
                    <m:sepChr m:val=""/>
                    <m:grow/>
                  </m:dPr>
                  <m:e>
                    <m:sSub>
                      <m:e>
                        <m:r>
                          <m:t>l</m:t>
                        </m:r>
                      </m:e>
                      <m:sub>
                        <m:r>
                          <m:t>i</m:t>
                        </m:r>
                        <m:r>
                          <m:t>j</m:t>
                        </m:r>
                      </m:sub>
                    </m:sSub>
                  </m:e>
                </m:d>
                <m:r>
                  <m:rPr>
                    <m:sty m:val="p"/>
                  </m:rPr>
                  <m:t>=</m:t>
                </m:r>
                <m:d>
                  <m:dPr>
                    <m:begChr m:val="["/>
                    <m:endChr m:val="]"/>
                    <m:sepChr m:val=""/>
                    <m:grow/>
                  </m:dPr>
                  <m:e>
                    <m:r>
                      <m:rPr>
                        <m:sty m:val="p"/>
                      </m:rPr>
                      <m:t>sin</m:t>
                    </m:r>
                    <m:d>
                      <m:dPr>
                        <m:begChr m:val="("/>
                        <m:endChr m:val=")"/>
                        <m:sepChr m:val=""/>
                        <m:grow/>
                      </m:dPr>
                      <m:e>
                        <m:sSup>
                          <m:e>
                            <m:r>
                              <m:t>2</m:t>
                            </m:r>
                          </m:e>
                          <m:sup>
                            <m:r>
                              <m:t>0</m:t>
                            </m:r>
                          </m:sup>
                        </m:sSup>
                        <m:r>
                          <m:t>π</m:t>
                        </m:r>
                        <m:sSub>
                          <m:e>
                            <m:r>
                              <m:t>l</m:t>
                            </m:r>
                          </m:e>
                          <m:sub>
                            <m:r>
                              <m:t>i</m:t>
                            </m:r>
                            <m:r>
                              <m:t>j</m:t>
                            </m:r>
                          </m:sub>
                        </m:sSub>
                      </m:e>
                    </m:d>
                    <m:r>
                      <m:rPr>
                        <m:sty m:val="p"/>
                      </m:rPr>
                      <m:t>,</m:t>
                    </m:r>
                    <m:r>
                      <m:rPr>
                        <m:sty m:val="p"/>
                      </m:rPr>
                      <m:t>cos</m:t>
                    </m:r>
                    <m:d>
                      <m:dPr>
                        <m:begChr m:val="("/>
                        <m:endChr m:val=")"/>
                        <m:sepChr m:val=""/>
                        <m:grow/>
                      </m:dPr>
                      <m:e>
                        <m:sSup>
                          <m:e>
                            <m:r>
                              <m:t>2</m:t>
                            </m:r>
                          </m:e>
                          <m:sup>
                            <m:r>
                              <m:t>0</m:t>
                            </m:r>
                          </m:sup>
                        </m:sSup>
                        <m:r>
                          <m:t>π</m:t>
                        </m:r>
                        <m:sSub>
                          <m:e>
                            <m:r>
                              <m:t>l</m:t>
                            </m:r>
                          </m:e>
                          <m:sub>
                            <m:r>
                              <m:t>i</m:t>
                            </m:r>
                            <m:r>
                              <m:t>j</m:t>
                            </m:r>
                          </m:sub>
                        </m:sSub>
                      </m:e>
                    </m:d>
                    <m:r>
                      <m:rPr>
                        <m:sty m:val="p"/>
                      </m:rPr>
                      <m:t>,</m:t>
                    </m:r>
                    <m:r>
                      <m:rPr>
                        <m:sty m:val="p"/>
                      </m:rPr>
                      <m:t>…</m:t>
                    </m:r>
                    <m:r>
                      <m:rPr>
                        <m:sty m:val="p"/>
                      </m:rPr>
                      <m:t>,</m:t>
                    </m:r>
                    <m:r>
                      <m:rPr>
                        <m:sty m:val="p"/>
                      </m:rPr>
                      <m:t>sin</m:t>
                    </m:r>
                    <m:d>
                      <m:dPr>
                        <m:begChr m:val="("/>
                        <m:endChr m:val=")"/>
                        <m:sepChr m:val=""/>
                        <m:grow/>
                      </m:dPr>
                      <m:e>
                        <m:sSup>
                          <m:e>
                            <m:r>
                              <m:t>2</m:t>
                            </m:r>
                          </m:e>
                          <m:sup>
                            <m:sSub>
                              <m:e>
                                <m:r>
                                  <m:t>L</m:t>
                                </m:r>
                              </m:e>
                              <m:sub>
                                <m:r>
                                  <m:t>f</m:t>
                                </m:r>
                              </m:sub>
                            </m:sSub>
                            <m:r>
                              <m:rPr>
                                <m:sty m:val="p"/>
                              </m:rPr>
                              <m:t>−</m:t>
                            </m:r>
                            <m:r>
                              <m:t>1</m:t>
                            </m:r>
                          </m:sup>
                        </m:sSup>
                        <m:r>
                          <m:t>π</m:t>
                        </m:r>
                        <m:sSub>
                          <m:e>
                            <m:r>
                              <m:t>l</m:t>
                            </m:r>
                          </m:e>
                          <m:sub>
                            <m:r>
                              <m:t>i</m:t>
                            </m:r>
                            <m:r>
                              <m:t>j</m:t>
                            </m:r>
                          </m:sub>
                        </m:sSub>
                      </m:e>
                    </m:d>
                    <m:r>
                      <m:rPr>
                        <m:sty m:val="p"/>
                      </m:rPr>
                      <m:t>,</m:t>
                    </m:r>
                    <m:r>
                      <m:rPr>
                        <m:sty m:val="p"/>
                      </m:rPr>
                      <m:t>cos</m:t>
                    </m:r>
                    <m:d>
                      <m:dPr>
                        <m:begChr m:val="("/>
                        <m:endChr m:val=")"/>
                        <m:sepChr m:val=""/>
                        <m:grow/>
                      </m:dPr>
                      <m:e>
                        <m:sSup>
                          <m:e>
                            <m:r>
                              <m:t>2</m:t>
                            </m:r>
                          </m:e>
                          <m:sup>
                            <m:sSub>
                              <m:e>
                                <m:r>
                                  <m:t>L</m:t>
                                </m:r>
                              </m:e>
                              <m:sub>
                                <m:r>
                                  <m:t>f</m:t>
                                </m:r>
                              </m:sub>
                            </m:sSub>
                            <m:r>
                              <m:rPr>
                                <m:sty m:val="p"/>
                              </m:rPr>
                              <m:t>−</m:t>
                            </m:r>
                            <m:r>
                              <m:t>1</m:t>
                            </m:r>
                          </m:sup>
                        </m:sSup>
                        <m:r>
                          <m:t>π</m:t>
                        </m:r>
                        <m:sSub>
                          <m:e>
                            <m:r>
                              <m:t>l</m:t>
                            </m:r>
                          </m:e>
                          <m:sub>
                            <m:r>
                              <m:t>i</m:t>
                            </m:r>
                            <m:r>
                              <m:t>j</m:t>
                            </m:r>
                          </m:sub>
                        </m:sSub>
                      </m:e>
                    </m:d>
                  </m:e>
                </m:d>
              </m:oMath>
            </m:oMathPara>
          </w:p>
        </w:tc>
        <w:tc>
          <w:tcPr>
            <w:tcW w:type="dxa" w:w="1417"/>
            <w:vAlign w:val="center"/>
            <w:tcMar>
              <w:top w:w="60" w:type="dxa"/>
              <w:bottom w:w="60" w:type="dxa"/>
              <w:left w:w="60" w:type="dxa"/>
              <w:right w:w="60" w:type="dxa"/>
            </w:tcMar>
          </w:tcPr>
          <w:p>
            <w:pPr>
              <w:jc w:val="right"/>
            </w:pPr>
            <w:bookmarkStart w:id="104" w:name="eq2_5"/>
            <w:r>
              <w:rPr>
                <w:rFonts w:ascii="Times New Roman" w:hAnsi="Times New Roman" w:eastAsia="宋体"/>
                <w:sz w:val="21"/>
              </w:rPr>
              <w:t>（2-5）</w:t>
            </w:r>
            <w:bookmarkEnd w:id="104"/>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b>
                  <m:e>
                    <m:r>
                      <m:t>r</m:t>
                    </m:r>
                  </m:e>
                  <m:sub>
                    <m:r>
                      <m:t>i</m:t>
                    </m:r>
                    <m:r>
                      <m:t>j</m:t>
                    </m:r>
                  </m:sub>
                </m:sSub>
                <m:r>
                  <m:rPr>
                    <m:sty m:val="p"/>
                  </m:rPr>
                  <m:t>=</m:t>
                </m:r>
                <m:d>
                  <m:dPr>
                    <m:begChr m:val="["/>
                    <m:endChr m:val="]"/>
                    <m:sepChr m:val=""/>
                    <m:grow/>
                  </m:dPr>
                  <m:e>
                    <m:r>
                      <m:t>Δ</m:t>
                    </m:r>
                    <m:sSub>
                      <m:e>
                        <m:r>
                          <m:t>p</m:t>
                        </m:r>
                      </m:e>
                      <m:sub>
                        <m:r>
                          <m:t>i</m:t>
                        </m:r>
                        <m:r>
                          <m:t>j</m:t>
                        </m:r>
                      </m:sub>
                    </m:sSub>
                    <m:r>
                      <m:rPr>
                        <m:sty m:val="p"/>
                      </m:rPr>
                      <m:t>,</m:t>
                    </m:r>
                    <m:r>
                      <m:t> </m:t>
                    </m:r>
                    <m:r>
                      <m:rPr>
                        <m:sty m:val="p"/>
                      </m:rPr>
                      <m:t>∥</m:t>
                    </m:r>
                    <m:r>
                      <m:t>Δ</m:t>
                    </m:r>
                    <m:sSub>
                      <m:e>
                        <m:r>
                          <m:t>p</m:t>
                        </m:r>
                      </m:e>
                      <m:sub>
                        <m:r>
                          <m:t>i</m:t>
                        </m:r>
                        <m:r>
                          <m:t>j</m:t>
                        </m:r>
                      </m:sub>
                    </m:sSub>
                    <m:sSub>
                      <m:e>
                        <m:r>
                          <m:rPr>
                            <m:sty m:val="p"/>
                          </m:rPr>
                          <m:t>∥</m:t>
                        </m:r>
                      </m:e>
                      <m:sub>
                        <m:r>
                          <m:t>2</m:t>
                        </m:r>
                      </m:sub>
                    </m:sSub>
                    <m:r>
                      <m:rPr>
                        <m:sty m:val="p"/>
                      </m:rPr>
                      <m:t>,</m:t>
                    </m:r>
                    <m:r>
                      <m:t> </m:t>
                    </m:r>
                    <m:sSub>
                      <m:e>
                        <m:r>
                          <m:t>s</m:t>
                        </m:r>
                      </m:e>
                      <m:sub>
                        <m:r>
                          <m:t>i</m:t>
                        </m:r>
                        <m:r>
                          <m:t>j</m:t>
                        </m:r>
                      </m:sub>
                    </m:sSub>
                    <m:r>
                      <m:rPr>
                        <m:sty m:val="p"/>
                      </m:rPr>
                      <m:t>,</m:t>
                    </m:r>
                    <m:r>
                      <m:t> </m:t>
                    </m:r>
                    <m:sSub>
                      <m:e>
                        <m:r>
                          <m:t>δ</m:t>
                        </m:r>
                      </m:e>
                      <m:sub>
                        <m:r>
                          <m:t>i</m:t>
                        </m:r>
                        <m:r>
                          <m:t>j</m:t>
                        </m:r>
                      </m:sub>
                    </m:sSub>
                    <m:r>
                      <m:rPr>
                        <m:sty m:val="p"/>
                      </m:rPr>
                      <m:t>,</m:t>
                    </m:r>
                    <m:r>
                      <m:t> </m:t>
                    </m:r>
                    <m:r>
                      <m:t>γ</m:t>
                    </m:r>
                    <m:d>
                      <m:dPr>
                        <m:begChr m:val="("/>
                        <m:endChr m:val=")"/>
                        <m:sepChr m:val=""/>
                        <m:grow/>
                      </m:dPr>
                      <m:e>
                        <m:sSub>
                          <m:e>
                            <m:r>
                              <m:t>l</m:t>
                            </m:r>
                          </m:e>
                          <m:sub>
                            <m:r>
                              <m:t>i</m:t>
                            </m:r>
                            <m:r>
                              <m:t>j</m:t>
                            </m:r>
                          </m:sub>
                        </m:sSub>
                      </m:e>
                    </m:d>
                  </m:e>
                </m:d>
              </m:oMath>
            </m:oMathPara>
          </w:p>
        </w:tc>
        <w:tc>
          <w:tcPr>
            <w:tcW w:type="dxa" w:w="1417"/>
            <w:vAlign w:val="center"/>
            <w:tcMar>
              <w:top w:w="60" w:type="dxa"/>
              <w:bottom w:w="60" w:type="dxa"/>
              <w:left w:w="60" w:type="dxa"/>
              <w:right w:w="60" w:type="dxa"/>
            </w:tcMar>
          </w:tcPr>
          <w:p>
            <w:pPr>
              <w:jc w:val="right"/>
            </w:pPr>
            <w:bookmarkStart w:id="105" w:name="eq2_6"/>
            <w:r>
              <w:rPr>
                <w:rFonts w:ascii="Times New Roman" w:hAnsi="Times New Roman" w:eastAsia="宋体"/>
                <w:sz w:val="21"/>
              </w:rPr>
              <w:t>（2-6）</w:t>
            </w:r>
            <w:bookmarkEnd w:id="105"/>
          </w:p>
        </w:tc>
      </w:tr>
    </w:tbl>
    <w:p>
      <w:pPr/>
      <w:r>
        <w:rPr>
          <w:rFonts w:ascii="Times New Roman" w:hAnsi="Times New Roman" w:eastAsia="宋体"/>
        </w:rPr>
        <w:t>式（2-5）通过多尺度周期基函数显式引入高频分量，式（2-6）则将位移、法向与频域映射统一到同一关系描述子中。该描述方式有两方面意义：其一，几何信号的表达从单点坐标扩展到点—线—局部面片关系，使模型能够更稳健地表示复杂曲面；其二，高频映射在训练自由条件下补偿了浅层方法的频域表达不足，为后续轻量聚合提供更加清晰的结构边界。正因如此，本章方法能够在不扩大参数规模的情况下提升分类与分割中的局部判别性。</w:t>
      </w:r>
    </w:p>
    <w:p>
      <w:pPr/>
      <w:r>
        <w:rPr>
          <w:rFonts w:ascii="Times New Roman" w:hAnsi="Times New Roman" w:eastAsia="宋体"/>
        </w:rPr>
        <w:t>从全文角度看，这一几何—频域联合编码机制还承担了“统一底座”的作用。第三章的跨模态点级对齐需要一个几何稳定、可解释的三维锚点，第四章的局部参考框架配准与显式高斯扩展同样需要具备方向和结构敏感性的局部表示。相比完全依赖大规模训练得到的隐式特征，式（2-3）至式（2-6）给出的关系编码更便于分析其几何含义，也更适合在后续章节中被复用。</w:t>
      </w:r>
    </w:p>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【占位符：建议插入“相对位移、Plücker线关系、法向一致性、Fourier映射”的层级示意图】</w:t>
            </w:r>
            <w:r>
              <w:br/>
            </w:r>
            <w:r>
              <w:br/>
            </w:r>
          </w:p>
        </w:tc>
      </w:tr>
    </w:tbl>
    <w:p>
      <w:pPr>
        <w:jc w:val="center"/>
      </w:pPr>
      <w:r>
        <w:rPr>
          <w:rFonts w:ascii="Times New Roman" w:hAnsi="Times New Roman" w:eastAsia="宋体"/>
          <w:sz w:val="21"/>
        </w:rPr>
        <w:t>图2-3 几何—频域联合编码示意图【占位符】</w:t>
      </w:r>
    </w:p>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【占位符：建议插入“边界区域/高曲率区域的特征响应对比图”】</w:t>
            </w:r>
            <w:r>
              <w:br/>
            </w:r>
            <w:r>
              <w:br/>
            </w:r>
          </w:p>
        </w:tc>
      </w:tr>
    </w:tbl>
    <w:p>
      <w:pPr>
        <w:jc w:val="center"/>
      </w:pPr>
      <w:r>
        <w:rPr>
          <w:rFonts w:ascii="Times New Roman" w:hAnsi="Times New Roman" w:eastAsia="宋体"/>
          <w:sz w:val="21"/>
        </w:rPr>
        <w:t>图2-4 几何编码与频域编码的互补作用可视化【占位符】</w:t>
      </w:r>
    </w:p>
    <w:p>
      <w:pPr>
        <w:pStyle w:val="Heading3"/>
      </w:pPr>
      <w:r>
        <w:t>2.2.3 训练自由轻量邻域聚合与多尺度特征融合</w:t>
      </w:r>
    </w:p>
    <w:p>
      <w:pPr/>
      <w:r>
        <w:rPr>
          <w:rFonts w:ascii="Times New Roman" w:hAnsi="Times New Roman" w:eastAsia="宋体"/>
        </w:rPr>
        <w:t>在完成邻域关系编码之后，如何以较低复杂度完成信息聚合，是本章方法设计的第二个关键问题。全局自注意力虽然能够捕获长程依赖，但其时间与显存开销通常随点数平方增长，不适合作为本文轻量化研究的基础模块。为此，本文采用“分层采样 + 局部邻域构建 + 核权重聚合”的策略：首先利用最远点采样构建金字塔式点集层级，再通过 k 近邻获得每一层中的局部邻域，随后根据关系描述子 r_{ij} 计算非参数核权重，并以此完成邻域特征融合。该策略以显式几何关系替代了大规模 Query–Key–Value 投影，因此更适合资源受限和 training-free 条件。</w:t>
      </w:r>
    </w:p>
    <w:p>
      <w:pPr/>
      <w:r>
        <w:rPr>
          <w:rFonts w:ascii="Times New Roman" w:hAnsi="Times New Roman" w:eastAsia="宋体"/>
        </w:rPr>
        <w:t>设第 l 层中心点特征为 h_i^{(l)}，邻域点特征为 h_j^{(l)}，则本文将核权重定义为与关系描述子范数相关的归一化高斯函数。与完全学习式注意力不同，这一权重不依赖额外的投影矩阵，而由局部几何统计直接驱动，因此其参数量和训练成本几乎可以忽略。</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b>
                  <m:e>
                    <m:r>
                      <m:t>α</m:t>
                    </m:r>
                  </m:e>
                  <m:sub>
                    <m:r>
                      <m:t>i</m:t>
                    </m:r>
                    <m:r>
                      <m:t>j</m:t>
                    </m:r>
                  </m:sub>
                </m:sSub>
                <m:r>
                  <m:rPr>
                    <m:sty m:val="p"/>
                  </m:rPr>
                  <m:t>=</m:t>
                </m:r>
                <m:f>
                  <m:fPr>
                    <m:type m:val="bar"/>
                  </m:fPr>
                  <m:num>
                    <m:r>
                      <m:rPr>
                        <m:sty m:val="p"/>
                      </m:rPr>
                      <m:t>exp</m:t>
                    </m:r>
                    <m:r>
                      <m:t>​</m:t>
                    </m:r>
                    <m:d>
                      <m:dPr>
                        <m:begChr m:val="("/>
                        <m:endChr m:val=")"/>
                        <m:sepChr m:val=""/>
                        <m:grow/>
                      </m:dPr>
                      <m:e>
                        <m:r>
                          <m:rPr>
                            <m:sty m:val="p"/>
                          </m:rPr>
                          <m:t>−</m:t>
                        </m:r>
                        <m:r>
                          <m:rPr>
                            <m:sty m:val="p"/>
                          </m:rPr>
                          <m:t>∥</m:t>
                        </m:r>
                        <m:sSub>
                          <m:e>
                            <m:r>
                              <m:t>r</m:t>
                            </m:r>
                          </m:e>
                          <m:sub>
                            <m:r>
                              <m:t>i</m:t>
                            </m:r>
                            <m:r>
                              <m:t>j</m:t>
                            </m:r>
                          </m:sub>
                        </m:sSub>
                        <m:sSubSup>
                          <m:e>
                            <m:r>
                              <m:rPr>
                                <m:sty m:val="p"/>
                              </m:rPr>
                              <m:t>∥</m:t>
                            </m:r>
                          </m:e>
                          <m:sub>
                            <m:r>
                              <m:t>2</m:t>
                            </m:r>
                          </m:sub>
                          <m:sup>
                            <m:r>
                              <m:t>2</m:t>
                            </m:r>
                          </m:sup>
                        </m:sSubSup>
                        <m:r>
                          <m:rPr>
                            <m:sty m:val="p"/>
                          </m:rPr>
                          <m:t>/</m:t>
                        </m:r>
                        <m:sSubSup>
                          <m:e>
                            <m:r>
                              <m:t>σ</m:t>
                            </m:r>
                          </m:e>
                          <m:sub>
                            <m:r>
                              <m:t>i</m:t>
                            </m:r>
                          </m:sub>
                          <m:sup>
                            <m:r>
                              <m:t>2</m:t>
                            </m:r>
                          </m:sup>
                        </m:sSubSup>
                      </m:e>
                    </m:d>
                  </m:num>
                  <m:den>
                    <m:nary>
                      <m:naryPr>
                        <m:chr m:val="∑"/>
                        <m:limLoc m:val="undOvr"/>
                        <m:subHide m:val="off"/>
                        <m:supHide m:val="on"/>
                      </m:naryPr>
                      <m:sub>
                        <m:r>
                          <m:t>t</m:t>
                        </m:r>
                        <m:r>
                          <m:rPr>
                            <m:sty m:val="p"/>
                          </m:rPr>
                          <m:t>∈</m:t>
                        </m:r>
                        <m:r>
                          <m:rPr>
                            <m:sty m:val="p"/>
                            <m:scr m:val="script"/>
                          </m:rPr>
                          <m:t>N</m:t>
                        </m:r>
                        <m:d>
                          <m:dPr>
                            <m:begChr m:val="("/>
                            <m:endChr m:val=")"/>
                            <m:sepChr m:val=""/>
                            <m:grow/>
                          </m:dPr>
                          <m:e>
                            <m:r>
                              <m:t>i</m:t>
                            </m:r>
                          </m:e>
                        </m:d>
                      </m:sub>
                      <m:sup>
                        <m:r>
                          <m:t>​</m:t>
                        </m:r>
                      </m:sup>
                      <m:e>
                        <m:r>
                          <m:rPr>
                            <m:sty m:val="p"/>
                          </m:rPr>
                          <m:t>exp</m:t>
                        </m:r>
                      </m:e>
                    </m:nary>
                    <m:r>
                      <m:t>​</m:t>
                    </m:r>
                    <m:d>
                      <m:dPr>
                        <m:begChr m:val="("/>
                        <m:endChr m:val=")"/>
                        <m:sepChr m:val=""/>
                        <m:grow/>
                      </m:dPr>
                      <m:e>
                        <m:r>
                          <m:rPr>
                            <m:sty m:val="p"/>
                          </m:rPr>
                          <m:t>−</m:t>
                        </m:r>
                        <m:r>
                          <m:rPr>
                            <m:sty m:val="p"/>
                          </m:rPr>
                          <m:t>∥</m:t>
                        </m:r>
                        <m:sSub>
                          <m:e>
                            <m:r>
                              <m:t>r</m:t>
                            </m:r>
                          </m:e>
                          <m:sub>
                            <m:r>
                              <m:t>i</m:t>
                            </m:r>
                            <m:r>
                              <m:t>t</m:t>
                            </m:r>
                          </m:sub>
                        </m:sSub>
                        <m:sSubSup>
                          <m:e>
                            <m:r>
                              <m:rPr>
                                <m:sty m:val="p"/>
                              </m:rPr>
                              <m:t>∥</m:t>
                            </m:r>
                          </m:e>
                          <m:sub>
                            <m:r>
                              <m:t>2</m:t>
                            </m:r>
                          </m:sub>
                          <m:sup>
                            <m:r>
                              <m:t>2</m:t>
                            </m:r>
                          </m:sup>
                        </m:sSubSup>
                        <m:r>
                          <m:rPr>
                            <m:sty m:val="p"/>
                          </m:rPr>
                          <m:t>/</m:t>
                        </m:r>
                        <m:sSubSup>
                          <m:e>
                            <m:r>
                              <m:t>σ</m:t>
                            </m:r>
                          </m:e>
                          <m:sub>
                            <m:r>
                              <m:t>i</m:t>
                            </m:r>
                          </m:sub>
                          <m:sup>
                            <m:r>
                              <m:t>2</m:t>
                            </m:r>
                          </m:sup>
                        </m:sSubSup>
                      </m:e>
                    </m:d>
                  </m:den>
                </m:f>
              </m:oMath>
            </m:oMathPara>
          </w:p>
        </w:tc>
        <w:tc>
          <w:tcPr>
            <w:tcW w:type="dxa" w:w="1417"/>
            <w:vAlign w:val="center"/>
            <w:tcMar>
              <w:top w:w="60" w:type="dxa"/>
              <w:bottom w:w="60" w:type="dxa"/>
              <w:left w:w="60" w:type="dxa"/>
              <w:right w:w="60" w:type="dxa"/>
            </w:tcMar>
          </w:tcPr>
          <w:p>
            <w:pPr>
              <w:jc w:val="right"/>
            </w:pPr>
            <w:bookmarkStart w:id="106" w:name="eq2_7"/>
            <w:r>
              <w:rPr>
                <w:rFonts w:ascii="Times New Roman" w:hAnsi="Times New Roman" w:eastAsia="宋体"/>
                <w:sz w:val="21"/>
              </w:rPr>
              <w:t>（2-7）</w:t>
            </w:r>
            <w:bookmarkEnd w:id="106"/>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bSup>
                  <m:e>
                    <m:r>
                      <m:t>h</m:t>
                    </m:r>
                  </m:e>
                  <m:sub>
                    <m:r>
                      <m:t>i</m:t>
                    </m:r>
                  </m:sub>
                  <m:sup>
                    <m:d>
                      <m:dPr>
                        <m:begChr m:val="("/>
                        <m:endChr m:val=")"/>
                        <m:sepChr m:val=""/>
                        <m:grow/>
                      </m:dPr>
                      <m:e>
                        <m:r>
                          <m:t>l</m:t>
                        </m:r>
                        <m:r>
                          <m:rPr>
                            <m:sty m:val="p"/>
                          </m:rPr>
                          <m:t>+</m:t>
                        </m:r>
                        <m:r>
                          <m:t>1</m:t>
                        </m:r>
                      </m:e>
                    </m:d>
                  </m:sup>
                </m:sSubSup>
                <m:r>
                  <m:rPr>
                    <m:sty m:val="p"/>
                  </m:rPr>
                  <m: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α</m:t>
                        </m:r>
                      </m:e>
                      <m:sub>
                        <m:r>
                          <m:t>i</m:t>
                        </m:r>
                        <m:r>
                          <m:t>j</m:t>
                        </m:r>
                      </m:sub>
                    </m:sSub>
                  </m:e>
                </m:nary>
                <m:r>
                  <m:t> </m:t>
                </m:r>
                <m:r>
                  <m:t>ϕ</m:t>
                </m:r>
                <m:r>
                  <m:t>​</m:t>
                </m:r>
                <m:d>
                  <m:dPr>
                    <m:begChr m:val="("/>
                    <m:endChr m:val=")"/>
                    <m:sepChr m:val=""/>
                    <m:grow/>
                  </m:dPr>
                  <m:e>
                    <m:d>
                      <m:dPr>
                        <m:begChr m:val="["/>
                        <m:endChr m:val="]"/>
                        <m:sepChr m:val=""/>
                        <m:grow/>
                      </m:dPr>
                      <m:e>
                        <m:r>
                          <m:t> </m:t>
                        </m:r>
                        <m:sSubSup>
                          <m:e>
                            <m:r>
                              <m:t>h</m:t>
                            </m:r>
                          </m:e>
                          <m:sub>
                            <m:r>
                              <m:t>j</m:t>
                            </m:r>
                          </m:sub>
                          <m:sup>
                            <m:d>
                              <m:dPr>
                                <m:begChr m:val="("/>
                                <m:endChr m:val=")"/>
                                <m:sepChr m:val=""/>
                                <m:grow/>
                              </m:dPr>
                              <m:e>
                                <m:r>
                                  <m:t>l</m:t>
                                </m:r>
                              </m:e>
                            </m:d>
                          </m:sup>
                        </m:sSubSup>
                        <m:r>
                          <m:rPr>
                            <m:sty m:val="p"/>
                          </m:rPr>
                          <m:t>−</m:t>
                        </m:r>
                        <m:sSubSup>
                          <m:e>
                            <m:r>
                              <m:t>h</m:t>
                            </m:r>
                          </m:e>
                          <m:sub>
                            <m:r>
                              <m:t>i</m:t>
                            </m:r>
                          </m:sub>
                          <m:sup>
                            <m:d>
                              <m:dPr>
                                <m:begChr m:val="("/>
                                <m:endChr m:val=")"/>
                                <m:sepChr m:val=""/>
                                <m:grow/>
                              </m:dPr>
                              <m:e>
                                <m:r>
                                  <m:t>l</m:t>
                                </m:r>
                              </m:e>
                            </m:d>
                          </m:sup>
                        </m:sSubSup>
                        <m:r>
                          <m:rPr>
                            <m:sty m:val="p"/>
                          </m:rPr>
                          <m:t>,</m:t>
                        </m:r>
                        <m:r>
                          <m:t> </m:t>
                        </m:r>
                        <m:sSub>
                          <m:e>
                            <m:r>
                              <m:t>r</m:t>
                            </m:r>
                          </m:e>
                          <m:sub>
                            <m:r>
                              <m:t>i</m:t>
                            </m:r>
                            <m:r>
                              <m:t>j</m:t>
                            </m:r>
                          </m:sub>
                        </m:sSub>
                        <m:r>
                          <m:t> </m:t>
                        </m:r>
                      </m:e>
                    </m:d>
                  </m:e>
                </m:d>
              </m:oMath>
            </m:oMathPara>
          </w:p>
        </w:tc>
        <w:tc>
          <w:tcPr>
            <w:tcW w:type="dxa" w:w="1417"/>
            <w:vAlign w:val="center"/>
            <w:tcMar>
              <w:top w:w="60" w:type="dxa"/>
              <w:bottom w:w="60" w:type="dxa"/>
              <w:left w:w="60" w:type="dxa"/>
              <w:right w:w="60" w:type="dxa"/>
            </w:tcMar>
          </w:tcPr>
          <w:p>
            <w:pPr>
              <w:jc w:val="right"/>
            </w:pPr>
            <w:bookmarkStart w:id="107" w:name="eq2_8"/>
            <w:r>
              <w:rPr>
                <w:rFonts w:ascii="Times New Roman" w:hAnsi="Times New Roman" w:eastAsia="宋体"/>
                <w:sz w:val="21"/>
              </w:rPr>
              <w:t>（2-8）</w:t>
            </w:r>
            <w:bookmarkEnd w:id="107"/>
          </w:p>
        </w:tc>
      </w:tr>
    </w:tbl>
    <w:p>
      <w:pPr/>
      <w:r>
        <w:rPr>
          <w:rFonts w:ascii="Times New Roman" w:hAnsi="Times New Roman" w:eastAsia="宋体"/>
        </w:rPr>
        <w:t>式（2-7）和式（2-8）表明，本章方法中的邻域聚合本质上是一种“几何关系驱动的轻量注意”机制：它保留了对不同邻域点贡献进行差异化建模的能力，但避免了标准注意力在大点数条件下的高阶复杂度。与此同时，本文不将所有点仅视为单一尺度上的局部集合，而是通过分层采样获得浅层—中层—深层的金字塔表示，使浅层特征负责局部边界与高频细节，中层特征承担局部几何组合，深层特征聚合对象轮廓与全局上下文。</w:t>
      </w:r>
    </w:p>
    <w:p>
      <w:pPr/>
      <w:r>
        <w:rPr>
          <w:rFonts w:ascii="Times New Roman" w:hAnsi="Times New Roman" w:eastAsia="宋体"/>
        </w:rPr>
        <w:t>为了减少浅层表示在多尺度融合中被过度平滑的风险，本文进一步引入 k 自适应法向池化机制。其基本思想是：当局部区域曲率变化较大或法向差异明显时，池化范围应适当减小，以避免跨边界聚合；当区域趋于平坦且重复性较强时，则可以适度扩大池化范围，以增强全局稳定性。通过这种方式，多尺度融合不再是固定窗口的机械叠加，而成为一种受局部几何统计约束的自适应汇聚过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b>
                  <m:e>
                    <m:acc>
                      <m:accPr>
                        <m:chr m:val="̃"/>
                      </m:accPr>
                      <m:e>
                        <m:r>
                          <m:t>h</m:t>
                        </m:r>
                      </m:e>
                    </m:acc>
                  </m:e>
                  <m:sub>
                    <m:r>
                      <m:t>i</m:t>
                    </m:r>
                  </m:sub>
                </m:sSub>
                <m:r>
                  <m:rPr>
                    <m:sty m:val="p"/>
                  </m:rPr>
                  <m:t>=</m:t>
                </m:r>
                <m:nary>
                  <m:naryPr>
                    <m:chr m:val="∑"/>
                    <m:limLoc m:val="undOvr"/>
                    <m:subHide m:val="off"/>
                    <m:supHide m:val="off"/>
                  </m:naryPr>
                  <m:sub>
                    <m:r>
                      <m:t>s</m:t>
                    </m:r>
                    <m:r>
                      <m:rPr>
                        <m:sty m:val="p"/>
                      </m:rPr>
                      <m:t>=</m:t>
                    </m:r>
                    <m:r>
                      <m:t>1</m:t>
                    </m:r>
                  </m:sub>
                  <m:sup>
                    <m:r>
                      <m:t>S</m:t>
                    </m:r>
                  </m:sup>
                  <m:e>
                    <m:sSubSup>
                      <m:e>
                        <m:r>
                          <m:t>β</m:t>
                        </m:r>
                      </m:e>
                      <m:sub>
                        <m:r>
                          <m:t>i</m:t>
                        </m:r>
                      </m:sub>
                      <m:sup>
                        <m:d>
                          <m:dPr>
                            <m:begChr m:val="("/>
                            <m:endChr m:val=")"/>
                            <m:sepChr m:val=""/>
                            <m:grow/>
                          </m:dPr>
                          <m:e>
                            <m:r>
                              <m:t>s</m:t>
                            </m:r>
                          </m:e>
                        </m:d>
                      </m:sup>
                    </m:sSubSup>
                  </m:e>
                </m:nary>
                <m:r>
                  <m:t> </m:t>
                </m:r>
                <m:sSub>
                  <m:e>
                    <m:r>
                      <m:rPr>
                        <m:sty m:val="p"/>
                      </m:rPr>
                      <m:t>P</m:t>
                    </m:r>
                    <m:r>
                      <m:rPr>
                        <m:sty m:val="p"/>
                      </m:rPr>
                      <m:t>o</m:t>
                    </m:r>
                    <m:r>
                      <m:rPr>
                        <m:sty m:val="p"/>
                      </m:rPr>
                      <m:t>o</m:t>
                    </m:r>
                    <m:r>
                      <m:rPr>
                        <m:sty m:val="p"/>
                      </m:rPr>
                      <m:t>l</m:t>
                    </m:r>
                  </m:e>
                  <m:sub>
                    <m:r>
                      <m:t>s</m:t>
                    </m:r>
                  </m:sub>
                </m:sSub>
                <m:r>
                  <m:t>​</m:t>
                </m:r>
                <m:d>
                  <m:dPr>
                    <m:begChr m:val="("/>
                    <m:endChr m:val=")"/>
                    <m:sepChr m:val=""/>
                    <m:grow/>
                  </m:dPr>
                  <m:e>
                    <m:sSubSup>
                      <m:e>
                        <m:r>
                          <m:t>h</m:t>
                        </m:r>
                      </m:e>
                      <m:sub>
                        <m:r>
                          <m:t>i</m:t>
                        </m:r>
                      </m:sub>
                      <m:sup>
                        <m:d>
                          <m:dPr>
                            <m:begChr m:val="("/>
                            <m:endChr m:val=")"/>
                            <m:sepChr m:val=""/>
                            <m:grow/>
                          </m:dPr>
                          <m:e>
                            <m:r>
                              <m:t>s</m:t>
                            </m:r>
                          </m:e>
                        </m:d>
                      </m:sup>
                    </m:sSubSup>
                  </m:e>
                </m:d>
                <m:r>
                  <m:rPr>
                    <m:sty m:val="p"/>
                  </m:rPr>
                  <m:t>,</m:t>
                </m:r>
                <m:r>
                  <m:t> </m:t>
                </m:r>
                <m:nary>
                  <m:naryPr>
                    <m:chr m:val="∑"/>
                    <m:limLoc m:val="undOvr"/>
                    <m:subHide m:val="off"/>
                    <m:supHide m:val="off"/>
                  </m:naryPr>
                  <m:sub>
                    <m:r>
                      <m:t>s</m:t>
                    </m:r>
                    <m:r>
                      <m:rPr>
                        <m:sty m:val="p"/>
                      </m:rPr>
                      <m:t>=</m:t>
                    </m:r>
                    <m:r>
                      <m:t>1</m:t>
                    </m:r>
                  </m:sub>
                  <m:sup>
                    <m:r>
                      <m:t>S</m:t>
                    </m:r>
                  </m:sup>
                  <m:e>
                    <m:sSubSup>
                      <m:e>
                        <m:r>
                          <m:t>β</m:t>
                        </m:r>
                      </m:e>
                      <m:sub>
                        <m:r>
                          <m:t>i</m:t>
                        </m:r>
                      </m:sub>
                      <m:sup>
                        <m:d>
                          <m:dPr>
                            <m:begChr m:val="("/>
                            <m:endChr m:val=")"/>
                            <m:sepChr m:val=""/>
                            <m:grow/>
                          </m:dPr>
                          <m:e>
                            <m:r>
                              <m:t>s</m:t>
                            </m:r>
                          </m:e>
                        </m:d>
                      </m:sup>
                    </m:sSubSup>
                  </m:e>
                </m:nary>
                <m:r>
                  <m:rPr>
                    <m:sty m:val="p"/>
                  </m:rPr>
                  <m:t>=</m:t>
                </m:r>
                <m:r>
                  <m:t>1</m:t>
                </m:r>
              </m:oMath>
            </m:oMathPara>
          </w:p>
        </w:tc>
        <w:tc>
          <w:tcPr>
            <w:tcW w:type="dxa" w:w="1417"/>
            <w:vAlign w:val="center"/>
            <w:tcMar>
              <w:top w:w="60" w:type="dxa"/>
              <w:bottom w:w="60" w:type="dxa"/>
              <w:left w:w="60" w:type="dxa"/>
              <w:right w:w="60" w:type="dxa"/>
            </w:tcMar>
          </w:tcPr>
          <w:p>
            <w:pPr>
              <w:jc w:val="right"/>
            </w:pPr>
            <w:bookmarkStart w:id="108" w:name="eq2_9"/>
            <w:r>
              <w:rPr>
                <w:rFonts w:ascii="Times New Roman" w:hAnsi="Times New Roman" w:eastAsia="宋体"/>
                <w:sz w:val="21"/>
              </w:rPr>
              <w:t>（2-9）</w:t>
            </w:r>
            <w:bookmarkEnd w:id="108"/>
          </w:p>
        </w:tc>
      </w:tr>
    </w:tbl>
    <w:p>
      <w:pPr/>
      <w:r>
        <w:rPr>
          <w:rFonts w:ascii="Times New Roman" w:hAnsi="Times New Roman" w:eastAsia="宋体"/>
        </w:rPr>
        <w:t>其中，β_i^{(s)} 由局部法向方差、曲率统计或邻域结构稳定性确定。式（2-9）给出的融合方式使模型在保持多尺度信息的同时，避免因统一尺度聚合而丢失细粒度几何边界。</w:t>
      </w:r>
    </w:p>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【占位符：建议插入“分层采样、kNN邻域构建、核权重聚合”的模块图】</w:t>
            </w:r>
            <w:r>
              <w:br/>
            </w:r>
            <w:r>
              <w:br/>
            </w:r>
          </w:p>
        </w:tc>
      </w:tr>
    </w:tbl>
    <w:p>
      <w:pPr>
        <w:jc w:val="center"/>
      </w:pPr>
      <w:r>
        <w:rPr>
          <w:rFonts w:ascii="Times New Roman" w:hAnsi="Times New Roman" w:eastAsia="宋体"/>
          <w:sz w:val="21"/>
        </w:rPr>
        <w:t>图2-5 训练自由轻量邻域聚合示意图【占位符】</w:t>
      </w:r>
    </w:p>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【占位符：建议插入“平坦区域与高曲率区域采用不同池化尺度”的对比图】</w:t>
            </w:r>
            <w:r>
              <w:br/>
            </w:r>
            <w:r>
              <w:br/>
            </w:r>
          </w:p>
        </w:tc>
      </w:tr>
    </w:tbl>
    <w:p>
      <w:pPr>
        <w:jc w:val="center"/>
      </w:pPr>
      <w:r>
        <w:rPr>
          <w:rFonts w:ascii="Times New Roman" w:hAnsi="Times New Roman" w:eastAsia="宋体"/>
          <w:sz w:val="21"/>
        </w:rPr>
        <w:t>图2-6 多尺度自适应法向池化示意图【占位符】</w:t>
      </w:r>
    </w:p>
    <w:p>
      <w:pPr>
        <w:pStyle w:val="Heading3"/>
      </w:pPr>
      <w:r>
        <w:t>2.2.4 任务输出机制与复杂度分析</w:t>
      </w:r>
    </w:p>
    <w:p>
      <w:pPr/>
      <w:r>
        <w:rPr>
          <w:rFonts w:ascii="Times New Roman" w:hAnsi="Times New Roman" w:eastAsia="宋体"/>
        </w:rPr>
        <w:t>在获得统一基础特征之后，本文分别为分类与分割任务设计轻量输出机制。对于对象级分类，首先对点级特征进行全局池化，得到对象描述向量 z^{cls}；随后采用余弦相似度与类别原型进行匹配，而不是直接引入大容量全连接分类器。这样处理的优势在于：一方面，分类头参数量更少；另一方面，当目标场景只有少量标注样本时，只需对原型或线性层进行轻量更新即可完成快速适配。</w:t>
      </w:r>
    </w:p>
    <w:p>
      <w:pPr/>
      <w:r>
        <w:rPr>
          <w:rFonts w:ascii="Times New Roman" w:hAnsi="Times New Roman" w:eastAsia="宋体"/>
        </w:rPr>
        <w:t>对于点级分割，本文在共享底座的基础上构造点级分割特征 z_i^{seg}，并采用极简的 MLP 头或相似度判别头完成标签预测。由于分类与分割共享同一几何底座，本章方法能够在不改变主干结构的条件下切换不同任务形式，这一点对于后续第三章构建跨模态统一任务头具有重要意义。</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p>
                  <m:e>
                    <m:r>
                      <m:t>z</m:t>
                    </m:r>
                  </m:e>
                  <m:sup>
                    <m:r>
                      <m:rPr>
                        <m:sty m:val="p"/>
                      </m:rPr>
                      <m:t>c</m:t>
                    </m:r>
                    <m:r>
                      <m:rPr>
                        <m:sty m:val="p"/>
                      </m:rPr>
                      <m:t>l</m:t>
                    </m:r>
                    <m:r>
                      <m:rPr>
                        <m:sty m:val="p"/>
                      </m:rPr>
                      <m:t>s</m:t>
                    </m:r>
                  </m:sup>
                </m:sSup>
                <m:r>
                  <m:rPr>
                    <m:sty m:val="p"/>
                  </m:rPr>
                  <m:t>=</m:t>
                </m:r>
                <m:r>
                  <m:rPr>
                    <m:sty m:val="p"/>
                  </m:rPr>
                  <m:t>P</m:t>
                </m:r>
                <m:r>
                  <m:rPr>
                    <m:sty m:val="p"/>
                  </m:rPr>
                  <m:t>o</m:t>
                </m:r>
                <m:r>
                  <m:rPr>
                    <m:sty m:val="p"/>
                  </m:rPr>
                  <m:t>o</m:t>
                </m:r>
                <m:r>
                  <m:rPr>
                    <m:sty m:val="p"/>
                  </m:rPr>
                  <m:t>l</m:t>
                </m:r>
                <m:r>
                  <m:t>​</m:t>
                </m:r>
                <m:d>
                  <m:dPr>
                    <m:begChr m:val="("/>
                    <m:endChr m:val=")"/>
                    <m:sepChr m:val=""/>
                    <m:grow/>
                  </m:dPr>
                  <m:e>
                    <m:r>
                      <m:rPr>
                        <m:sty m:val="p"/>
                      </m:rPr>
                      <m:t>{</m:t>
                    </m:r>
                    <m:sSub>
                      <m:e>
                        <m:r>
                          <m:t>h</m:t>
                        </m:r>
                      </m:e>
                      <m:sub>
                        <m:r>
                          <m:t>i</m:t>
                        </m:r>
                      </m:sub>
                    </m:sSub>
                    <m:sSubSup>
                      <m:e>
                        <m:r>
                          <m:rPr>
                            <m:sty m:val="p"/>
                          </m:rPr>
                          <m:t>}</m:t>
                        </m:r>
                      </m:e>
                      <m:sub>
                        <m:r>
                          <m:t>i</m:t>
                        </m:r>
                        <m:r>
                          <m:rPr>
                            <m:sty m:val="p"/>
                          </m:rPr>
                          <m:t>=</m:t>
                        </m:r>
                        <m:r>
                          <m:t>1</m:t>
                        </m:r>
                      </m:sub>
                      <m:sup>
                        <m:r>
                          <m:t>N</m:t>
                        </m:r>
                      </m:sup>
                    </m:sSubSup>
                  </m:e>
                </m:d>
              </m:oMath>
            </m:oMathPara>
          </w:p>
        </w:tc>
        <w:tc>
          <w:tcPr>
            <w:tcW w:type="dxa" w:w="1417"/>
            <w:vAlign w:val="center"/>
            <w:tcMar>
              <w:top w:w="60" w:type="dxa"/>
              <w:bottom w:w="60" w:type="dxa"/>
              <w:left w:w="60" w:type="dxa"/>
              <w:right w:w="60" w:type="dxa"/>
            </w:tcMar>
          </w:tcPr>
          <w:p>
            <w:pPr>
              <w:jc w:val="right"/>
            </w:pPr>
            <w:bookmarkStart w:id="109" w:name="eq2_10"/>
            <w:r>
              <w:rPr>
                <w:rFonts w:ascii="Times New Roman" w:hAnsi="Times New Roman" w:eastAsia="宋体"/>
                <w:sz w:val="21"/>
              </w:rPr>
              <w:t>（2-10）</w:t>
            </w:r>
            <w:bookmarkEnd w:id="109"/>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sSup>
                  <m:e>
                    <m:acc>
                      <m:accPr>
                        <m:chr m:val="̂"/>
                      </m:accPr>
                      <m:e>
                        <m:r>
                          <m:t>y</m:t>
                        </m:r>
                      </m:e>
                    </m:acc>
                  </m:e>
                  <m:sup>
                    <m:r>
                      <m:rPr>
                        <m:sty m:val="p"/>
                      </m:rPr>
                      <m:t>c</m:t>
                    </m:r>
                    <m:r>
                      <m:rPr>
                        <m:sty m:val="p"/>
                      </m:rPr>
                      <m:t>l</m:t>
                    </m:r>
                    <m:r>
                      <m:rPr>
                        <m:sty m:val="p"/>
                      </m:rPr>
                      <m:t>s</m:t>
                    </m:r>
                  </m:sup>
                </m:sSup>
                <m:r>
                  <m:rPr>
                    <m:sty m:val="p"/>
                  </m:rPr>
                  <m:t>=</m:t>
                </m:r>
                <m:r>
                  <m:rPr>
                    <m:sty m:val="p"/>
                  </m:rPr>
                  <m:t>arg</m:t>
                </m:r>
                <m:limLow>
                  <m:e>
                    <m:r>
                      <m:rPr>
                        <m:sty m:val="p"/>
                      </m:rPr>
                      <m:t>max</m:t>
                    </m:r>
                  </m:e>
                  <m:lim>
                    <m:r>
                      <m:t>c</m:t>
                    </m:r>
                  </m:lim>
                </m:limLow>
                <m:r>
                  <m:t> </m:t>
                </m:r>
                <m:r>
                  <m:rPr>
                    <m:sty m:val="p"/>
                  </m:rPr>
                  <m:t>cos</m:t>
                </m:r>
                <m:r>
                  <m:t>​</m:t>
                </m:r>
                <m:d>
                  <m:dPr>
                    <m:begChr m:val="("/>
                    <m:endChr m:val=")"/>
                    <m:sepChr m:val=""/>
                    <m:grow/>
                  </m:dPr>
                  <m:e>
                    <m:sSup>
                      <m:e>
                        <m:r>
                          <m:t>z</m:t>
                        </m:r>
                      </m:e>
                      <m:sup>
                        <m:r>
                          <m:rPr>
                            <m:sty m:val="p"/>
                          </m:rPr>
                          <m:t>c</m:t>
                        </m:r>
                        <m:r>
                          <m:rPr>
                            <m:sty m:val="p"/>
                          </m:rPr>
                          <m:t>l</m:t>
                        </m:r>
                        <m:r>
                          <m:rPr>
                            <m:sty m:val="p"/>
                          </m:rPr>
                          <m:t>s</m:t>
                        </m:r>
                      </m:sup>
                    </m:sSup>
                    <m:r>
                      <m:rPr>
                        <m:sty m:val="p"/>
                      </m:rPr>
                      <m:t>,</m:t>
                    </m:r>
                    <m:sSub>
                      <m:e>
                        <m:r>
                          <m:t>q</m:t>
                        </m:r>
                      </m:e>
                      <m:sub>
                        <m:r>
                          <m:t>c</m:t>
                        </m:r>
                      </m:sub>
                    </m:sSub>
                  </m:e>
                </m:d>
              </m:oMath>
            </m:oMathPara>
          </w:p>
        </w:tc>
        <w:tc>
          <w:tcPr>
            <w:tcW w:type="dxa" w:w="1417"/>
            <w:vAlign w:val="center"/>
            <w:tcMar>
              <w:top w:w="60" w:type="dxa"/>
              <w:bottom w:w="60" w:type="dxa"/>
              <w:left w:w="60" w:type="dxa"/>
              <w:right w:w="60" w:type="dxa"/>
            </w:tcMar>
          </w:tcPr>
          <w:p>
            <w:pPr>
              <w:jc w:val="right"/>
            </w:pPr>
            <w:bookmarkStart w:id="110" w:name="eq2_11"/>
            <w:r>
              <w:rPr>
                <w:rFonts w:ascii="Times New Roman" w:hAnsi="Times New Roman" w:eastAsia="宋体"/>
                <w:sz w:val="21"/>
              </w:rPr>
              <w:t>（2-11）</w:t>
            </w:r>
            <w:bookmarkEnd w:id="110"/>
          </w:p>
        </w:tc>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2929"/>
        <w:gridCol w:w="2929"/>
        <w:gridCol w:w="2929"/>
      </w:tblGrid>
      <w:tr>
        <w:tc>
          <w:tcPr>
            <w:tcW w:type="dxa" w:w="1134"/>
            <w:tcMar>
              <w:top w:w="60" w:type="dxa"/>
              <w:bottom w:w="60" w:type="dxa"/>
              <w:left w:w="60" w:type="dxa"/>
              <w:right w:w="60" w:type="dxa"/>
            </w:tcMar>
          </w:tcPr>
          <w:p>
            <w:pPr>
              <w:jc w:val="center"/>
            </w:pPr>
          </w:p>
        </w:tc>
        <w:tc>
          <w:tcPr>
            <w:tcW w:type="dxa" w:w="5670"/>
            <w:vAlign w:val="center"/>
            <w:tcMar>
              <w:top w:w="60" w:type="dxa"/>
              <w:bottom w:w="60" w:type="dxa"/>
              <w:left w:w="60" w:type="dxa"/>
              <w:right w:w="60" w:type="dxa"/>
            </w:tcMar>
          </w:tcPr>
          <w:p>
            <w:pPr>
              <w:jc w:val="center"/>
            </w:pPr>
            <m:oMathPara>
              <m:oMathParaPr>
                <m:jc m:val="center"/>
              </m:oMathParaPr>
              <m:oMath>
                <m:r>
                  <m:t>P</m:t>
                </m:r>
                <m:d>
                  <m:dPr>
                    <m:begChr m:val="("/>
                    <m:endChr m:val=")"/>
                    <m:sepChr m:val=""/>
                    <m:grow/>
                  </m:dPr>
                  <m:e>
                    <m:sSub>
                      <m:e>
                        <m:r>
                          <m:t>y</m:t>
                        </m:r>
                      </m:e>
                      <m:sub>
                        <m:r>
                          <m:t>i</m:t>
                        </m:r>
                      </m:sub>
                    </m:sSub>
                    <m:r>
                      <m:rPr>
                        <m:sty m:val="p"/>
                      </m:rPr>
                      <m:t>=</m:t>
                    </m:r>
                    <m:r>
                      <m:t>c</m:t>
                    </m:r>
                  </m:e>
                </m:d>
                <m:r>
                  <m:rPr>
                    <m:sty m:val="p"/>
                  </m:rPr>
                  <m:t>=</m:t>
                </m:r>
                <m:r>
                  <m:rPr>
                    <m:sty m:val="p"/>
                  </m:rPr>
                  <m:t>S</m:t>
                </m:r>
                <m:r>
                  <m:rPr>
                    <m:sty m:val="p"/>
                  </m:rPr>
                  <m:t>o</m:t>
                </m:r>
                <m:r>
                  <m:rPr>
                    <m:sty m:val="p"/>
                  </m:rPr>
                  <m:t>f</m:t>
                </m:r>
                <m:r>
                  <m:rPr>
                    <m:sty m:val="p"/>
                  </m:rPr>
                  <m:t>t</m:t>
                </m:r>
                <m:r>
                  <m:rPr>
                    <m:sty m:val="p"/>
                  </m:rPr>
                  <m:t>m</m:t>
                </m:r>
                <m:r>
                  <m:rPr>
                    <m:sty m:val="p"/>
                  </m:rPr>
                  <m:t>a</m:t>
                </m:r>
                <m:r>
                  <m:rPr>
                    <m:sty m:val="p"/>
                  </m:rPr>
                  <m:t>x</m:t>
                </m:r>
                <m:r>
                  <m:t>​</m:t>
                </m:r>
                <m:sSub>
                  <m:e>
                    <m:d>
                      <m:dPr>
                        <m:begChr m:val="("/>
                        <m:endChr m:val=")"/>
                        <m:sepChr m:val=""/>
                        <m:grow/>
                      </m:dPr>
                      <m:e>
                        <m:r>
                          <m:t>W</m:t>
                        </m:r>
                        <m:sSubSup>
                          <m:e>
                            <m:r>
                              <m:t>z</m:t>
                            </m:r>
                          </m:e>
                          <m:sub>
                            <m:r>
                              <m:t>i</m:t>
                            </m:r>
                          </m:sub>
                          <m:sup>
                            <m:r>
                              <m:rPr>
                                <m:sty m:val="p"/>
                              </m:rPr>
                              <m:t>s</m:t>
                            </m:r>
                            <m:r>
                              <m:rPr>
                                <m:sty m:val="p"/>
                              </m:rPr>
                              <m:t>e</m:t>
                            </m:r>
                            <m:r>
                              <m:rPr>
                                <m:sty m:val="p"/>
                              </m:rPr>
                              <m:t>g</m:t>
                            </m:r>
                          </m:sup>
                        </m:sSubSup>
                        <m:r>
                          <m:rPr>
                            <m:sty m:val="p"/>
                          </m:rPr>
                          <m:t>+</m:t>
                        </m:r>
                        <m:r>
                          <m:t>b</m:t>
                        </m:r>
                      </m:e>
                    </m:d>
                  </m:e>
                  <m:sub>
                    <m:r>
                      <m:t>c</m:t>
                    </m:r>
                  </m:sub>
                </m:sSub>
              </m:oMath>
            </m:oMathPara>
          </w:p>
        </w:tc>
        <w:tc>
          <w:tcPr>
            <w:tcW w:type="dxa" w:w="1417"/>
            <w:vAlign w:val="center"/>
            <w:tcMar>
              <w:top w:w="60" w:type="dxa"/>
              <w:bottom w:w="60" w:type="dxa"/>
              <w:left w:w="60" w:type="dxa"/>
              <w:right w:w="60" w:type="dxa"/>
            </w:tcMar>
          </w:tcPr>
          <w:p>
            <w:pPr>
              <w:jc w:val="right"/>
            </w:pPr>
            <w:bookmarkStart w:id="111" w:name="eq2_12"/>
            <w:r>
              <w:rPr>
                <w:rFonts w:ascii="Times New Roman" w:hAnsi="Times New Roman" w:eastAsia="宋体"/>
                <w:sz w:val="21"/>
              </w:rPr>
              <w:t>（2-12）</w:t>
            </w:r>
            <w:bookmarkEnd w:id="111"/>
          </w:p>
        </w:tc>
      </w:tr>
    </w:tbl>
    <w:p>
      <w:pPr/>
      <w:r>
        <w:rPr>
          <w:rFonts w:ascii="Times New Roman" w:hAnsi="Times New Roman" w:eastAsia="宋体"/>
        </w:rPr>
        <w:t>从复杂度角度看，若输入点数为 N、局部邻域规模为 k、层数为 L、融合尺度数为 S，则本章方法的主要开销集中在分层采样、k 近邻搜索以及局部核权重聚合过程，其复杂度可近似表示为 O(LNk)+O(NS)。与全局自注意力常见的 O(N^2) 开销相比，该结构在点数增加时更具可扩展性，且不会因引入大规模投影矩阵而显著增加参数量。更重要的是，几何—频域编码、核权重计算与自适应池化均可由显式公式描述，其代价主要体现在算子执行而非参数存储，从而更适合部署于资源受限平台。</w:t>
      </w:r>
    </w:p>
    <w:p>
      <w:pPr/>
      <w:r>
        <w:rPr>
          <w:rFonts w:ascii="Times New Roman" w:hAnsi="Times New Roman" w:eastAsia="宋体"/>
        </w:rPr>
        <w:t>需要强调的是，本章方法的研究边界是明确的。它关注的是“点云自身如何在训练自由或少训练条件下形成稳定表示”，而不直接处理图像语义投影、文本类别扩展、局部参考框架配准或3DGS语义场建模等更复杂的问题。这样的边界划分并非削弱研究内容，而是为了确保论文的创新点能够层层递进：第二章建立几何底座，第三章研究跨模态对齐与统一分析，第四章进一步讨论鲁棒配准、显式场景表示和部署友好扩展。</w:t>
      </w:r>
    </w:p>
    <w:p>
      <w:pPr>
        <w:jc w:val="center"/>
      </w:pPr>
      <w:r>
        <w:rPr>
          <w:rFonts w:ascii="Times New Roman" w:hAnsi="Times New Roman" w:eastAsia="宋体"/>
          <w:sz w:val="21"/>
        </w:rPr>
        <w:t>表2-2 不同基础表征路线的复杂度与适用性比较</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01"/>
            <w:vAlign w:val="center"/>
            <w:shd w:fill="D9EAF7"/>
          </w:tcPr>
          <w:p>
            <w:pPr>
              <w:spacing w:line="300" w:lineRule="auto" w:after="0" w:before="0"/>
              <w:jc w:val="center"/>
            </w:pPr>
            <w:r/>
            <w:r>
              <w:rPr>
                <w:rFonts w:ascii="Times New Roman" w:hAnsi="Times New Roman" w:eastAsia="宋体"/>
                <w:b/>
                <w:sz w:val="21"/>
              </w:rPr>
              <w:t>比较对象</w:t>
            </w:r>
          </w:p>
        </w:tc>
        <w:tc>
          <w:tcPr>
            <w:tcW w:type="dxa" w:w="2268"/>
            <w:vAlign w:val="center"/>
            <w:shd w:fill="D9EAF7"/>
          </w:tcPr>
          <w:p>
            <w:pPr>
              <w:spacing w:line="300" w:lineRule="auto" w:after="0" w:before="0"/>
              <w:jc w:val="center"/>
            </w:pPr>
            <w:r/>
            <w:r>
              <w:rPr>
                <w:rFonts w:ascii="Times New Roman" w:hAnsi="Times New Roman" w:eastAsia="宋体"/>
                <w:b/>
                <w:sz w:val="21"/>
              </w:rPr>
              <w:t>主导复杂度</w:t>
            </w:r>
          </w:p>
        </w:tc>
        <w:tc>
          <w:tcPr>
            <w:tcW w:type="dxa" w:w="1134"/>
            <w:vAlign w:val="center"/>
            <w:shd w:fill="D9EAF7"/>
          </w:tcPr>
          <w:p>
            <w:pPr>
              <w:spacing w:line="300" w:lineRule="auto" w:after="0" w:before="0"/>
              <w:jc w:val="center"/>
            </w:pPr>
            <w:r/>
            <w:r>
              <w:rPr>
                <w:rFonts w:ascii="Times New Roman" w:hAnsi="Times New Roman" w:eastAsia="宋体"/>
                <w:b/>
                <w:sz w:val="21"/>
              </w:rPr>
              <w:t>参数依赖</w:t>
            </w:r>
          </w:p>
        </w:tc>
        <w:tc>
          <w:tcPr>
            <w:tcW w:type="dxa" w:w="1587"/>
            <w:vAlign w:val="center"/>
            <w:shd w:fill="D9EAF7"/>
          </w:tcPr>
          <w:p>
            <w:pPr>
              <w:spacing w:line="300" w:lineRule="auto" w:after="0" w:before="0"/>
              <w:jc w:val="center"/>
            </w:pPr>
            <w:r/>
            <w:r>
              <w:rPr>
                <w:rFonts w:ascii="Times New Roman" w:hAnsi="Times New Roman" w:eastAsia="宋体"/>
                <w:b/>
                <w:sz w:val="21"/>
              </w:rPr>
              <w:t>几何可解释性</w:t>
            </w:r>
          </w:p>
        </w:tc>
        <w:tc>
          <w:tcPr>
            <w:tcW w:type="dxa" w:w="1587"/>
            <w:vAlign w:val="center"/>
            <w:shd w:fill="D9EAF7"/>
          </w:tcPr>
          <w:p>
            <w:pPr>
              <w:spacing w:line="300" w:lineRule="auto" w:after="0" w:before="0"/>
              <w:jc w:val="center"/>
            </w:pPr>
            <w:r/>
            <w:r>
              <w:rPr>
                <w:rFonts w:ascii="Times New Roman" w:hAnsi="Times New Roman" w:eastAsia="宋体"/>
                <w:b/>
                <w:sz w:val="21"/>
              </w:rPr>
              <w:t>适合作为后续统一底座</w:t>
            </w:r>
          </w:p>
        </w:tc>
      </w:tr>
      <w:tr>
        <w:tc>
          <w:tcPr>
            <w:tcW w:type="dxa" w:w="1701"/>
            <w:vAlign w:val="center"/>
          </w:tcPr>
          <w:p>
            <w:pPr>
              <w:spacing w:line="300" w:lineRule="auto" w:after="0" w:before="0"/>
              <w:jc w:val="center"/>
            </w:pPr>
            <w:r/>
            <w:r>
              <w:rPr>
                <w:rFonts w:ascii="Times New Roman" w:hAnsi="Times New Roman" w:eastAsia="宋体"/>
                <w:b w:val="0"/>
                <w:sz w:val="20"/>
              </w:rPr>
              <w:t>全局注意力式点云主干</w:t>
            </w:r>
          </w:p>
        </w:tc>
        <w:tc>
          <w:tcPr>
            <w:tcW w:type="dxa" w:w="2268"/>
            <w:vAlign w:val="center"/>
          </w:tcPr>
          <w:p>
            <w:pPr>
              <w:spacing w:line="300" w:lineRule="auto" w:after="0" w:before="0"/>
              <w:jc w:val="center"/>
            </w:pPr>
            <w:r/>
            <w:r>
              <w:rPr>
                <w:rFonts w:ascii="Times New Roman" w:hAnsi="Times New Roman" w:eastAsia="宋体"/>
                <w:b w:val="0"/>
                <w:sz w:val="20"/>
              </w:rPr>
              <w:t>O(N^2)</w:t>
            </w:r>
          </w:p>
        </w:tc>
        <w:tc>
          <w:tcPr>
            <w:tcW w:type="dxa" w:w="1134"/>
            <w:vAlign w:val="center"/>
          </w:tcPr>
          <w:p>
            <w:pPr>
              <w:spacing w:line="300" w:lineRule="auto" w:after="0" w:before="0"/>
              <w:jc w:val="center"/>
            </w:pPr>
            <w:r/>
            <w:r>
              <w:rPr>
                <w:rFonts w:ascii="Times New Roman" w:hAnsi="Times New Roman" w:eastAsia="宋体"/>
                <w:b w:val="0"/>
                <w:sz w:val="20"/>
              </w:rPr>
              <w:t>高</w:t>
            </w:r>
          </w:p>
        </w:tc>
        <w:tc>
          <w:tcPr>
            <w:tcW w:type="dxa" w:w="1587"/>
            <w:vAlign w:val="center"/>
          </w:tcPr>
          <w:p>
            <w:pPr>
              <w:spacing w:line="300" w:lineRule="auto" w:after="0" w:before="0"/>
              <w:jc w:val="center"/>
            </w:pPr>
            <w:r/>
            <w:r>
              <w:rPr>
                <w:rFonts w:ascii="Times New Roman" w:hAnsi="Times New Roman" w:eastAsia="宋体"/>
                <w:b w:val="0"/>
                <w:sz w:val="20"/>
              </w:rPr>
              <w:t>中等</w:t>
            </w:r>
          </w:p>
        </w:tc>
        <w:tc>
          <w:tcPr>
            <w:tcW w:type="dxa" w:w="1587"/>
            <w:vAlign w:val="center"/>
          </w:tcPr>
          <w:p>
            <w:pPr>
              <w:spacing w:line="300" w:lineRule="auto" w:after="0" w:before="0"/>
              <w:jc w:val="center"/>
            </w:pPr>
            <w:r/>
            <w:r>
              <w:rPr>
                <w:rFonts w:ascii="Times New Roman" w:hAnsi="Times New Roman" w:eastAsia="宋体"/>
                <w:b w:val="0"/>
                <w:sz w:val="20"/>
              </w:rPr>
              <w:t>一般</w:t>
            </w:r>
          </w:p>
        </w:tc>
      </w:tr>
      <w:tr>
        <w:tc>
          <w:tcPr>
            <w:tcW w:type="dxa" w:w="1701"/>
            <w:vAlign w:val="center"/>
          </w:tcPr>
          <w:p>
            <w:pPr>
              <w:spacing w:line="300" w:lineRule="auto" w:after="0" w:before="0"/>
              <w:jc w:val="center"/>
            </w:pPr>
            <w:r/>
            <w:r>
              <w:rPr>
                <w:rFonts w:ascii="Times New Roman" w:hAnsi="Times New Roman" w:eastAsia="宋体"/>
                <w:b w:val="0"/>
                <w:sz w:val="20"/>
              </w:rPr>
              <w:t>稀疏卷积/深层监督式骨干</w:t>
            </w:r>
          </w:p>
        </w:tc>
        <w:tc>
          <w:tcPr>
            <w:tcW w:type="dxa" w:w="2268"/>
            <w:vAlign w:val="center"/>
          </w:tcPr>
          <w:p>
            <w:pPr>
              <w:spacing w:line="300" w:lineRule="auto" w:after="0" w:before="0"/>
              <w:jc w:val="center"/>
            </w:pPr>
            <w:r/>
            <w:r>
              <w:rPr>
                <w:rFonts w:ascii="Times New Roman" w:hAnsi="Times New Roman" w:eastAsia="宋体"/>
                <w:b w:val="0"/>
                <w:sz w:val="20"/>
              </w:rPr>
              <w:t>与体素/稀疏结构相关</w:t>
            </w:r>
          </w:p>
        </w:tc>
        <w:tc>
          <w:tcPr>
            <w:tcW w:type="dxa" w:w="1134"/>
            <w:vAlign w:val="center"/>
          </w:tcPr>
          <w:p>
            <w:pPr>
              <w:spacing w:line="300" w:lineRule="auto" w:after="0" w:before="0"/>
              <w:jc w:val="center"/>
            </w:pPr>
            <w:r/>
            <w:r>
              <w:rPr>
                <w:rFonts w:ascii="Times New Roman" w:hAnsi="Times New Roman" w:eastAsia="宋体"/>
                <w:b w:val="0"/>
                <w:sz w:val="20"/>
              </w:rPr>
              <w:t>中高</w:t>
            </w:r>
          </w:p>
        </w:tc>
        <w:tc>
          <w:tcPr>
            <w:tcW w:type="dxa" w:w="1587"/>
            <w:vAlign w:val="center"/>
          </w:tcPr>
          <w:p>
            <w:pPr>
              <w:spacing w:line="300" w:lineRule="auto" w:after="0" w:before="0"/>
              <w:jc w:val="center"/>
            </w:pPr>
            <w:r/>
            <w:r>
              <w:rPr>
                <w:rFonts w:ascii="Times New Roman" w:hAnsi="Times New Roman" w:eastAsia="宋体"/>
                <w:b w:val="0"/>
                <w:sz w:val="20"/>
              </w:rPr>
              <w:t>中等</w:t>
            </w:r>
          </w:p>
        </w:tc>
        <w:tc>
          <w:tcPr>
            <w:tcW w:type="dxa" w:w="1587"/>
            <w:vAlign w:val="center"/>
          </w:tcPr>
          <w:p>
            <w:pPr>
              <w:spacing w:line="300" w:lineRule="auto" w:after="0" w:before="0"/>
              <w:jc w:val="center"/>
            </w:pPr>
            <w:r/>
            <w:r>
              <w:rPr>
                <w:rFonts w:ascii="Times New Roman" w:hAnsi="Times New Roman" w:eastAsia="宋体"/>
                <w:b w:val="0"/>
                <w:sz w:val="20"/>
              </w:rPr>
              <w:t>较强但训练依赖较大</w:t>
            </w:r>
          </w:p>
        </w:tc>
      </w:tr>
      <w:tr>
        <w:tc>
          <w:tcPr>
            <w:tcW w:type="dxa" w:w="1701"/>
            <w:vAlign w:val="center"/>
          </w:tcPr>
          <w:p>
            <w:pPr>
              <w:spacing w:line="300" w:lineRule="auto" w:after="0" w:before="0"/>
              <w:jc w:val="center"/>
            </w:pPr>
            <w:r/>
            <w:r>
              <w:rPr>
                <w:rFonts w:ascii="Times New Roman" w:hAnsi="Times New Roman" w:eastAsia="宋体"/>
                <w:b w:val="0"/>
                <w:sz w:val="20"/>
              </w:rPr>
              <w:t>本文方法</w:t>
            </w:r>
          </w:p>
        </w:tc>
        <w:tc>
          <w:tcPr>
            <w:tcW w:type="dxa" w:w="2268"/>
            <w:vAlign w:val="center"/>
          </w:tcPr>
          <w:p>
            <w:pPr>
              <w:spacing w:line="300" w:lineRule="auto" w:after="0" w:before="0"/>
              <w:jc w:val="center"/>
            </w:pPr>
            <w:r/>
            <w:r>
              <w:rPr>
                <w:rFonts w:ascii="Times New Roman" w:hAnsi="Times New Roman" w:eastAsia="宋体"/>
                <w:b w:val="0"/>
                <w:sz w:val="20"/>
              </w:rPr>
              <w:t>O(LNk)+O(NS)</w:t>
            </w:r>
          </w:p>
        </w:tc>
        <w:tc>
          <w:tcPr>
            <w:tcW w:type="dxa" w:w="1134"/>
            <w:vAlign w:val="center"/>
          </w:tcPr>
          <w:p>
            <w:pPr>
              <w:spacing w:line="300" w:lineRule="auto" w:after="0" w:before="0"/>
              <w:jc w:val="center"/>
            </w:pPr>
            <w:r/>
            <w:r>
              <w:rPr>
                <w:rFonts w:ascii="Times New Roman" w:hAnsi="Times New Roman" w:eastAsia="宋体"/>
                <w:b w:val="0"/>
                <w:sz w:val="20"/>
              </w:rPr>
              <w:t>低</w:t>
            </w:r>
          </w:p>
        </w:tc>
        <w:tc>
          <w:tcPr>
            <w:tcW w:type="dxa" w:w="1587"/>
            <w:vAlign w:val="center"/>
          </w:tcPr>
          <w:p>
            <w:pPr>
              <w:spacing w:line="300" w:lineRule="auto" w:after="0" w:before="0"/>
              <w:jc w:val="center"/>
            </w:pPr>
            <w:r/>
            <w:r>
              <w:rPr>
                <w:rFonts w:ascii="Times New Roman" w:hAnsi="Times New Roman" w:eastAsia="宋体"/>
                <w:b w:val="0"/>
                <w:sz w:val="20"/>
              </w:rPr>
              <w:t>高</w:t>
            </w:r>
          </w:p>
        </w:tc>
        <w:tc>
          <w:tcPr>
            <w:tcW w:type="dxa" w:w="1587"/>
            <w:vAlign w:val="center"/>
          </w:tcPr>
          <w:p>
            <w:pPr>
              <w:spacing w:line="300" w:lineRule="auto" w:after="0" w:before="0"/>
              <w:jc w:val="center"/>
            </w:pPr>
            <w:r/>
            <w:r>
              <w:rPr>
                <w:rFonts w:ascii="Times New Roman" w:hAnsi="Times New Roman" w:eastAsia="宋体"/>
                <w:b w:val="0"/>
                <w:sz w:val="20"/>
              </w:rPr>
              <w:t>是</w:t>
            </w:r>
          </w:p>
        </w:tc>
      </w:tr>
    </w:tbl>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【占位符：建议插入“分类特征t-SNE或类别原型可视化图”】</w:t>
            </w:r>
            <w:r>
              <w:br/>
            </w:r>
            <w:r>
              <w:br/>
            </w:r>
          </w:p>
        </w:tc>
      </w:tr>
    </w:tbl>
    <w:p>
      <w:pPr>
        <w:jc w:val="center"/>
      </w:pPr>
      <w:r>
        <w:rPr>
          <w:rFonts w:ascii="Times New Roman" w:hAnsi="Times New Roman" w:eastAsia="宋体"/>
          <w:sz w:val="21"/>
        </w:rPr>
        <w:t>图2-7 特征空间分布与类别原型示意图【占位符】</w:t>
      </w:r>
    </w:p>
    <w:p>
      <w:pPr>
        <w:pStyle w:val="Heading2"/>
      </w:pPr>
      <w:r>
        <w:t>2.3 对应的实验和对比实验</w:t>
      </w:r>
    </w:p>
    <w:p>
      <w:pPr>
        <w:pStyle w:val="Heading3"/>
      </w:pPr>
      <w:r>
        <w:t>2.3.1 实验设置与评价指标</w:t>
      </w:r>
    </w:p>
    <w:p>
      <w:pPr/>
      <w:r>
        <w:rPr>
          <w:rFonts w:ascii="Times New Roman" w:hAnsi="Times New Roman" w:eastAsia="宋体"/>
        </w:rPr>
        <w:t>为验证本章基础表征方法的有效性，实验围绕对象级分类和部件级分割两类任务展开。这样的设计一方面能够分别检验方法的全局语义判别能力与局部结构保持能力，另一方面也有助于将第二章的研究边界限定在纯点云任务内部，从而避免在尚未建立稳定点云底座之前便引入图像、文本或显式场景表示所带来的额外变量。考虑到本章强调“轻量化和低训练依赖”，实验除常规精度指标外，还同步关注训练成本、参数规模、推理复杂度和部署友好性。</w:t>
      </w:r>
    </w:p>
    <w:p>
      <w:pPr/>
      <w:r>
        <w:rPr>
          <w:rFonts w:ascii="Times New Roman" w:hAnsi="Times New Roman" w:eastAsia="宋体"/>
        </w:rPr>
        <w:t>分类实验选用 ModelNet40 与 ScanObjectNN。前者是规则对象几何识别的标准基准，适合评估模型对整体轮廓与结构差异的把握能力；后者包含背景干扰、视角变化和噪声扰动，更适合检验 training-free 表示在真实采集条件下的稳定性。分割实验选用 ShapeNetPart，以验证方法在部件级边界、细长结构和高曲率区域上的表达能力。所有输入点云统一进行中心化与尺度归一化处理，并采样至相同点数；当原始数据缺少法向量时，统一采用局部 PCA 进行估计，以保持几何编码输入的一致性。</w:t>
      </w:r>
    </w:p>
    <w:p>
      <w:pPr/>
      <w:r>
        <w:rPr>
          <w:rFonts w:ascii="Times New Roman" w:hAnsi="Times New Roman" w:eastAsia="宋体"/>
        </w:rPr>
        <w:t>对比方法分为两类：第一类为典型监督式点云主干，如 PointNet++、DGCNN、PointNeXt 和 Point Transformer V3，用于提供传统学习范式下的性能参考</w:t>
      </w:r>
      <w:r>
        <w:rPr>
          <w:rFonts w:ascii="Times New Roman" w:hAnsi="Times New Roman" w:eastAsia="宋体"/>
          <w:sz w:val="17"/>
          <w:vertAlign w:val="superscript"/>
        </w:rPr>
        <w:t>[2-5]</w:t>
      </w:r>
      <w:r>
        <w:rPr>
          <w:rFonts w:ascii="Times New Roman" w:hAnsi="Times New Roman" w:eastAsia="宋体"/>
        </w:rPr>
        <w:t>；第二类为与本文研究目标更接近的 non-parametric 或 training-free 方法，如 Point-NN、Seg-NN 和作者前期的 NPMFF-Net，用于比较不同显式几何建模策略在低训练成本条件下的差异</w:t>
      </w:r>
      <w:r>
        <w:rPr>
          <w:rFonts w:ascii="Times New Roman" w:hAnsi="Times New Roman" w:eastAsia="宋体"/>
          <w:sz w:val="17"/>
          <w:vertAlign w:val="superscript"/>
        </w:rPr>
        <w:t>[6-8]</w:t>
      </w:r>
      <w:r>
        <w:rPr>
          <w:rFonts w:ascii="Times New Roman" w:hAnsi="Times New Roman" w:eastAsia="宋体"/>
        </w:rPr>
        <w:t>。评价指标方面，分类任务采用 overall accuracy 和 mean class accuracy，分割任务采用 mean IoU；同时，对于 few-shot 设定和部署分析，进一步考察模型在少样本、跨域与轻量运行环境下的表现。</w:t>
      </w:r>
    </w:p>
    <w:p>
      <w:pPr>
        <w:jc w:val="center"/>
      </w:pPr>
      <w:r>
        <w:rPr>
          <w:rFonts w:ascii="Times New Roman" w:hAnsi="Times New Roman" w:eastAsia="宋体"/>
          <w:sz w:val="21"/>
        </w:rPr>
        <w:t>表2-3 实验任务与评价指标设置</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74"/>
            <w:vAlign w:val="center"/>
            <w:shd w:fill="D9EAF7"/>
          </w:tcPr>
          <w:p>
            <w:pPr>
              <w:spacing w:line="300" w:lineRule="auto" w:after="0" w:before="0"/>
              <w:jc w:val="center"/>
            </w:pPr>
            <w:r/>
            <w:r>
              <w:rPr>
                <w:rFonts w:ascii="Times New Roman" w:hAnsi="Times New Roman" w:eastAsia="宋体"/>
                <w:b/>
                <w:sz w:val="21"/>
              </w:rPr>
              <w:t>任务类型</w:t>
            </w:r>
          </w:p>
        </w:tc>
        <w:tc>
          <w:tcPr>
            <w:tcW w:type="dxa" w:w="1814"/>
            <w:vAlign w:val="center"/>
            <w:shd w:fill="D9EAF7"/>
          </w:tcPr>
          <w:p>
            <w:pPr>
              <w:spacing w:line="300" w:lineRule="auto" w:after="0" w:before="0"/>
              <w:jc w:val="center"/>
            </w:pPr>
            <w:r/>
            <w:r>
              <w:rPr>
                <w:rFonts w:ascii="Times New Roman" w:hAnsi="Times New Roman" w:eastAsia="宋体"/>
                <w:b/>
                <w:sz w:val="21"/>
              </w:rPr>
              <w:t>数据集</w:t>
            </w:r>
          </w:p>
        </w:tc>
        <w:tc>
          <w:tcPr>
            <w:tcW w:type="dxa" w:w="1474"/>
            <w:vAlign w:val="center"/>
            <w:shd w:fill="D9EAF7"/>
          </w:tcPr>
          <w:p>
            <w:pPr>
              <w:spacing w:line="300" w:lineRule="auto" w:after="0" w:before="0"/>
              <w:jc w:val="center"/>
            </w:pPr>
            <w:r/>
            <w:r>
              <w:rPr>
                <w:rFonts w:ascii="Times New Roman" w:hAnsi="Times New Roman" w:eastAsia="宋体"/>
                <w:b/>
                <w:sz w:val="21"/>
              </w:rPr>
              <w:t>主要指标</w:t>
            </w:r>
          </w:p>
        </w:tc>
        <w:tc>
          <w:tcPr>
            <w:tcW w:type="dxa" w:w="2835"/>
            <w:vAlign w:val="center"/>
            <w:shd w:fill="D9EAF7"/>
          </w:tcPr>
          <w:p>
            <w:pPr>
              <w:spacing w:line="300" w:lineRule="auto" w:after="0" w:before="0"/>
              <w:jc w:val="center"/>
            </w:pPr>
            <w:r/>
            <w:r>
              <w:rPr>
                <w:rFonts w:ascii="Times New Roman" w:hAnsi="Times New Roman" w:eastAsia="宋体"/>
                <w:b/>
                <w:sz w:val="21"/>
              </w:rPr>
              <w:t>本章重点关注的问题</w:t>
            </w:r>
          </w:p>
        </w:tc>
      </w:tr>
      <w:tr>
        <w:tc>
          <w:tcPr>
            <w:tcW w:type="dxa" w:w="1474"/>
            <w:vAlign w:val="center"/>
          </w:tcPr>
          <w:p>
            <w:pPr>
              <w:spacing w:line="300" w:lineRule="auto" w:after="0" w:before="0"/>
              <w:jc w:val="center"/>
            </w:pPr>
            <w:r/>
            <w:r>
              <w:rPr>
                <w:rFonts w:ascii="Times New Roman" w:hAnsi="Times New Roman" w:eastAsia="宋体"/>
                <w:b w:val="0"/>
                <w:sz w:val="20"/>
              </w:rPr>
              <w:t>对象级分类</w:t>
            </w:r>
          </w:p>
        </w:tc>
        <w:tc>
          <w:tcPr>
            <w:tcW w:type="dxa" w:w="1814"/>
            <w:vAlign w:val="center"/>
          </w:tcPr>
          <w:p>
            <w:pPr>
              <w:spacing w:line="300" w:lineRule="auto" w:after="0" w:before="0"/>
              <w:jc w:val="center"/>
            </w:pPr>
            <w:r/>
            <w:r>
              <w:rPr>
                <w:rFonts w:ascii="Times New Roman" w:hAnsi="Times New Roman" w:eastAsia="宋体"/>
                <w:b w:val="0"/>
                <w:sz w:val="20"/>
              </w:rPr>
              <w:t>ModelNet40</w:t>
            </w:r>
          </w:p>
        </w:tc>
        <w:tc>
          <w:tcPr>
            <w:tcW w:type="dxa" w:w="1474"/>
            <w:vAlign w:val="center"/>
          </w:tcPr>
          <w:p>
            <w:pPr>
              <w:spacing w:line="300" w:lineRule="auto" w:after="0" w:before="0"/>
              <w:jc w:val="center"/>
            </w:pPr>
            <w:r/>
            <w:r>
              <w:rPr>
                <w:rFonts w:ascii="Times New Roman" w:hAnsi="Times New Roman" w:eastAsia="宋体"/>
                <w:b w:val="0"/>
                <w:sz w:val="20"/>
              </w:rPr>
              <w:t>OA、mAcc</w:t>
            </w:r>
          </w:p>
        </w:tc>
        <w:tc>
          <w:tcPr>
            <w:tcW w:type="dxa" w:w="2835"/>
            <w:vAlign w:val="center"/>
          </w:tcPr>
          <w:p>
            <w:pPr>
              <w:spacing w:line="300" w:lineRule="auto" w:after="0" w:before="0"/>
              <w:jc w:val="center"/>
            </w:pPr>
            <w:r/>
            <w:r>
              <w:rPr>
                <w:rFonts w:ascii="Times New Roman" w:hAnsi="Times New Roman" w:eastAsia="宋体"/>
                <w:b w:val="0"/>
                <w:sz w:val="20"/>
              </w:rPr>
              <w:t>全局几何判别性与零训练性能</w:t>
            </w:r>
          </w:p>
        </w:tc>
      </w:tr>
      <w:tr>
        <w:tc>
          <w:tcPr>
            <w:tcW w:type="dxa" w:w="1474"/>
            <w:vAlign w:val="center"/>
          </w:tcPr>
          <w:p>
            <w:pPr>
              <w:spacing w:line="300" w:lineRule="auto" w:after="0" w:before="0"/>
              <w:jc w:val="center"/>
            </w:pPr>
            <w:r/>
            <w:r>
              <w:rPr>
                <w:rFonts w:ascii="Times New Roman" w:hAnsi="Times New Roman" w:eastAsia="宋体"/>
                <w:b w:val="0"/>
                <w:sz w:val="20"/>
              </w:rPr>
              <w:t>对象级分类</w:t>
            </w:r>
          </w:p>
        </w:tc>
        <w:tc>
          <w:tcPr>
            <w:tcW w:type="dxa" w:w="1814"/>
            <w:vAlign w:val="center"/>
          </w:tcPr>
          <w:p>
            <w:pPr>
              <w:spacing w:line="300" w:lineRule="auto" w:after="0" w:before="0"/>
              <w:jc w:val="center"/>
            </w:pPr>
            <w:r/>
            <w:r>
              <w:rPr>
                <w:rFonts w:ascii="Times New Roman" w:hAnsi="Times New Roman" w:eastAsia="宋体"/>
                <w:b w:val="0"/>
                <w:sz w:val="20"/>
              </w:rPr>
              <w:t>ScanObjectNN</w:t>
            </w:r>
          </w:p>
        </w:tc>
        <w:tc>
          <w:tcPr>
            <w:tcW w:type="dxa" w:w="1474"/>
            <w:vAlign w:val="center"/>
          </w:tcPr>
          <w:p>
            <w:pPr>
              <w:spacing w:line="300" w:lineRule="auto" w:after="0" w:before="0"/>
              <w:jc w:val="center"/>
            </w:pPr>
            <w:r/>
            <w:r>
              <w:rPr>
                <w:rFonts w:ascii="Times New Roman" w:hAnsi="Times New Roman" w:eastAsia="宋体"/>
                <w:b w:val="0"/>
                <w:sz w:val="20"/>
              </w:rPr>
              <w:t>OA、mAcc</w:t>
            </w:r>
          </w:p>
        </w:tc>
        <w:tc>
          <w:tcPr>
            <w:tcW w:type="dxa" w:w="2835"/>
            <w:vAlign w:val="center"/>
          </w:tcPr>
          <w:p>
            <w:pPr>
              <w:spacing w:line="300" w:lineRule="auto" w:after="0" w:before="0"/>
              <w:jc w:val="center"/>
            </w:pPr>
            <w:r/>
            <w:r>
              <w:rPr>
                <w:rFonts w:ascii="Times New Roman" w:hAnsi="Times New Roman" w:eastAsia="宋体"/>
                <w:b w:val="0"/>
                <w:sz w:val="20"/>
              </w:rPr>
              <w:t>噪声、遮挡与背景干扰鲁棒性</w:t>
            </w:r>
          </w:p>
        </w:tc>
      </w:tr>
      <w:tr>
        <w:tc>
          <w:tcPr>
            <w:tcW w:type="dxa" w:w="1474"/>
            <w:vAlign w:val="center"/>
          </w:tcPr>
          <w:p>
            <w:pPr>
              <w:spacing w:line="300" w:lineRule="auto" w:after="0" w:before="0"/>
              <w:jc w:val="center"/>
            </w:pPr>
            <w:r/>
            <w:r>
              <w:rPr>
                <w:rFonts w:ascii="Times New Roman" w:hAnsi="Times New Roman" w:eastAsia="宋体"/>
                <w:b w:val="0"/>
                <w:sz w:val="20"/>
              </w:rPr>
              <w:t>部件级分割</w:t>
            </w:r>
          </w:p>
        </w:tc>
        <w:tc>
          <w:tcPr>
            <w:tcW w:type="dxa" w:w="1814"/>
            <w:vAlign w:val="center"/>
          </w:tcPr>
          <w:p>
            <w:pPr>
              <w:spacing w:line="300" w:lineRule="auto" w:after="0" w:before="0"/>
              <w:jc w:val="center"/>
            </w:pPr>
            <w:r/>
            <w:r>
              <w:rPr>
                <w:rFonts w:ascii="Times New Roman" w:hAnsi="Times New Roman" w:eastAsia="宋体"/>
                <w:b w:val="0"/>
                <w:sz w:val="20"/>
              </w:rPr>
              <w:t>ShapeNetPart</w:t>
            </w:r>
          </w:p>
        </w:tc>
        <w:tc>
          <w:tcPr>
            <w:tcW w:type="dxa" w:w="1474"/>
            <w:vAlign w:val="center"/>
          </w:tcPr>
          <w:p>
            <w:pPr>
              <w:spacing w:line="300" w:lineRule="auto" w:after="0" w:before="0"/>
              <w:jc w:val="center"/>
            </w:pPr>
            <w:r/>
            <w:r>
              <w:rPr>
                <w:rFonts w:ascii="Times New Roman" w:hAnsi="Times New Roman" w:eastAsia="宋体"/>
                <w:b w:val="0"/>
                <w:sz w:val="20"/>
              </w:rPr>
              <w:t>mIoU</w:t>
            </w:r>
          </w:p>
        </w:tc>
        <w:tc>
          <w:tcPr>
            <w:tcW w:type="dxa" w:w="2835"/>
            <w:vAlign w:val="center"/>
          </w:tcPr>
          <w:p>
            <w:pPr>
              <w:spacing w:line="300" w:lineRule="auto" w:after="0" w:before="0"/>
              <w:jc w:val="center"/>
            </w:pPr>
            <w:r/>
            <w:r>
              <w:rPr>
                <w:rFonts w:ascii="Times New Roman" w:hAnsi="Times New Roman" w:eastAsia="宋体"/>
                <w:b w:val="0"/>
                <w:sz w:val="20"/>
              </w:rPr>
              <w:t>局部结构表达与边界保持能力</w:t>
            </w:r>
          </w:p>
        </w:tc>
      </w:tr>
      <w:tr>
        <w:tc>
          <w:tcPr>
            <w:tcW w:type="dxa" w:w="1474"/>
            <w:vAlign w:val="center"/>
          </w:tcPr>
          <w:p>
            <w:pPr>
              <w:spacing w:line="300" w:lineRule="auto" w:after="0" w:before="0"/>
              <w:jc w:val="center"/>
            </w:pPr>
            <w:r/>
            <w:r>
              <w:rPr>
                <w:rFonts w:ascii="Times New Roman" w:hAnsi="Times New Roman" w:eastAsia="宋体"/>
                <w:b w:val="0"/>
                <w:sz w:val="20"/>
              </w:rPr>
              <w:t>效率评估</w:t>
            </w:r>
          </w:p>
        </w:tc>
        <w:tc>
          <w:tcPr>
            <w:tcW w:type="dxa" w:w="1814"/>
            <w:vAlign w:val="center"/>
          </w:tcPr>
          <w:p>
            <w:pPr>
              <w:spacing w:line="300" w:lineRule="auto" w:after="0" w:before="0"/>
              <w:jc w:val="center"/>
            </w:pPr>
            <w:r/>
            <w:r>
              <w:rPr>
                <w:rFonts w:ascii="Times New Roman" w:hAnsi="Times New Roman" w:eastAsia="宋体"/>
                <w:b w:val="0"/>
                <w:sz w:val="20"/>
              </w:rPr>
              <w:t>统一记录</w:t>
            </w:r>
          </w:p>
        </w:tc>
        <w:tc>
          <w:tcPr>
            <w:tcW w:type="dxa" w:w="1474"/>
            <w:vAlign w:val="center"/>
          </w:tcPr>
          <w:p>
            <w:pPr>
              <w:spacing w:line="300" w:lineRule="auto" w:after="0" w:before="0"/>
              <w:jc w:val="center"/>
            </w:pPr>
            <w:r/>
            <w:r>
              <w:rPr>
                <w:rFonts w:ascii="Times New Roman" w:hAnsi="Times New Roman" w:eastAsia="宋体"/>
                <w:b w:val="0"/>
                <w:sz w:val="20"/>
              </w:rPr>
              <w:t>参数量、推理复杂度、训练代价</w:t>
            </w:r>
          </w:p>
        </w:tc>
        <w:tc>
          <w:tcPr>
            <w:tcW w:type="dxa" w:w="2835"/>
            <w:vAlign w:val="center"/>
          </w:tcPr>
          <w:p>
            <w:pPr>
              <w:spacing w:line="300" w:lineRule="auto" w:after="0" w:before="0"/>
              <w:jc w:val="center"/>
            </w:pPr>
            <w:r/>
            <w:r>
              <w:rPr>
                <w:rFonts w:ascii="Times New Roman" w:hAnsi="Times New Roman" w:eastAsia="宋体"/>
                <w:b w:val="0"/>
                <w:sz w:val="20"/>
              </w:rPr>
              <w:t>轻量化与部署友好性</w:t>
            </w:r>
          </w:p>
        </w:tc>
      </w:tr>
    </w:tbl>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【占位符：建议插入“数据预处理、采样、法向估计与实验流程”的示意图】</w:t>
            </w:r>
            <w:r>
              <w:br/>
            </w:r>
            <w:r>
              <w:br/>
            </w:r>
          </w:p>
        </w:tc>
      </w:tr>
    </w:tbl>
    <w:p>
      <w:pPr>
        <w:jc w:val="center"/>
      </w:pPr>
      <w:r>
        <w:rPr>
          <w:rFonts w:ascii="Times New Roman" w:hAnsi="Times New Roman" w:eastAsia="宋体"/>
          <w:sz w:val="21"/>
        </w:rPr>
        <w:t>图2-8 实验流程与数据预处理示意图【占位符】</w:t>
      </w:r>
    </w:p>
    <w:p>
      <w:pPr>
        <w:pStyle w:val="Heading3"/>
      </w:pPr>
      <w:r>
        <w:t>2.3.2 分类实验与对比分析</w:t>
      </w:r>
    </w:p>
    <w:p>
      <w:pPr/>
      <w:r>
        <w:rPr>
          <w:rFonts w:ascii="Times New Roman" w:hAnsi="Times New Roman" w:eastAsia="宋体"/>
        </w:rPr>
        <w:t>在零训练设置下，本文方法在 ModelNet40 上取得了 90.0% 的 overall accuracy，表明显式几何—频域先验能够在不依赖长周期反向传播训练的条件下形成具有较强判别性的对象级表示。与 training-free 基线 Point-NN 相比，本文方法在同一指标上提升了 8.2 个百分点；与 Seg-NN 相比，提升了 5.8 个百分点</w:t>
      </w:r>
      <w:r>
        <w:rPr>
          <w:rFonts w:ascii="Times New Roman" w:hAnsi="Times New Roman" w:eastAsia="宋体"/>
          <w:sz w:val="17"/>
          <w:vertAlign w:val="superscript"/>
        </w:rPr>
        <w:t>[6-8]</w:t>
      </w:r>
      <w:r>
        <w:rPr>
          <w:rFonts w:ascii="Times New Roman" w:hAnsi="Times New Roman" w:eastAsia="宋体"/>
        </w:rPr>
        <w:t>。这一结果说明，training-free 路线的性能上限并不只取决于采样与聚合是否存在，而更取决于局部几何关系是否被充分组织和频域补偿是否到位。换言之，本章的改进并非来自额外加深网络，而是来自更有效的几何表达。</w:t>
      </w:r>
    </w:p>
    <w:p>
      <w:pPr/>
      <w:r>
        <w:rPr>
          <w:rFonts w:ascii="Times New Roman" w:hAnsi="Times New Roman" w:eastAsia="宋体"/>
        </w:rPr>
        <w:t>进一步地，在少样本分类设定下，本文方法相较于传统监督式方法仍表现出较好的迁移优势。已有结果表明，当训练样本数量显著受限时，依赖显式几何归纳偏置的基础表示往往比完全由参数学习主导的模型更稳健</w:t>
      </w:r>
      <w:r>
        <w:rPr>
          <w:rFonts w:ascii="Times New Roman" w:hAnsi="Times New Roman" w:eastAsia="宋体"/>
          <w:sz w:val="17"/>
          <w:vertAlign w:val="superscript"/>
        </w:rPr>
        <w:t>[8]</w:t>
      </w:r>
      <w:r>
        <w:rPr>
          <w:rFonts w:ascii="Times New Roman" w:hAnsi="Times New Roman" w:eastAsia="宋体"/>
        </w:rPr>
        <w:t>。其根本原因在于：当监督信号不足时，大模型更容易受到数据分布偏差影响，而显式几何—频域先验能够直接从原始点云关系中提取可复用的结构模式。因此，本章方法适合被视为一个“可迁移的低成本底座”，而不只是一个孤立的零训练分类器。</w:t>
      </w:r>
    </w:p>
    <w:p>
      <w:pPr/>
      <w:r>
        <w:rPr>
          <w:rFonts w:ascii="Times New Roman" w:hAnsi="Times New Roman" w:eastAsia="宋体"/>
        </w:rPr>
        <w:t>在 ScanObjectNN 的多个子集上，本文方法同样表现出较好的鲁棒性。由于该数据集包含真实采集中的背景噪声、遮挡和姿态变化，其评测重点不在于是否刷新单一精度指标，而在于验证训练自由表征是否能够在受扰动的条件下保持整体轮廓识别能力。从实验现象可以看出，几何—频域联合编码使模型能够更稳定地保留局部结构与全局形态之间的关联，在噪声和遮挡存在时仍能维持较清晰的类别响应边界。这一性质对于后续第三章开展跨模态语义补偿尤为重要，因为只有当点云底座本身足够稳定时，多模态信息的引入才不会退化为对弱几何特征的简单修补。</w:t>
      </w:r>
    </w:p>
    <w:p>
      <w:pPr/>
      <w:r>
        <w:rPr>
          <w:rFonts w:ascii="Times New Roman" w:hAnsi="Times New Roman" w:eastAsia="宋体"/>
        </w:rPr>
        <w:t>需要客观指出的是，与 PTv3、Sonata、Concerto 等依赖充分监督或预训练的最新方法相比，本文方法并不以绝对精度全面超越这些重型框架为目标</w:t>
      </w:r>
      <w:r>
        <w:rPr>
          <w:rFonts w:ascii="Times New Roman" w:hAnsi="Times New Roman" w:eastAsia="宋体"/>
          <w:sz w:val="17"/>
          <w:vertAlign w:val="superscript"/>
        </w:rPr>
        <w:t>[5,9,10]</w:t>
      </w:r>
      <w:r>
        <w:rPr>
          <w:rFonts w:ascii="Times New Roman" w:hAnsi="Times New Roman" w:eastAsia="宋体"/>
        </w:rPr>
        <w:t>。第二章的实验目的在于证明：在轻量化和低训练依赖条件下，点云基础表征依然能够达到较高水平，并形成后续统一建模所需的几何锚点。这样的定位与全文结构是一致的，即第二章首先解决“点云自身是否可在低成本条件下形成高质量表示”的问题，第三章和第四章再在此基础上引入跨模态增强与复杂场景扩展。</w:t>
      </w:r>
    </w:p>
    <w:p>
      <w:pPr>
        <w:jc w:val="center"/>
      </w:pPr>
      <w:r>
        <w:rPr>
          <w:rFonts w:ascii="Times New Roman" w:hAnsi="Times New Roman" w:eastAsia="宋体"/>
          <w:sz w:val="21"/>
        </w:rPr>
        <w:t>表2-4 ModelNet40分类结果对比</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587"/>
            <w:vAlign w:val="center"/>
            <w:shd w:fill="D9EAF7"/>
          </w:tcPr>
          <w:p>
            <w:pPr>
              <w:spacing w:line="300" w:lineRule="auto" w:after="0" w:before="0"/>
              <w:jc w:val="center"/>
            </w:pPr>
            <w:r/>
            <w:r>
              <w:rPr>
                <w:rFonts w:ascii="Times New Roman" w:hAnsi="Times New Roman" w:eastAsia="宋体"/>
                <w:b/>
                <w:sz w:val="21"/>
              </w:rPr>
              <w:t>方法</w:t>
            </w:r>
          </w:p>
        </w:tc>
        <w:tc>
          <w:tcPr>
            <w:tcW w:type="dxa" w:w="1701"/>
            <w:vAlign w:val="center"/>
            <w:shd w:fill="D9EAF7"/>
          </w:tcPr>
          <w:p>
            <w:pPr>
              <w:spacing w:line="300" w:lineRule="auto" w:after="0" w:before="0"/>
              <w:jc w:val="center"/>
            </w:pPr>
            <w:r/>
            <w:r>
              <w:rPr>
                <w:rFonts w:ascii="Times New Roman" w:hAnsi="Times New Roman" w:eastAsia="宋体"/>
                <w:b/>
                <w:sz w:val="21"/>
              </w:rPr>
              <w:t>训练方式</w:t>
            </w:r>
          </w:p>
        </w:tc>
        <w:tc>
          <w:tcPr>
            <w:tcW w:type="dxa" w:w="1701"/>
            <w:vAlign w:val="center"/>
            <w:shd w:fill="D9EAF7"/>
          </w:tcPr>
          <w:p>
            <w:pPr>
              <w:spacing w:line="300" w:lineRule="auto" w:after="0" w:before="0"/>
              <w:jc w:val="center"/>
            </w:pPr>
            <w:r/>
            <w:r>
              <w:rPr>
                <w:rFonts w:ascii="Times New Roman" w:hAnsi="Times New Roman" w:eastAsia="宋体"/>
                <w:b/>
                <w:sz w:val="21"/>
              </w:rPr>
              <w:t>ModelNet40 OA(%)</w:t>
            </w:r>
          </w:p>
        </w:tc>
        <w:tc>
          <w:tcPr>
            <w:tcW w:type="dxa" w:w="1701"/>
            <w:vAlign w:val="center"/>
            <w:shd w:fill="D9EAF7"/>
          </w:tcPr>
          <w:p>
            <w:pPr>
              <w:spacing w:line="300" w:lineRule="auto" w:after="0" w:before="0"/>
              <w:jc w:val="center"/>
            </w:pPr>
            <w:r/>
            <w:r>
              <w:rPr>
                <w:rFonts w:ascii="Times New Roman" w:hAnsi="Times New Roman" w:eastAsia="宋体"/>
                <w:b/>
                <w:sz w:val="21"/>
              </w:rPr>
              <w:t>相对本文方法差值</w:t>
            </w:r>
          </w:p>
        </w:tc>
        <w:tc>
          <w:tcPr>
            <w:tcW w:type="dxa" w:w="2268"/>
            <w:vAlign w:val="center"/>
            <w:shd w:fill="D9EAF7"/>
          </w:tcPr>
          <w:p>
            <w:pPr>
              <w:spacing w:line="300" w:lineRule="auto" w:after="0" w:before="0"/>
              <w:jc w:val="center"/>
            </w:pPr>
            <w:r/>
            <w:r>
              <w:rPr>
                <w:rFonts w:ascii="Times New Roman" w:hAnsi="Times New Roman" w:eastAsia="宋体"/>
                <w:b/>
                <w:sz w:val="21"/>
              </w:rPr>
              <w:t>说明</w:t>
            </w:r>
          </w:p>
        </w:tc>
      </w:tr>
      <w:tr>
        <w:tc>
          <w:tcPr>
            <w:tcW w:type="dxa" w:w="1587"/>
            <w:vAlign w:val="center"/>
          </w:tcPr>
          <w:p>
            <w:pPr>
              <w:spacing w:line="300" w:lineRule="auto" w:after="0" w:before="0"/>
              <w:jc w:val="center"/>
            </w:pPr>
            <w:r/>
            <w:r>
              <w:rPr>
                <w:rFonts w:ascii="Times New Roman" w:hAnsi="Times New Roman" w:eastAsia="宋体"/>
                <w:b w:val="0"/>
                <w:sz w:val="20"/>
              </w:rPr>
              <w:t>Point-NN</w:t>
            </w:r>
          </w:p>
        </w:tc>
        <w:tc>
          <w:tcPr>
            <w:tcW w:type="dxa" w:w="1701"/>
            <w:vAlign w:val="center"/>
          </w:tcPr>
          <w:p>
            <w:pPr>
              <w:spacing w:line="300" w:lineRule="auto" w:after="0" w:before="0"/>
              <w:jc w:val="center"/>
            </w:pPr>
            <w:r/>
            <w:r>
              <w:rPr>
                <w:rFonts w:ascii="Times New Roman" w:hAnsi="Times New Roman" w:eastAsia="宋体"/>
                <w:b w:val="0"/>
                <w:sz w:val="20"/>
              </w:rPr>
              <w:t>Training-free</w:t>
            </w:r>
          </w:p>
        </w:tc>
        <w:tc>
          <w:tcPr>
            <w:tcW w:type="dxa" w:w="1701"/>
            <w:vAlign w:val="center"/>
          </w:tcPr>
          <w:p>
            <w:pPr>
              <w:spacing w:line="300" w:lineRule="auto" w:after="0" w:before="0"/>
              <w:jc w:val="center"/>
            </w:pPr>
            <w:r/>
            <w:r>
              <w:rPr>
                <w:rFonts w:ascii="Times New Roman" w:hAnsi="Times New Roman" w:eastAsia="宋体"/>
                <w:b w:val="0"/>
                <w:sz w:val="20"/>
              </w:rPr>
              <w:t>81.8</w:t>
            </w:r>
          </w:p>
        </w:tc>
        <w:tc>
          <w:tcPr>
            <w:tcW w:type="dxa" w:w="1701"/>
            <w:vAlign w:val="center"/>
          </w:tcPr>
          <w:p>
            <w:pPr>
              <w:spacing w:line="300" w:lineRule="auto" w:after="0" w:before="0"/>
              <w:jc w:val="center"/>
            </w:pPr>
            <w:r/>
            <w:r>
              <w:rPr>
                <w:rFonts w:ascii="Times New Roman" w:hAnsi="Times New Roman" w:eastAsia="宋体"/>
                <w:b w:val="0"/>
                <w:sz w:val="20"/>
              </w:rPr>
              <w:t>-8.2</w:t>
            </w:r>
          </w:p>
        </w:tc>
        <w:tc>
          <w:tcPr>
            <w:tcW w:type="dxa" w:w="2268"/>
            <w:vAlign w:val="center"/>
          </w:tcPr>
          <w:p>
            <w:pPr>
              <w:spacing w:line="300" w:lineRule="auto" w:after="0" w:before="0"/>
              <w:jc w:val="center"/>
            </w:pPr>
            <w:r/>
            <w:r>
              <w:rPr>
                <w:rFonts w:ascii="Times New Roman" w:hAnsi="Times New Roman" w:eastAsia="宋体"/>
                <w:b w:val="0"/>
                <w:sz w:val="20"/>
              </w:rPr>
              <w:t>非参数基线，几何表达能力有限</w:t>
            </w:r>
          </w:p>
        </w:tc>
      </w:tr>
      <w:tr>
        <w:tc>
          <w:tcPr>
            <w:tcW w:type="dxa" w:w="1587"/>
            <w:vAlign w:val="center"/>
          </w:tcPr>
          <w:p>
            <w:pPr>
              <w:spacing w:line="300" w:lineRule="auto" w:after="0" w:before="0"/>
              <w:jc w:val="center"/>
            </w:pPr>
            <w:r/>
            <w:r>
              <w:rPr>
                <w:rFonts w:ascii="Times New Roman" w:hAnsi="Times New Roman" w:eastAsia="宋体"/>
                <w:b w:val="0"/>
                <w:sz w:val="20"/>
              </w:rPr>
              <w:t>Seg-NN</w:t>
            </w:r>
          </w:p>
        </w:tc>
        <w:tc>
          <w:tcPr>
            <w:tcW w:type="dxa" w:w="1701"/>
            <w:vAlign w:val="center"/>
          </w:tcPr>
          <w:p>
            <w:pPr>
              <w:spacing w:line="300" w:lineRule="auto" w:after="0" w:before="0"/>
              <w:jc w:val="center"/>
            </w:pPr>
            <w:r/>
            <w:r>
              <w:rPr>
                <w:rFonts w:ascii="Times New Roman" w:hAnsi="Times New Roman" w:eastAsia="宋体"/>
                <w:b w:val="0"/>
                <w:sz w:val="20"/>
              </w:rPr>
              <w:t>Training-free</w:t>
            </w:r>
          </w:p>
        </w:tc>
        <w:tc>
          <w:tcPr>
            <w:tcW w:type="dxa" w:w="1701"/>
            <w:vAlign w:val="center"/>
          </w:tcPr>
          <w:p>
            <w:pPr>
              <w:spacing w:line="300" w:lineRule="auto" w:after="0" w:before="0"/>
              <w:jc w:val="center"/>
            </w:pPr>
            <w:r/>
            <w:r>
              <w:rPr>
                <w:rFonts w:ascii="Times New Roman" w:hAnsi="Times New Roman" w:eastAsia="宋体"/>
                <w:b w:val="0"/>
                <w:sz w:val="20"/>
              </w:rPr>
              <w:t>84.2</w:t>
            </w:r>
          </w:p>
        </w:tc>
        <w:tc>
          <w:tcPr>
            <w:tcW w:type="dxa" w:w="1701"/>
            <w:vAlign w:val="center"/>
          </w:tcPr>
          <w:p>
            <w:pPr>
              <w:spacing w:line="300" w:lineRule="auto" w:after="0" w:before="0"/>
              <w:jc w:val="center"/>
            </w:pPr>
            <w:r/>
            <w:r>
              <w:rPr>
                <w:rFonts w:ascii="Times New Roman" w:hAnsi="Times New Roman" w:eastAsia="宋体"/>
                <w:b w:val="0"/>
                <w:sz w:val="20"/>
              </w:rPr>
              <w:t>-5.8</w:t>
            </w:r>
          </w:p>
        </w:tc>
        <w:tc>
          <w:tcPr>
            <w:tcW w:type="dxa" w:w="2268"/>
            <w:vAlign w:val="center"/>
          </w:tcPr>
          <w:p>
            <w:pPr>
              <w:spacing w:line="300" w:lineRule="auto" w:after="0" w:before="0"/>
              <w:jc w:val="center"/>
            </w:pPr>
            <w:r/>
            <w:r>
              <w:rPr>
                <w:rFonts w:ascii="Times New Roman" w:hAnsi="Times New Roman" w:eastAsia="宋体"/>
                <w:b w:val="0"/>
                <w:sz w:val="20"/>
              </w:rPr>
              <w:t>分割导向的非参数基线</w:t>
            </w:r>
          </w:p>
        </w:tc>
      </w:tr>
      <w:tr>
        <w:tc>
          <w:tcPr>
            <w:tcW w:type="dxa" w:w="1587"/>
            <w:vAlign w:val="center"/>
          </w:tcPr>
          <w:p>
            <w:pPr>
              <w:spacing w:line="300" w:lineRule="auto" w:after="0" w:before="0"/>
              <w:jc w:val="center"/>
            </w:pPr>
            <w:r/>
            <w:r>
              <w:rPr>
                <w:rFonts w:ascii="Times New Roman" w:hAnsi="Times New Roman" w:eastAsia="宋体"/>
                <w:b w:val="0"/>
                <w:sz w:val="20"/>
              </w:rPr>
              <w:t>本文方法</w:t>
            </w:r>
          </w:p>
        </w:tc>
        <w:tc>
          <w:tcPr>
            <w:tcW w:type="dxa" w:w="1701"/>
            <w:vAlign w:val="center"/>
          </w:tcPr>
          <w:p>
            <w:pPr>
              <w:spacing w:line="300" w:lineRule="auto" w:after="0" w:before="0"/>
              <w:jc w:val="left"/>
            </w:pPr>
            <w:r/>
            <w:r>
              <w:rPr>
                <w:rFonts w:ascii="Times New Roman" w:hAnsi="Times New Roman" w:eastAsia="宋体"/>
                <w:b w:val="0"/>
                <w:sz w:val="20"/>
              </w:rPr>
              <w:t>Training-free / 少参数任务头</w:t>
            </w:r>
          </w:p>
        </w:tc>
        <w:tc>
          <w:tcPr>
            <w:tcW w:type="dxa" w:w="1701"/>
            <w:vAlign w:val="center"/>
          </w:tcPr>
          <w:p>
            <w:pPr>
              <w:spacing w:line="300" w:lineRule="auto" w:after="0" w:before="0"/>
              <w:jc w:val="center"/>
            </w:pPr>
            <w:r/>
            <w:r>
              <w:rPr>
                <w:rFonts w:ascii="Times New Roman" w:hAnsi="Times New Roman" w:eastAsia="宋体"/>
                <w:b w:val="0"/>
                <w:sz w:val="20"/>
              </w:rPr>
              <w:t>90.0</w:t>
            </w:r>
          </w:p>
        </w:tc>
        <w:tc>
          <w:tcPr>
            <w:tcW w:type="dxa" w:w="1701"/>
            <w:vAlign w:val="center"/>
          </w:tcPr>
          <w:p>
            <w:pPr>
              <w:spacing w:line="300" w:lineRule="auto" w:after="0" w:before="0"/>
              <w:jc w:val="center"/>
            </w:pPr>
            <w:r/>
            <w:r>
              <w:rPr>
                <w:rFonts w:ascii="Times New Roman" w:hAnsi="Times New Roman" w:eastAsia="宋体"/>
                <w:b w:val="0"/>
                <w:sz w:val="20"/>
              </w:rPr>
              <w:t>0.0</w:t>
            </w:r>
          </w:p>
        </w:tc>
        <w:tc>
          <w:tcPr>
            <w:tcW w:type="dxa" w:w="2268"/>
            <w:vAlign w:val="center"/>
          </w:tcPr>
          <w:p>
            <w:pPr>
              <w:spacing w:line="300" w:lineRule="auto" w:after="0" w:before="0"/>
              <w:jc w:val="center"/>
            </w:pPr>
            <w:r/>
            <w:r>
              <w:rPr>
                <w:rFonts w:ascii="Times New Roman" w:hAnsi="Times New Roman" w:eastAsia="宋体"/>
                <w:b w:val="0"/>
                <w:sz w:val="20"/>
              </w:rPr>
              <w:t>几何—频域联合编码提升分类判别性</w:t>
            </w:r>
          </w:p>
        </w:tc>
      </w:tr>
    </w:tbl>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【占位符：建议插入“各方法分类精度柱状图、混淆矩阵或鲁棒性对比图”】</w:t>
            </w:r>
            <w:r>
              <w:br/>
            </w:r>
            <w:r>
              <w:br/>
            </w:r>
          </w:p>
        </w:tc>
      </w:tr>
    </w:tbl>
    <w:p>
      <w:pPr>
        <w:jc w:val="center"/>
      </w:pPr>
      <w:r>
        <w:rPr>
          <w:rFonts w:ascii="Times New Roman" w:hAnsi="Times New Roman" w:eastAsia="宋体"/>
          <w:sz w:val="21"/>
        </w:rPr>
        <w:t>图2-9 分类结果柱状图与混淆矩阵【占位符】</w:t>
      </w:r>
    </w:p>
    <w:p>
      <w:pPr>
        <w:pStyle w:val="Heading3"/>
      </w:pPr>
      <w:r>
        <w:t>2.3.3 分割实验、消融分析与讨论</w:t>
      </w:r>
    </w:p>
    <w:p>
      <w:pPr/>
      <w:r>
        <w:rPr>
          <w:rFonts w:ascii="Times New Roman" w:hAnsi="Times New Roman" w:eastAsia="宋体"/>
        </w:rPr>
        <w:t>部件级分割实验进一步检验了本文方法对局部结构和细粒度边界的表达能力。结果表明，在 ShapeNetPart 数据集上，本文方法在零训练条件下取得了 73.1% 的 mIoU，相较于 Point-NN 提升了 2.7 个百分点</w:t>
      </w:r>
      <w:r>
        <w:rPr>
          <w:rFonts w:ascii="Times New Roman" w:hAnsi="Times New Roman" w:eastAsia="宋体"/>
          <w:sz w:val="17"/>
          <w:vertAlign w:val="superscript"/>
        </w:rPr>
        <w:t>[6-8]</w:t>
      </w:r>
      <w:r>
        <w:rPr>
          <w:rFonts w:ascii="Times New Roman" w:hAnsi="Times New Roman" w:eastAsia="宋体"/>
        </w:rPr>
        <w:t>。与分类任务相比，分割任务更敏感于局部邻域建模和边界保持，因此这一结果更能直接反映几何—频域联合编码与自适应法向池化的作用。特别是在椅背、飞机机翼、灯具支架等细长部件或高曲率区域上，Plücker 型线关系对方向差异的刻画和 Fourier 映射对高频边界的补偿，能够有效减少部件之间的特征混叠。</w:t>
      </w:r>
    </w:p>
    <w:p>
      <w:pPr/>
      <w:r>
        <w:rPr>
          <w:rFonts w:ascii="Times New Roman" w:hAnsi="Times New Roman" w:eastAsia="宋体"/>
        </w:rPr>
        <w:t>从机理上分析，本章方法在分割任务中的性能提升主要来源于三个方面。第一，Plücker 型线关系编码增强了点对相对取向的表达能力，使形状相近但局部朝向不同的结构更容易在特征空间中分离；第二，频域映射在浅层阶段显式引入多尺度高频基，从而减弱坐标低频主导带来的边界模糊；第三，自适应法向池化通过局部曲率统计调整融合尺度，避免高曲率区域被过度平滑。这三种机制相互配合，使得本文方法即便不依赖大规模可学习参数，仍能够在部件级语义预测中保持较强的边界保真能力。</w:t>
      </w:r>
    </w:p>
    <w:p>
      <w:pPr/>
      <w:r>
        <w:rPr>
          <w:rFonts w:ascii="Times New Roman" w:hAnsi="Times New Roman" w:eastAsia="宋体"/>
        </w:rPr>
        <w:t>除主对比实验外，本章还建议围绕几何—频域联合编码、自适应池化和任务输出头开展消融分析，以验证各模块的独立贡献。具体而言，可分别移除 Plücker 型线关系、Fourier 映射或自适应池化机制，观察分类与分割精度的变化；也可比较“训练自由原型判别头”和“少参数 MLP 头”在不同数据量条件下的适应能力。通过这些消融实验，可以进一步说明本章方法的性能来源主要来自显式几何组织方式，而非隐式依赖任务头容量。与此同时，还可在运行时间和显存占用层面与全局注意力式方法进行比较，以突出本文结构在部署友好性方面的优势。</w:t>
      </w:r>
    </w:p>
    <w:p>
      <w:pPr/>
      <w:r>
        <w:rPr>
          <w:rFonts w:ascii="Times New Roman" w:hAnsi="Times New Roman" w:eastAsia="宋体"/>
        </w:rPr>
        <w:t>从全文角度看，本章实验得出了一个具有基础意义的结论：轻量化点云底座并不必然意味着表征能力大幅下降。相反，当显式几何先验、频域映射和轻量聚合机制设计得当时，training-free 或少参数方法同样可以形成稳定、可迁移且具备后续扩展潜力的三维表示。这一结论为第三章构建跨模态统一点云分析框架提供了可信前提，也为第四章在复杂场景中引入配准约束和3DGS协同建模提供了低成本三维主干。</w:t>
      </w:r>
    </w:p>
    <w:p>
      <w:pPr>
        <w:jc w:val="center"/>
      </w:pPr>
      <w:r>
        <w:rPr>
          <w:rFonts w:ascii="Times New Roman" w:hAnsi="Times New Roman" w:eastAsia="宋体"/>
          <w:sz w:val="21"/>
        </w:rPr>
        <w:t>表2-5 ShapeNetPart分割结果对比</w:t>
      </w: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01"/>
            <w:vAlign w:val="center"/>
            <w:shd w:fill="D9EAF7"/>
          </w:tcPr>
          <w:p>
            <w:pPr>
              <w:spacing w:line="300" w:lineRule="auto" w:after="0" w:before="0"/>
              <w:jc w:val="center"/>
            </w:pPr>
            <w:r/>
            <w:r>
              <w:rPr>
                <w:rFonts w:ascii="Times New Roman" w:hAnsi="Times New Roman" w:eastAsia="宋体"/>
                <w:b/>
                <w:sz w:val="21"/>
              </w:rPr>
              <w:t>方法</w:t>
            </w:r>
          </w:p>
        </w:tc>
        <w:tc>
          <w:tcPr>
            <w:tcW w:type="dxa" w:w="1871"/>
            <w:vAlign w:val="center"/>
            <w:shd w:fill="D9EAF7"/>
          </w:tcPr>
          <w:p>
            <w:pPr>
              <w:spacing w:line="300" w:lineRule="auto" w:after="0" w:before="0"/>
              <w:jc w:val="center"/>
            </w:pPr>
            <w:r/>
            <w:r>
              <w:rPr>
                <w:rFonts w:ascii="Times New Roman" w:hAnsi="Times New Roman" w:eastAsia="宋体"/>
                <w:b/>
                <w:sz w:val="21"/>
              </w:rPr>
              <w:t>训练方式</w:t>
            </w:r>
          </w:p>
        </w:tc>
        <w:tc>
          <w:tcPr>
            <w:tcW w:type="dxa" w:w="1701"/>
            <w:vAlign w:val="center"/>
            <w:shd w:fill="D9EAF7"/>
          </w:tcPr>
          <w:p>
            <w:pPr>
              <w:spacing w:line="300" w:lineRule="auto" w:after="0" w:before="0"/>
              <w:jc w:val="center"/>
            </w:pPr>
            <w:r/>
            <w:r>
              <w:rPr>
                <w:rFonts w:ascii="Times New Roman" w:hAnsi="Times New Roman" w:eastAsia="宋体"/>
                <w:b/>
                <w:sz w:val="21"/>
              </w:rPr>
              <w:t>ShapeNetPart mIoU(%)</w:t>
            </w:r>
          </w:p>
        </w:tc>
        <w:tc>
          <w:tcPr>
            <w:tcW w:type="dxa" w:w="1701"/>
            <w:vAlign w:val="center"/>
            <w:shd w:fill="D9EAF7"/>
          </w:tcPr>
          <w:p>
            <w:pPr>
              <w:spacing w:line="300" w:lineRule="auto" w:after="0" w:before="0"/>
              <w:jc w:val="center"/>
            </w:pPr>
            <w:r/>
            <w:r>
              <w:rPr>
                <w:rFonts w:ascii="Times New Roman" w:hAnsi="Times New Roman" w:eastAsia="宋体"/>
                <w:b/>
                <w:sz w:val="21"/>
              </w:rPr>
              <w:t>相对本文方法差值</w:t>
            </w:r>
          </w:p>
        </w:tc>
        <w:tc>
          <w:tcPr>
            <w:tcW w:type="dxa" w:w="2268"/>
            <w:vAlign w:val="center"/>
            <w:shd w:fill="D9EAF7"/>
          </w:tcPr>
          <w:p>
            <w:pPr>
              <w:spacing w:line="300" w:lineRule="auto" w:after="0" w:before="0"/>
              <w:jc w:val="center"/>
            </w:pPr>
            <w:r/>
            <w:r>
              <w:rPr>
                <w:rFonts w:ascii="Times New Roman" w:hAnsi="Times New Roman" w:eastAsia="宋体"/>
                <w:b/>
                <w:sz w:val="21"/>
              </w:rPr>
              <w:t>说明</w:t>
            </w:r>
          </w:p>
        </w:tc>
      </w:tr>
      <w:tr>
        <w:tc>
          <w:tcPr>
            <w:tcW w:type="dxa" w:w="1701"/>
            <w:vAlign w:val="center"/>
          </w:tcPr>
          <w:p>
            <w:pPr>
              <w:spacing w:line="300" w:lineRule="auto" w:after="0" w:before="0"/>
              <w:jc w:val="center"/>
            </w:pPr>
            <w:r/>
            <w:r>
              <w:rPr>
                <w:rFonts w:ascii="Times New Roman" w:hAnsi="Times New Roman" w:eastAsia="宋体"/>
                <w:b w:val="0"/>
                <w:sz w:val="20"/>
              </w:rPr>
              <w:t>Point-NN</w:t>
            </w:r>
          </w:p>
        </w:tc>
        <w:tc>
          <w:tcPr>
            <w:tcW w:type="dxa" w:w="1871"/>
            <w:vAlign w:val="center"/>
          </w:tcPr>
          <w:p>
            <w:pPr>
              <w:spacing w:line="300" w:lineRule="auto" w:after="0" w:before="0"/>
              <w:jc w:val="center"/>
            </w:pPr>
            <w:r/>
            <w:r>
              <w:rPr>
                <w:rFonts w:ascii="Times New Roman" w:hAnsi="Times New Roman" w:eastAsia="宋体"/>
                <w:b w:val="0"/>
                <w:sz w:val="20"/>
              </w:rPr>
              <w:t>Training-free</w:t>
            </w:r>
          </w:p>
        </w:tc>
        <w:tc>
          <w:tcPr>
            <w:tcW w:type="dxa" w:w="1701"/>
            <w:vAlign w:val="center"/>
          </w:tcPr>
          <w:p>
            <w:pPr>
              <w:spacing w:line="300" w:lineRule="auto" w:after="0" w:before="0"/>
              <w:jc w:val="center"/>
            </w:pPr>
            <w:r/>
            <w:r>
              <w:rPr>
                <w:rFonts w:ascii="Times New Roman" w:hAnsi="Times New Roman" w:eastAsia="宋体"/>
                <w:b w:val="0"/>
                <w:sz w:val="20"/>
              </w:rPr>
              <w:t>70.4</w:t>
            </w:r>
          </w:p>
        </w:tc>
        <w:tc>
          <w:tcPr>
            <w:tcW w:type="dxa" w:w="1701"/>
            <w:vAlign w:val="center"/>
          </w:tcPr>
          <w:p>
            <w:pPr>
              <w:spacing w:line="300" w:lineRule="auto" w:after="0" w:before="0"/>
              <w:jc w:val="center"/>
            </w:pPr>
            <w:r/>
            <w:r>
              <w:rPr>
                <w:rFonts w:ascii="Times New Roman" w:hAnsi="Times New Roman" w:eastAsia="宋体"/>
                <w:b w:val="0"/>
                <w:sz w:val="20"/>
              </w:rPr>
              <w:t>-2.7</w:t>
            </w:r>
          </w:p>
        </w:tc>
        <w:tc>
          <w:tcPr>
            <w:tcW w:type="dxa" w:w="2268"/>
            <w:vAlign w:val="center"/>
          </w:tcPr>
          <w:p>
            <w:pPr>
              <w:spacing w:line="300" w:lineRule="auto" w:after="0" w:before="0"/>
              <w:jc w:val="center"/>
            </w:pPr>
            <w:r/>
            <w:r>
              <w:rPr>
                <w:rFonts w:ascii="Times New Roman" w:hAnsi="Times New Roman" w:eastAsia="宋体"/>
                <w:b w:val="0"/>
                <w:sz w:val="20"/>
              </w:rPr>
              <w:t>边界区域表达能力有限</w:t>
            </w:r>
          </w:p>
        </w:tc>
      </w:tr>
      <w:tr>
        <w:tc>
          <w:tcPr>
            <w:tcW w:type="dxa" w:w="1701"/>
            <w:vAlign w:val="center"/>
          </w:tcPr>
          <w:p>
            <w:pPr>
              <w:spacing w:line="300" w:lineRule="auto" w:after="0" w:before="0"/>
              <w:jc w:val="center"/>
            </w:pPr>
            <w:r/>
            <w:r>
              <w:rPr>
                <w:rFonts w:ascii="Times New Roman" w:hAnsi="Times New Roman" w:eastAsia="宋体"/>
                <w:b w:val="0"/>
                <w:sz w:val="20"/>
              </w:rPr>
              <w:t>本文方法</w:t>
            </w:r>
          </w:p>
        </w:tc>
        <w:tc>
          <w:tcPr>
            <w:tcW w:type="dxa" w:w="1871"/>
            <w:vAlign w:val="center"/>
          </w:tcPr>
          <w:p>
            <w:pPr>
              <w:spacing w:line="300" w:lineRule="auto" w:after="0" w:before="0"/>
              <w:jc w:val="left"/>
            </w:pPr>
            <w:r/>
            <w:r>
              <w:rPr>
                <w:rFonts w:ascii="Times New Roman" w:hAnsi="Times New Roman" w:eastAsia="宋体"/>
                <w:b w:val="0"/>
                <w:sz w:val="20"/>
              </w:rPr>
              <w:t>Training-free / 少参数任务头</w:t>
            </w:r>
          </w:p>
        </w:tc>
        <w:tc>
          <w:tcPr>
            <w:tcW w:type="dxa" w:w="1701"/>
            <w:vAlign w:val="center"/>
          </w:tcPr>
          <w:p>
            <w:pPr>
              <w:spacing w:line="300" w:lineRule="auto" w:after="0" w:before="0"/>
              <w:jc w:val="center"/>
            </w:pPr>
            <w:r/>
            <w:r>
              <w:rPr>
                <w:rFonts w:ascii="Times New Roman" w:hAnsi="Times New Roman" w:eastAsia="宋体"/>
                <w:b w:val="0"/>
                <w:sz w:val="20"/>
              </w:rPr>
              <w:t>73.1</w:t>
            </w:r>
          </w:p>
        </w:tc>
        <w:tc>
          <w:tcPr>
            <w:tcW w:type="dxa" w:w="1701"/>
            <w:vAlign w:val="center"/>
          </w:tcPr>
          <w:p>
            <w:pPr>
              <w:spacing w:line="300" w:lineRule="auto" w:after="0" w:before="0"/>
              <w:jc w:val="center"/>
            </w:pPr>
            <w:r/>
            <w:r>
              <w:rPr>
                <w:rFonts w:ascii="Times New Roman" w:hAnsi="Times New Roman" w:eastAsia="宋体"/>
                <w:b w:val="0"/>
                <w:sz w:val="20"/>
              </w:rPr>
              <w:t>0.0</w:t>
            </w:r>
          </w:p>
        </w:tc>
        <w:tc>
          <w:tcPr>
            <w:tcW w:type="dxa" w:w="2268"/>
            <w:vAlign w:val="center"/>
          </w:tcPr>
          <w:p>
            <w:pPr>
              <w:spacing w:line="300" w:lineRule="auto" w:after="0" w:before="0"/>
              <w:jc w:val="center"/>
            </w:pPr>
            <w:r/>
            <w:r>
              <w:rPr>
                <w:rFonts w:ascii="Times New Roman" w:hAnsi="Times New Roman" w:eastAsia="宋体"/>
                <w:b w:val="0"/>
                <w:sz w:val="20"/>
              </w:rPr>
              <w:t>在细长结构和高曲率区域更稳定</w:t>
            </w:r>
          </w:p>
        </w:tc>
      </w:tr>
    </w:tbl>
    <w:p>
      <w:pPr>
        <w:jc w:val="center"/>
      </w:pPr>
      <w:r>
        <w:rPr>
          <w:rFonts w:ascii="Times New Roman" w:hAnsi="Times New Roman" w:eastAsia="宋体"/>
          <w:sz w:val="21"/>
        </w:rPr>
        <w:t>表2-6 建议补充的消融实验与分析框架</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vAlign w:val="center"/>
            <w:shd w:fill="D9EAF7"/>
          </w:tcPr>
          <w:p>
            <w:pPr>
              <w:spacing w:line="300" w:lineRule="auto" w:after="0" w:before="0"/>
              <w:jc w:val="center"/>
            </w:pPr>
            <w:r/>
            <w:r>
              <w:rPr>
                <w:rFonts w:ascii="Times New Roman" w:hAnsi="Times New Roman" w:eastAsia="宋体"/>
                <w:b/>
                <w:sz w:val="21"/>
              </w:rPr>
              <w:t>消融设置</w:t>
            </w:r>
          </w:p>
        </w:tc>
        <w:tc>
          <w:tcPr>
            <w:tcW w:type="dxa" w:w="1417"/>
            <w:vAlign w:val="center"/>
            <w:shd w:fill="D9EAF7"/>
          </w:tcPr>
          <w:p>
            <w:pPr>
              <w:spacing w:line="300" w:lineRule="auto" w:after="0" w:before="0"/>
              <w:jc w:val="center"/>
            </w:pPr>
            <w:r/>
            <w:r>
              <w:rPr>
                <w:rFonts w:ascii="Times New Roman" w:hAnsi="Times New Roman" w:eastAsia="宋体"/>
                <w:b/>
                <w:sz w:val="21"/>
              </w:rPr>
              <w:t>分类精度变化</w:t>
            </w:r>
          </w:p>
        </w:tc>
        <w:tc>
          <w:tcPr>
            <w:tcW w:type="dxa" w:w="1417"/>
            <w:vAlign w:val="center"/>
            <w:shd w:fill="D9EAF7"/>
          </w:tcPr>
          <w:p>
            <w:pPr>
              <w:spacing w:line="300" w:lineRule="auto" w:after="0" w:before="0"/>
              <w:jc w:val="center"/>
            </w:pPr>
            <w:r/>
            <w:r>
              <w:rPr>
                <w:rFonts w:ascii="Times New Roman" w:hAnsi="Times New Roman" w:eastAsia="宋体"/>
                <w:b/>
                <w:sz w:val="21"/>
              </w:rPr>
              <w:t>分割精度变化</w:t>
            </w:r>
          </w:p>
        </w:tc>
        <w:tc>
          <w:tcPr>
            <w:tcW w:type="dxa" w:w="3572"/>
            <w:vAlign w:val="center"/>
            <w:shd w:fill="D9EAF7"/>
          </w:tcPr>
          <w:p>
            <w:pPr>
              <w:spacing w:line="300" w:lineRule="auto" w:after="0" w:before="0"/>
              <w:jc w:val="center"/>
            </w:pPr>
            <w:r/>
            <w:r>
              <w:rPr>
                <w:rFonts w:ascii="Times New Roman" w:hAnsi="Times New Roman" w:eastAsia="宋体"/>
                <w:b/>
                <w:sz w:val="21"/>
              </w:rPr>
              <w:t>现象分析</w:t>
            </w:r>
          </w:p>
        </w:tc>
      </w:tr>
      <w:tr>
        <w:tc>
          <w:tcPr>
            <w:tcW w:type="dxa" w:w="2268"/>
            <w:vAlign w:val="center"/>
          </w:tcPr>
          <w:p>
            <w:pPr>
              <w:spacing w:line="300" w:lineRule="auto" w:after="0" w:before="0"/>
              <w:jc w:val="center"/>
            </w:pPr>
            <w:r/>
            <w:r>
              <w:rPr>
                <w:rFonts w:ascii="Times New Roman" w:hAnsi="Times New Roman" w:eastAsia="宋体"/>
                <w:b w:val="0"/>
                <w:sz w:val="20"/>
              </w:rPr>
              <w:t>去除Plücker型线关系</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3572"/>
            <w:vAlign w:val="center"/>
          </w:tcPr>
          <w:p>
            <w:pPr>
              <w:spacing w:line="300" w:lineRule="auto" w:after="0" w:before="0"/>
              <w:jc w:val="left"/>
            </w:pPr>
            <w:r/>
            <w:r>
              <w:rPr>
                <w:rFonts w:ascii="Times New Roman" w:hAnsi="Times New Roman" w:eastAsia="宋体"/>
                <w:b w:val="0"/>
                <w:sz w:val="20"/>
              </w:rPr>
              <w:t>方向性表达削弱，局部结构区分能力下降</w:t>
            </w:r>
          </w:p>
        </w:tc>
      </w:tr>
      <w:tr>
        <w:tc>
          <w:tcPr>
            <w:tcW w:type="dxa" w:w="2268"/>
            <w:vAlign w:val="center"/>
          </w:tcPr>
          <w:p>
            <w:pPr>
              <w:spacing w:line="300" w:lineRule="auto" w:after="0" w:before="0"/>
              <w:jc w:val="center"/>
            </w:pPr>
            <w:r/>
            <w:r>
              <w:rPr>
                <w:rFonts w:ascii="Times New Roman" w:hAnsi="Times New Roman" w:eastAsia="宋体"/>
                <w:b w:val="0"/>
                <w:sz w:val="20"/>
              </w:rPr>
              <w:t>去除Fourier频域映射</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3572"/>
            <w:vAlign w:val="center"/>
          </w:tcPr>
          <w:p>
            <w:pPr>
              <w:spacing w:line="300" w:lineRule="auto" w:after="0" w:before="0"/>
              <w:jc w:val="center"/>
            </w:pPr>
            <w:r/>
            <w:r>
              <w:rPr>
                <w:rFonts w:ascii="Times New Roman" w:hAnsi="Times New Roman" w:eastAsia="宋体"/>
                <w:b w:val="0"/>
                <w:sz w:val="20"/>
              </w:rPr>
              <w:t>高频边界刻画不足，薄结构易混淆</w:t>
            </w:r>
          </w:p>
        </w:tc>
      </w:tr>
      <w:tr>
        <w:tc>
          <w:tcPr>
            <w:tcW w:type="dxa" w:w="2268"/>
            <w:vAlign w:val="center"/>
          </w:tcPr>
          <w:p>
            <w:pPr>
              <w:spacing w:line="300" w:lineRule="auto" w:after="0" w:before="0"/>
              <w:jc w:val="center"/>
            </w:pPr>
            <w:r/>
            <w:r>
              <w:rPr>
                <w:rFonts w:ascii="Times New Roman" w:hAnsi="Times New Roman" w:eastAsia="宋体"/>
                <w:b w:val="0"/>
                <w:sz w:val="20"/>
              </w:rPr>
              <w:t>固定尺度池化替代自适应池化</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3572"/>
            <w:vAlign w:val="center"/>
          </w:tcPr>
          <w:p>
            <w:pPr>
              <w:spacing w:line="300" w:lineRule="auto" w:after="0" w:before="0"/>
              <w:jc w:val="center"/>
            </w:pPr>
            <w:r/>
            <w:r>
              <w:rPr>
                <w:rFonts w:ascii="Times New Roman" w:hAnsi="Times New Roman" w:eastAsia="宋体"/>
                <w:b w:val="0"/>
                <w:sz w:val="20"/>
              </w:rPr>
              <w:t>高曲率区域出现过度平滑</w:t>
            </w:r>
          </w:p>
        </w:tc>
      </w:tr>
      <w:tr>
        <w:tc>
          <w:tcPr>
            <w:tcW w:type="dxa" w:w="2268"/>
            <w:vAlign w:val="center"/>
          </w:tcPr>
          <w:p>
            <w:pPr>
              <w:spacing w:line="300" w:lineRule="auto" w:after="0" w:before="0"/>
              <w:jc w:val="center"/>
            </w:pPr>
            <w:r/>
            <w:r>
              <w:rPr>
                <w:rFonts w:ascii="Times New Roman" w:hAnsi="Times New Roman" w:eastAsia="宋体"/>
                <w:b w:val="0"/>
                <w:sz w:val="20"/>
              </w:rPr>
              <w:t>原型判别头替换为MLP头</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1417"/>
            <w:vAlign w:val="center"/>
          </w:tcPr>
          <w:p>
            <w:pPr>
              <w:spacing w:line="300" w:lineRule="auto" w:after="0" w:before="0"/>
              <w:jc w:val="center"/>
            </w:pPr>
            <w:r/>
            <w:r>
              <w:rPr>
                <w:rFonts w:ascii="Times New Roman" w:hAnsi="Times New Roman" w:eastAsia="宋体"/>
                <w:b w:val="0"/>
                <w:sz w:val="20"/>
              </w:rPr>
              <w:t>【待补充】</w:t>
            </w:r>
          </w:p>
        </w:tc>
        <w:tc>
          <w:tcPr>
            <w:tcW w:type="dxa" w:w="3572"/>
            <w:vAlign w:val="center"/>
          </w:tcPr>
          <w:p>
            <w:pPr>
              <w:spacing w:line="300" w:lineRule="auto" w:after="0" w:before="0"/>
              <w:jc w:val="center"/>
            </w:pPr>
            <w:r/>
            <w:r>
              <w:rPr>
                <w:rFonts w:ascii="Times New Roman" w:hAnsi="Times New Roman" w:eastAsia="宋体"/>
                <w:b w:val="0"/>
                <w:sz w:val="20"/>
              </w:rPr>
              <w:t>少样本条件下适应性存在差异</w:t>
            </w:r>
          </w:p>
        </w:tc>
      </w:tr>
    </w:tbl>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【占位符：建议插入“Point-NN、本文方法与真实标签的分割可视化对比”】</w:t>
            </w:r>
            <w:r>
              <w:br/>
            </w:r>
            <w:r>
              <w:br/>
            </w:r>
          </w:p>
        </w:tc>
      </w:tr>
    </w:tbl>
    <w:p>
      <w:pPr>
        <w:jc w:val="center"/>
      </w:pPr>
      <w:r>
        <w:rPr>
          <w:rFonts w:ascii="Times New Roman" w:hAnsi="Times New Roman" w:eastAsia="宋体"/>
          <w:sz w:val="21"/>
        </w:rPr>
        <w:t>图2-10 部件分割定性结果对比【占位符】</w:t>
      </w:r>
    </w:p>
    <w:tbl>
      <w:tblPr>
        <w:tblW w:type="auto" w:w="0"/>
        <w:jc w:val="center"/>
        <w:tblLook w:firstColumn="1" w:firstRow="1" w:lastColumn="0" w:lastRow="0" w:noHBand="0" w:noVBand="1" w:val="04A0"/>
      </w:tblPr>
      <w:tblGrid>
        <w:gridCol w:w="8788"/>
      </w:tblGrid>
      <w:tr>
        <w:tc>
          <w:tcPr>
            <w:tcW w:type="dxa" w:w="7087"/>
            <w:vAlign w:val="center"/>
            <w:tcMar>
              <w:top w:w="120" w:type="dxa"/>
              <w:bottom w:w="120" w:type="dxa"/>
              <w:left w:w="120" w:type="dxa"/>
              <w:right w:w="120" w:type="dxa"/>
            </w:tcMar>
          </w:tcPr>
          <w:p>
            <w:pPr>
              <w:jc w:val="center"/>
            </w:pPr>
            <w:r>
              <w:rPr>
                <w:rFonts w:ascii="Times New Roman" w:hAnsi="Times New Roman" w:eastAsia="宋体"/>
                <w:i/>
                <w:color w:val="5A5A5A"/>
                <w:sz w:val="21"/>
              </w:rPr>
              <w:t>【占位符：建议插入“模块消融柱状图、参数量/时延/精度关系图”】</w:t>
            </w:r>
            <w:r>
              <w:br/>
            </w:r>
            <w:r>
              <w:br/>
            </w:r>
          </w:p>
        </w:tc>
      </w:tr>
    </w:tbl>
    <w:p>
      <w:pPr>
        <w:jc w:val="center"/>
      </w:pPr>
      <w:r>
        <w:rPr>
          <w:rFonts w:ascii="Times New Roman" w:hAnsi="Times New Roman" w:eastAsia="宋体"/>
          <w:sz w:val="21"/>
        </w:rPr>
        <w:t>图2-11 消融实验与效率—精度权衡图【占位符】</w:t>
      </w:r>
    </w:p>
    <w:p>
      <w:pPr>
        <w:pStyle w:val="Heading2"/>
      </w:pPr>
      <w:r>
        <w:t>2.4 本章小结</w:t>
      </w:r>
    </w:p>
    <w:p>
      <w:pPr/>
      <w:r>
        <w:rPr>
          <w:rFonts w:ascii="Times New Roman" w:hAnsi="Times New Roman" w:eastAsia="宋体"/>
        </w:rPr>
        <w:t>本章围绕“在轻量化和低训练依赖条件下如何构建高质量点云基础表示”这一问题，提出了一种基于几何—频域先验的训练自由轻量化点云基础表征方法。该方法首先通过相对位移、Plücker 型线关系、法向一致性和 Fourier 频域映射构建显式邻域描述子，然后利用基于核权重的非参数聚合和自适应法向池化完成多尺度特征提取，最后通过训练自由原型判别或少参数任务头分别支持分类与分割两类输出。与将全部创新内容混合到同一章节的写法不同，本章明确将研究边界限定在“点云基础表征”层面，从而使第二章、第三章和第四章在方法逻辑上形成清晰递进：先构建几何底座，再开展跨模态统一建模，最后完成鲁棒扩展与显式场景协同。</w:t>
      </w:r>
    </w:p>
    <w:p>
      <w:pPr/>
      <w:r>
        <w:rPr>
          <w:rFonts w:ascii="Times New Roman" w:hAnsi="Times New Roman" w:eastAsia="宋体"/>
        </w:rPr>
        <w:t>实验结果表明，本章方法在 ModelNet40 上取得 90.0% 的零训练分类精度，在 ShapeNetPart 上取得 73.1% 的零训练分割 mIoU，并相较已有 training-free 基线表现出明确提升</w:t>
      </w:r>
      <w:r>
        <w:rPr>
          <w:rFonts w:ascii="Times New Roman" w:hAnsi="Times New Roman" w:eastAsia="宋体"/>
          <w:sz w:val="17"/>
          <w:vertAlign w:val="superscript"/>
        </w:rPr>
        <w:t>[6-8]</w:t>
      </w:r>
      <w:r>
        <w:rPr>
          <w:rFonts w:ascii="Times New Roman" w:hAnsi="Times New Roman" w:eastAsia="宋体"/>
        </w:rPr>
        <w:t>。这说明“显式几何优先、参数学习后置”的设计思路是可行的，即在不过度依赖大规模训练的前提下，点云本身仍然能够形成稳定、可迁移且具有后续扩展潜力的基础表示。下一章将在本章几何底座之上，进一步研究图像、文本与点云之间的跨模态特征对齐与统一任务建模机制。</w:t>
      </w:r>
    </w:p>
    <w:p>
      <w:pPr>
        <w:pStyle w:val="Heading2"/>
      </w:pPr>
      <w:r>
        <w:t>参考文献</w:t>
      </w:r>
    </w:p>
    <w:p>
      <w:pPr>
        <w:ind w:firstLine="0"/>
      </w:pPr>
      <w:r>
        <w:rPr>
          <w:rFonts w:ascii="Times New Roman" w:hAnsi="Times New Roman" w:eastAsia="宋体"/>
          <w:sz w:val="21"/>
        </w:rPr>
        <w:t>[1] Qi C R, Su H, Mo K, et al. PointNet: Deep Learning on Point Sets for 3D Classification and Segmentation[C]//Proceedings of the IEEE Conference on Computer Vision and Pattern Recognition. 2017: 652-660.</w:t>
      </w:r>
    </w:p>
    <w:p>
      <w:pPr>
        <w:ind w:firstLine="0"/>
      </w:pPr>
      <w:r>
        <w:rPr>
          <w:rFonts w:ascii="Times New Roman" w:hAnsi="Times New Roman" w:eastAsia="宋体"/>
          <w:sz w:val="21"/>
        </w:rPr>
        <w:t>[2] Qi C R, Yi L, Su H, et al. PointNet++: Deep Hierarchical Feature Learning on Point Sets in a Metric Space[C]//Advances in Neural Information Processing Systems. 2017.</w:t>
      </w:r>
    </w:p>
    <w:p>
      <w:pPr>
        <w:ind w:firstLine="0"/>
      </w:pPr>
      <w:r>
        <w:rPr>
          <w:rFonts w:ascii="Times New Roman" w:hAnsi="Times New Roman" w:eastAsia="宋体"/>
          <w:sz w:val="21"/>
        </w:rPr>
        <w:t>[3] Wang Y, Sun Y, Liu Z, et al. Dynamic Graph CNN for Learning on Point Clouds[J]. ACM Transactions on Graphics, 2019, 38(5): 146.</w:t>
      </w:r>
    </w:p>
    <w:p>
      <w:pPr>
        <w:ind w:firstLine="0"/>
      </w:pPr>
      <w:r>
        <w:rPr>
          <w:rFonts w:ascii="Times New Roman" w:hAnsi="Times New Roman" w:eastAsia="宋体"/>
          <w:sz w:val="21"/>
        </w:rPr>
        <w:t>[4] Qian G, Li Y, Peng H, et al. PointNeXt: Revisiting PointNet++ with Improved Training and Scaling Strategies[C]//Advances in Neural Information Processing Systems. 2022.</w:t>
      </w:r>
    </w:p>
    <w:p>
      <w:pPr>
        <w:ind w:firstLine="0"/>
      </w:pPr>
      <w:r>
        <w:rPr>
          <w:rFonts w:ascii="Times New Roman" w:hAnsi="Times New Roman" w:eastAsia="宋体"/>
          <w:sz w:val="21"/>
        </w:rPr>
        <w:t>[5] Wu X, Jiang L, Wang P S, et al. Point Transformer V3: Simpler, Faster, Stronger[C]//Proceedings of the IEEE/CVF Conference on Computer Vision and Pattern Recognition. 2024.</w:t>
      </w:r>
    </w:p>
    <w:p>
      <w:pPr>
        <w:ind w:firstLine="0"/>
      </w:pPr>
      <w:r>
        <w:rPr>
          <w:rFonts w:ascii="Times New Roman" w:hAnsi="Times New Roman" w:eastAsia="宋体"/>
          <w:sz w:val="21"/>
        </w:rPr>
        <w:t>[6] Zhang R, Guo Z, Li Z, et al. Point-NN: A Non-Parametric Network for Point Cloud Analysis[C]//Proceedings of the IEEE/CVF Conference on Computer Vision and Pattern Recognition. 2023.</w:t>
      </w:r>
    </w:p>
    <w:p>
      <w:pPr>
        <w:ind w:firstLine="0"/>
      </w:pPr>
      <w:r>
        <w:rPr>
          <w:rFonts w:ascii="Times New Roman" w:hAnsi="Times New Roman" w:eastAsia="宋体"/>
          <w:sz w:val="21"/>
        </w:rPr>
        <w:t>[7] Zhang R, Guo Z, Li Z, et al. Seg-NN: Training-Free Part Segmentation for Point Clouds[EB/OL]. 2024.</w:t>
      </w:r>
    </w:p>
    <w:p>
      <w:pPr>
        <w:ind w:firstLine="0"/>
      </w:pPr>
      <w:r>
        <w:rPr>
          <w:rFonts w:ascii="Times New Roman" w:hAnsi="Times New Roman" w:eastAsia="宋体"/>
          <w:sz w:val="21"/>
        </w:rPr>
        <w:t>[8] Zeng H, Zhu H, Yu H, et al. NPMFF-Net: A Training-free Unified Framework for Point Cloud Classification and Segmentation[J]. Knowledge-Based Systems, 2025, 330: 114529.</w:t>
      </w:r>
    </w:p>
    <w:p>
      <w:pPr>
        <w:ind w:firstLine="0"/>
      </w:pPr>
      <w:r>
        <w:rPr>
          <w:rFonts w:ascii="Times New Roman" w:hAnsi="Times New Roman" w:eastAsia="宋体"/>
          <w:sz w:val="21"/>
        </w:rPr>
        <w:t>[9] Wu X, DeTone D, Frost D, et al. Sonata: Self-Supervised Learning of Reliable Point Representations[C]//Proceedings of the IEEE/CVF Conference on Computer Vision and Pattern Recognition. 2025.</w:t>
      </w:r>
    </w:p>
    <w:p>
      <w:pPr>
        <w:ind w:firstLine="0"/>
      </w:pPr>
      <w:r>
        <w:rPr>
          <w:rFonts w:ascii="Times New Roman" w:hAnsi="Times New Roman" w:eastAsia="宋体"/>
          <w:sz w:val="21"/>
        </w:rPr>
        <w:t>[10] Ren X, Li P, Chen H, et al. Concerto: Joint 2D-3D Self-Supervised Learning for Dense Spatial Representations[C]//Advances in Neural Information Processing Systems. 2025.</w:t>
      </w:r>
    </w:p>
    <w:sectPr w:rsidR="00FC693F" w:rsidRPr="0006063C" w:rsidSect="00034616">
      <w:pgSz w:w="11906" w:h="16838"/>
      <w:pgMar w:top="1417"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82"/>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