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D25" w:rsidRDefault="0076240F" w:rsidP="0076240F">
      <w:pPr>
        <w:pStyle w:val="Heading2"/>
      </w:pPr>
      <w:r>
        <w:t>Lionfish Matrix Population Model</w:t>
      </w:r>
    </w:p>
    <w:p w:rsidR="0076240F" w:rsidRDefault="0076240F" w:rsidP="0076240F">
      <w:r>
        <w:t>A matrix population model for lionfish was developed by Morris et al. (2011) to investigate potential approaches for controlling th</w:t>
      </w:r>
      <w:r w:rsidR="00F16A14">
        <w:t>e invasive species. Lionfish start reproducing</w:t>
      </w:r>
      <w:r>
        <w:t xml:space="preserve"> </w:t>
      </w:r>
      <w:r w:rsidR="00F16A14">
        <w:t xml:space="preserve">in </w:t>
      </w:r>
      <w:r>
        <w:t xml:space="preserve">one year. Once they mature, they are very fecund, releasing a large number of eggs every three days according to the study. </w:t>
      </w:r>
      <w:r w:rsidR="00D8004C">
        <w:t>These life history strategies</w:t>
      </w:r>
      <w:r>
        <w:t xml:space="preserve"> make the</w:t>
      </w:r>
      <w:r w:rsidR="00D8004C">
        <w:t>m</w:t>
      </w:r>
      <w:r>
        <w:t xml:space="preserve"> very successful invasive species. Morris. </w:t>
      </w:r>
      <w:proofErr w:type="gramStart"/>
      <w:r>
        <w:t>et</w:t>
      </w:r>
      <w:proofErr w:type="gramEnd"/>
      <w:r>
        <w:t xml:space="preserve"> al. (2011) took parameters </w:t>
      </w:r>
      <w:r w:rsidR="00F16A14">
        <w:t>from</w:t>
      </w:r>
      <w:r>
        <w:t xml:space="preserve"> other studies (</w:t>
      </w:r>
      <w:r w:rsidR="00F16A14">
        <w:t>Table 1</w:t>
      </w:r>
      <w:r>
        <w:t>) and produced a three-stage (larvae, juvenile, and adult) population matrix</w:t>
      </w:r>
      <w:r w:rsidR="00D8004C">
        <w:t xml:space="preserve"> (with one-month time step)</w:t>
      </w:r>
      <w:r>
        <w:t>:</w:t>
      </w:r>
    </w:p>
    <w:p w:rsidR="0076240F" w:rsidRDefault="0076240F" w:rsidP="0076240F">
      <w:pPr>
        <w:pStyle w:val="MTDisplayEquation"/>
      </w:pPr>
      <w:r>
        <w:tab/>
      </w:r>
      <w:r w:rsidRPr="0076240F">
        <w:rPr>
          <w:position w:val="-50"/>
        </w:rPr>
        <w:object w:dxaOrig="15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pt;height:56.05pt" o:ole="">
            <v:imagedata r:id="rId4" o:title=""/>
          </v:shape>
          <o:OLEObject Type="Embed" ProgID="Equation.DSMT4" ShapeID="_x0000_i1025" DrawAspect="Content" ObjectID="_1589109869" r:id="rId5"/>
        </w:object>
      </w:r>
      <w:r w:rsidR="007E6D2F">
        <w:t>.</w:t>
      </w:r>
    </w:p>
    <w:p w:rsidR="004035E8" w:rsidRPr="004035E8" w:rsidRDefault="00F16A14" w:rsidP="004035E8">
      <w:r>
        <w:t>We refers this model</w:t>
      </w:r>
      <w:r w:rsidR="004035E8">
        <w:t xml:space="preserve"> as model 1 (M1).</w:t>
      </w:r>
    </w:p>
    <w:p w:rsidR="0076240F" w:rsidRDefault="0076240F" w:rsidP="0076240F"/>
    <w:p w:rsidR="007E6D2F" w:rsidRPr="007E6D2F" w:rsidRDefault="007E6D2F" w:rsidP="007E6D2F">
      <w:pPr>
        <w:pStyle w:val="Caption"/>
        <w:keepNext/>
        <w:ind w:left="720" w:hanging="720"/>
        <w:rPr>
          <w:color w:val="auto"/>
        </w:rPr>
      </w:pPr>
      <w:r w:rsidRPr="007E6D2F">
        <w:rPr>
          <w:color w:val="auto"/>
        </w:rPr>
        <w:t xml:space="preserve">Table </w:t>
      </w:r>
      <w:r w:rsidRPr="007E6D2F">
        <w:rPr>
          <w:color w:val="auto"/>
        </w:rPr>
        <w:fldChar w:fldCharType="begin"/>
      </w:r>
      <w:r w:rsidRPr="007E6D2F">
        <w:rPr>
          <w:color w:val="auto"/>
        </w:rPr>
        <w:instrText xml:space="preserve"> SEQ Table \* ARABIC </w:instrText>
      </w:r>
      <w:r w:rsidRPr="007E6D2F">
        <w:rPr>
          <w:color w:val="auto"/>
        </w:rPr>
        <w:fldChar w:fldCharType="separate"/>
      </w:r>
      <w:r w:rsidRPr="007E6D2F">
        <w:rPr>
          <w:noProof/>
          <w:color w:val="auto"/>
        </w:rPr>
        <w:t>1</w:t>
      </w:r>
      <w:r w:rsidRPr="007E6D2F">
        <w:rPr>
          <w:color w:val="auto"/>
        </w:rPr>
        <w:fldChar w:fldCharType="end"/>
      </w:r>
      <w:r w:rsidRPr="007E6D2F">
        <w:rPr>
          <w:color w:val="auto"/>
        </w:rPr>
        <w:t xml:space="preserve">. Estimated demographic parameters and calculated </w:t>
      </w:r>
      <w:proofErr w:type="gramStart"/>
      <w:r w:rsidRPr="007E6D2F">
        <w:rPr>
          <w:color w:val="auto"/>
        </w:rPr>
        <w:t>matrix population model elements</w:t>
      </w:r>
      <w:proofErr w:type="gramEnd"/>
      <w:r w:rsidRPr="007E6D2F">
        <w:rPr>
          <w:color w:val="auto"/>
        </w:rPr>
        <w:t xml:space="preserve">. </w:t>
      </w:r>
      <w:r w:rsidR="006C29A2" w:rsidRPr="007E6D2F">
        <w:rPr>
          <w:color w:val="auto"/>
        </w:rPr>
        <w:t>Modified</w:t>
      </w:r>
      <w:r w:rsidRPr="007E6D2F">
        <w:rPr>
          <w:color w:val="auto"/>
        </w:rPr>
        <w:t xml:space="preserve"> from Tables 1 &amp; 2 in Morris et al. (2011).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55"/>
        <w:gridCol w:w="3178"/>
        <w:gridCol w:w="3117"/>
      </w:tblGrid>
      <w:tr w:rsidR="007528A6" w:rsidTr="00F83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7528A6" w:rsidRDefault="007528A6" w:rsidP="007528A6">
            <w:r>
              <w:t>Estimated demographic parameters</w:t>
            </w:r>
          </w:p>
        </w:tc>
      </w:tr>
      <w:tr w:rsidR="0076240F" w:rsidTr="00752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76240F" w:rsidRDefault="0076240F" w:rsidP="0076240F">
            <w:r>
              <w:t>Parameters</w:t>
            </w:r>
          </w:p>
        </w:tc>
        <w:tc>
          <w:tcPr>
            <w:tcW w:w="3178" w:type="dxa"/>
          </w:tcPr>
          <w:p w:rsidR="0076240F" w:rsidRPr="007528A6" w:rsidRDefault="0076240F" w:rsidP="00762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28A6">
              <w:rPr>
                <w:b/>
              </w:rPr>
              <w:t>Value</w:t>
            </w:r>
          </w:p>
        </w:tc>
        <w:tc>
          <w:tcPr>
            <w:tcW w:w="3117" w:type="dxa"/>
          </w:tcPr>
          <w:p w:rsidR="0076240F" w:rsidRPr="007528A6" w:rsidRDefault="0076240F" w:rsidP="00762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28A6">
              <w:rPr>
                <w:b/>
              </w:rPr>
              <w:t>Units</w:t>
            </w:r>
          </w:p>
        </w:tc>
      </w:tr>
      <w:tr w:rsidR="0076240F" w:rsidTr="007528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76240F" w:rsidRPr="007528A6" w:rsidRDefault="007528A6" w:rsidP="0076240F">
            <w:pPr>
              <w:rPr>
                <w:b w:val="0"/>
              </w:rPr>
            </w:pPr>
            <w:r w:rsidRPr="007528A6">
              <w:rPr>
                <w:b w:val="0"/>
              </w:rPr>
              <w:t>L</w:t>
            </w:r>
            <w:r w:rsidR="0076240F" w:rsidRPr="007528A6">
              <w:rPr>
                <w:b w:val="0"/>
              </w:rPr>
              <w:t xml:space="preserve">arval mortality </w:t>
            </w:r>
            <w:r w:rsidRPr="007528A6">
              <w:rPr>
                <w:b w:val="0"/>
              </w:rPr>
              <w:t>(</w:t>
            </w:r>
            <w:r w:rsidRPr="007528A6">
              <w:rPr>
                <w:rFonts w:ascii="Times New Roman" w:hAnsi="Times New Roman" w:cs="Times New Roman"/>
                <w:b w:val="0"/>
                <w:i/>
              </w:rPr>
              <w:t>M</w:t>
            </w:r>
            <w:r w:rsidRPr="007528A6">
              <w:rPr>
                <w:rFonts w:ascii="Times New Roman" w:hAnsi="Times New Roman" w:cs="Times New Roman"/>
                <w:b w:val="0"/>
                <w:i/>
                <w:vertAlign w:val="subscript"/>
              </w:rPr>
              <w:t>L</w:t>
            </w:r>
            <w:r w:rsidRPr="007528A6">
              <w:rPr>
                <w:b w:val="0"/>
              </w:rPr>
              <w:t>)</w:t>
            </w:r>
          </w:p>
        </w:tc>
        <w:tc>
          <w:tcPr>
            <w:tcW w:w="3178" w:type="dxa"/>
          </w:tcPr>
          <w:p w:rsidR="0076240F" w:rsidRDefault="007528A6" w:rsidP="0076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0.350</w:t>
            </w:r>
          </w:p>
        </w:tc>
        <w:tc>
          <w:tcPr>
            <w:tcW w:w="3117" w:type="dxa"/>
          </w:tcPr>
          <w:p w:rsidR="0076240F" w:rsidRPr="007528A6" w:rsidRDefault="007528A6" w:rsidP="0076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days</w:t>
            </w:r>
            <w:r>
              <w:rPr>
                <w:vertAlign w:val="superscript"/>
              </w:rPr>
              <w:t>-1</w:t>
            </w:r>
          </w:p>
        </w:tc>
      </w:tr>
      <w:tr w:rsidR="0076240F" w:rsidTr="00752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76240F" w:rsidRPr="007528A6" w:rsidRDefault="007528A6" w:rsidP="0076240F">
            <w:pPr>
              <w:rPr>
                <w:b w:val="0"/>
              </w:rPr>
            </w:pPr>
            <w:r w:rsidRPr="007528A6">
              <w:rPr>
                <w:b w:val="0"/>
              </w:rPr>
              <w:t>A</w:t>
            </w:r>
            <w:r w:rsidR="0076240F" w:rsidRPr="007528A6">
              <w:rPr>
                <w:b w:val="0"/>
              </w:rPr>
              <w:t>dult mortality</w:t>
            </w:r>
            <w:r w:rsidRPr="007528A6">
              <w:rPr>
                <w:b w:val="0"/>
              </w:rPr>
              <w:t xml:space="preserve"> (</w:t>
            </w:r>
            <w:r w:rsidRPr="007528A6">
              <w:rPr>
                <w:rFonts w:ascii="Times New Roman" w:hAnsi="Times New Roman" w:cs="Times New Roman"/>
                <w:b w:val="0"/>
                <w:i/>
              </w:rPr>
              <w:t>M</w:t>
            </w:r>
            <w:r w:rsidRPr="007528A6">
              <w:rPr>
                <w:rFonts w:ascii="Times New Roman" w:hAnsi="Times New Roman" w:cs="Times New Roman"/>
                <w:b w:val="0"/>
                <w:i/>
                <w:vertAlign w:val="subscript"/>
              </w:rPr>
              <w:t>A</w:t>
            </w:r>
            <w:r w:rsidRPr="007528A6">
              <w:rPr>
                <w:b w:val="0"/>
              </w:rPr>
              <w:t>)</w:t>
            </w:r>
          </w:p>
        </w:tc>
        <w:tc>
          <w:tcPr>
            <w:tcW w:w="3178" w:type="dxa"/>
          </w:tcPr>
          <w:p w:rsidR="0076240F" w:rsidRDefault="007528A6" w:rsidP="00762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0.052</w:t>
            </w:r>
          </w:p>
        </w:tc>
        <w:tc>
          <w:tcPr>
            <w:tcW w:w="3117" w:type="dxa"/>
          </w:tcPr>
          <w:p w:rsidR="0076240F" w:rsidRPr="007528A6" w:rsidRDefault="007528A6" w:rsidP="00762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months</w:t>
            </w:r>
            <w:r>
              <w:rPr>
                <w:vertAlign w:val="superscript"/>
              </w:rPr>
              <w:t>-1</w:t>
            </w:r>
          </w:p>
        </w:tc>
      </w:tr>
      <w:tr w:rsidR="0076240F" w:rsidTr="007528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76240F" w:rsidRPr="007528A6" w:rsidRDefault="007528A6" w:rsidP="0076240F">
            <w:pPr>
              <w:rPr>
                <w:b w:val="0"/>
              </w:rPr>
            </w:pPr>
            <w:r w:rsidRPr="007528A6">
              <w:rPr>
                <w:b w:val="0"/>
              </w:rPr>
              <w:t>J</w:t>
            </w:r>
            <w:r w:rsidR="0076240F" w:rsidRPr="007528A6">
              <w:rPr>
                <w:b w:val="0"/>
              </w:rPr>
              <w:t>uvenile mortality</w:t>
            </w:r>
            <w:r w:rsidRPr="007528A6">
              <w:rPr>
                <w:b w:val="0"/>
              </w:rPr>
              <w:t xml:space="preserve"> (</w:t>
            </w:r>
            <w:r w:rsidRPr="007528A6">
              <w:rPr>
                <w:rFonts w:ascii="Times New Roman" w:hAnsi="Times New Roman" w:cs="Times New Roman"/>
                <w:b w:val="0"/>
                <w:i/>
              </w:rPr>
              <w:t>M</w:t>
            </w:r>
            <w:r w:rsidRPr="007528A6">
              <w:rPr>
                <w:rFonts w:ascii="Times New Roman" w:hAnsi="Times New Roman" w:cs="Times New Roman"/>
                <w:b w:val="0"/>
                <w:i/>
                <w:vertAlign w:val="subscript"/>
              </w:rPr>
              <w:t>J</w:t>
            </w:r>
            <w:r w:rsidRPr="007528A6">
              <w:rPr>
                <w:b w:val="0"/>
              </w:rPr>
              <w:t>)</w:t>
            </w:r>
          </w:p>
        </w:tc>
        <w:tc>
          <w:tcPr>
            <w:tcW w:w="3178" w:type="dxa"/>
          </w:tcPr>
          <w:p w:rsidR="0076240F" w:rsidRDefault="007528A6" w:rsidP="0076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0.165</w:t>
            </w:r>
          </w:p>
        </w:tc>
        <w:tc>
          <w:tcPr>
            <w:tcW w:w="3117" w:type="dxa"/>
          </w:tcPr>
          <w:p w:rsidR="0076240F" w:rsidRDefault="007528A6" w:rsidP="0076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months</w:t>
            </w:r>
            <w:r>
              <w:rPr>
                <w:vertAlign w:val="superscript"/>
              </w:rPr>
              <w:t>-1</w:t>
            </w:r>
          </w:p>
        </w:tc>
      </w:tr>
      <w:tr w:rsidR="0076240F" w:rsidTr="00752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76240F" w:rsidRPr="007528A6" w:rsidRDefault="007528A6" w:rsidP="0076240F">
            <w:pPr>
              <w:rPr>
                <w:b w:val="0"/>
              </w:rPr>
            </w:pPr>
            <w:r w:rsidRPr="007528A6">
              <w:rPr>
                <w:b w:val="0"/>
              </w:rPr>
              <w:t>Proportion female (</w:t>
            </w:r>
            <w:r w:rsidRPr="007528A6">
              <w:rPr>
                <w:rFonts w:ascii="Times New Roman" w:hAnsi="Times New Roman" w:cs="Times New Roman"/>
                <w:b w:val="0"/>
                <w:i/>
              </w:rPr>
              <w:t>ρ</w:t>
            </w:r>
            <w:r w:rsidRPr="007528A6">
              <w:rPr>
                <w:b w:val="0"/>
              </w:rPr>
              <w:t>)</w:t>
            </w:r>
          </w:p>
        </w:tc>
        <w:tc>
          <w:tcPr>
            <w:tcW w:w="3178" w:type="dxa"/>
          </w:tcPr>
          <w:p w:rsidR="0076240F" w:rsidRDefault="007528A6" w:rsidP="00762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46%</w:t>
            </w:r>
          </w:p>
        </w:tc>
        <w:tc>
          <w:tcPr>
            <w:tcW w:w="3117" w:type="dxa"/>
          </w:tcPr>
          <w:p w:rsidR="0076240F" w:rsidRDefault="0076240F" w:rsidP="00762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40F" w:rsidTr="007528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76240F" w:rsidRPr="007528A6" w:rsidRDefault="007528A6" w:rsidP="0076240F">
            <w:pPr>
              <w:rPr>
                <w:b w:val="0"/>
              </w:rPr>
            </w:pPr>
            <w:r w:rsidRPr="007528A6">
              <w:rPr>
                <w:b w:val="0"/>
              </w:rPr>
              <w:t>Larval duration (</w:t>
            </w:r>
            <w:r w:rsidRPr="007528A6">
              <w:rPr>
                <w:rFonts w:ascii="Times New Roman" w:hAnsi="Times New Roman" w:cs="Times New Roman"/>
                <w:b w:val="0"/>
                <w:i/>
              </w:rPr>
              <w:t>D</w:t>
            </w:r>
            <w:r w:rsidRPr="007528A6">
              <w:rPr>
                <w:rFonts w:ascii="Times New Roman" w:hAnsi="Times New Roman" w:cs="Times New Roman"/>
                <w:b w:val="0"/>
                <w:i/>
                <w:vertAlign w:val="subscript"/>
              </w:rPr>
              <w:t>L</w:t>
            </w:r>
            <w:r w:rsidRPr="007528A6">
              <w:rPr>
                <w:b w:val="0"/>
              </w:rPr>
              <w:t>)</w:t>
            </w:r>
          </w:p>
        </w:tc>
        <w:tc>
          <w:tcPr>
            <w:tcW w:w="3178" w:type="dxa"/>
          </w:tcPr>
          <w:p w:rsidR="0076240F" w:rsidRDefault="007528A6" w:rsidP="0076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117" w:type="dxa"/>
          </w:tcPr>
          <w:p w:rsidR="0076240F" w:rsidRDefault="007528A6" w:rsidP="0076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days</w:t>
            </w:r>
          </w:p>
        </w:tc>
      </w:tr>
      <w:tr w:rsidR="0076240F" w:rsidTr="00752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76240F" w:rsidRPr="007528A6" w:rsidRDefault="007528A6" w:rsidP="007528A6">
            <w:pPr>
              <w:rPr>
                <w:b w:val="0"/>
              </w:rPr>
            </w:pPr>
            <w:r w:rsidRPr="007528A6">
              <w:rPr>
                <w:b w:val="0"/>
              </w:rPr>
              <w:t xml:space="preserve">Egg mortality </w:t>
            </w:r>
            <w:r>
              <w:rPr>
                <w:b w:val="0"/>
              </w:rPr>
              <w:t>(</w:t>
            </w:r>
            <w:r w:rsidRPr="007528A6">
              <w:rPr>
                <w:rFonts w:ascii="Times New Roman" w:hAnsi="Times New Roman" w:cs="Times New Roman"/>
                <w:b w:val="0"/>
                <w:i/>
              </w:rPr>
              <w:t>M</w:t>
            </w:r>
            <w:r w:rsidRPr="007528A6">
              <w:rPr>
                <w:rFonts w:ascii="Times New Roman" w:hAnsi="Times New Roman" w:cs="Times New Roman"/>
                <w:b w:val="0"/>
                <w:i/>
                <w:vertAlign w:val="subscript"/>
              </w:rPr>
              <w:t>E</w:t>
            </w:r>
            <w:r>
              <w:rPr>
                <w:b w:val="0"/>
              </w:rPr>
              <w:t>)</w:t>
            </w:r>
          </w:p>
        </w:tc>
        <w:tc>
          <w:tcPr>
            <w:tcW w:w="3178" w:type="dxa"/>
          </w:tcPr>
          <w:p w:rsidR="0076240F" w:rsidRDefault="007528A6" w:rsidP="00762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0.310</w:t>
            </w:r>
          </w:p>
        </w:tc>
        <w:tc>
          <w:tcPr>
            <w:tcW w:w="3117" w:type="dxa"/>
          </w:tcPr>
          <w:p w:rsidR="0076240F" w:rsidRDefault="007528A6" w:rsidP="00762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</w:t>
            </w:r>
            <w:r>
              <w:rPr>
                <w:vertAlign w:val="superscript"/>
              </w:rPr>
              <w:t>-1</w:t>
            </w:r>
          </w:p>
        </w:tc>
      </w:tr>
      <w:tr w:rsidR="0076240F" w:rsidTr="007528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76240F" w:rsidRPr="007528A6" w:rsidRDefault="007528A6" w:rsidP="0076240F">
            <w:pPr>
              <w:rPr>
                <w:b w:val="0"/>
              </w:rPr>
            </w:pPr>
            <w:r w:rsidRPr="007528A6">
              <w:rPr>
                <w:b w:val="0"/>
              </w:rPr>
              <w:t>Fecundity (</w:t>
            </w:r>
            <w:r w:rsidRPr="007528A6">
              <w:rPr>
                <w:rFonts w:ascii="Times New Roman" w:hAnsi="Times New Roman" w:cs="Times New Roman"/>
                <w:b w:val="0"/>
                <w:i/>
              </w:rPr>
              <w:t>f</w:t>
            </w:r>
            <w:r w:rsidRPr="007528A6">
              <w:rPr>
                <w:b w:val="0"/>
              </w:rPr>
              <w:t>)</w:t>
            </w:r>
          </w:p>
        </w:tc>
        <w:tc>
          <w:tcPr>
            <w:tcW w:w="3178" w:type="dxa"/>
          </w:tcPr>
          <w:p w:rsidR="0076240F" w:rsidRDefault="007528A6" w:rsidP="0076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194,577</w:t>
            </w:r>
          </w:p>
        </w:tc>
        <w:tc>
          <w:tcPr>
            <w:tcW w:w="3117" w:type="dxa"/>
          </w:tcPr>
          <w:p w:rsidR="0076240F" w:rsidRPr="007528A6" w:rsidRDefault="007528A6" w:rsidP="0076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Eggs months</w:t>
            </w:r>
            <w:r>
              <w:rPr>
                <w:vertAlign w:val="superscript"/>
              </w:rPr>
              <w:t>-1</w:t>
            </w:r>
            <w:r>
              <w:t xml:space="preserve"> female</w:t>
            </w:r>
            <w:r>
              <w:rPr>
                <w:vertAlign w:val="superscript"/>
              </w:rPr>
              <w:t>-1</w:t>
            </w:r>
          </w:p>
        </w:tc>
      </w:tr>
      <w:tr w:rsidR="0076240F" w:rsidTr="00752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76240F" w:rsidRDefault="007528A6" w:rsidP="0076240F">
            <w:r w:rsidRPr="007528A6">
              <w:rPr>
                <w:b w:val="0"/>
              </w:rPr>
              <w:t>Egg duration (</w:t>
            </w:r>
            <w:r w:rsidRPr="007528A6">
              <w:rPr>
                <w:rFonts w:ascii="Times New Roman" w:hAnsi="Times New Roman" w:cs="Times New Roman"/>
                <w:b w:val="0"/>
                <w:i/>
              </w:rPr>
              <w:t>D</w:t>
            </w:r>
            <w:r w:rsidRPr="007528A6">
              <w:rPr>
                <w:rFonts w:ascii="Times New Roman" w:hAnsi="Times New Roman" w:cs="Times New Roman"/>
                <w:b w:val="0"/>
                <w:i/>
                <w:vertAlign w:val="subscript"/>
              </w:rPr>
              <w:t>E</w:t>
            </w:r>
            <w:r w:rsidRPr="007528A6">
              <w:rPr>
                <w:b w:val="0"/>
              </w:rPr>
              <w:t>)</w:t>
            </w:r>
          </w:p>
        </w:tc>
        <w:tc>
          <w:tcPr>
            <w:tcW w:w="3178" w:type="dxa"/>
          </w:tcPr>
          <w:p w:rsidR="0076240F" w:rsidRDefault="007528A6" w:rsidP="00752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117" w:type="dxa"/>
          </w:tcPr>
          <w:p w:rsidR="0076240F" w:rsidRDefault="007528A6" w:rsidP="00762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</w:t>
            </w:r>
          </w:p>
        </w:tc>
      </w:tr>
      <w:tr w:rsidR="007528A6" w:rsidTr="004D3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7528A6" w:rsidRDefault="007528A6" w:rsidP="007528A6">
            <w:r>
              <w:t>Calculated matrix model elements</w:t>
            </w:r>
          </w:p>
        </w:tc>
      </w:tr>
      <w:tr w:rsidR="0076240F" w:rsidTr="00752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76240F" w:rsidRDefault="007528A6" w:rsidP="0076240F">
            <w:r>
              <w:t>Element</w:t>
            </w:r>
          </w:p>
        </w:tc>
        <w:tc>
          <w:tcPr>
            <w:tcW w:w="3178" w:type="dxa"/>
          </w:tcPr>
          <w:p w:rsidR="0076240F" w:rsidRPr="007E6D2F" w:rsidRDefault="007528A6" w:rsidP="00762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E6D2F">
              <w:rPr>
                <w:b/>
              </w:rPr>
              <w:t>Value</w:t>
            </w:r>
          </w:p>
        </w:tc>
        <w:tc>
          <w:tcPr>
            <w:tcW w:w="3117" w:type="dxa"/>
          </w:tcPr>
          <w:p w:rsidR="0076240F" w:rsidRPr="007E6D2F" w:rsidRDefault="007E6D2F" w:rsidP="00762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E6D2F">
              <w:rPr>
                <w:b/>
              </w:rPr>
              <w:t>Mathematical Notation</w:t>
            </w:r>
          </w:p>
        </w:tc>
      </w:tr>
      <w:tr w:rsidR="0076240F" w:rsidTr="007528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76240F" w:rsidRPr="006558DE" w:rsidRDefault="007528A6" w:rsidP="0076240F">
            <w:pPr>
              <w:rPr>
                <w:rFonts w:ascii="Times New Roman" w:hAnsi="Times New Roman" w:cs="Times New Roman"/>
                <w:b w:val="0"/>
                <w:i/>
              </w:rPr>
            </w:pPr>
            <w:r w:rsidRPr="006558DE">
              <w:rPr>
                <w:rFonts w:ascii="Times New Roman" w:hAnsi="Times New Roman" w:cs="Times New Roman"/>
                <w:b w:val="0"/>
                <w:i/>
              </w:rPr>
              <w:t>P</w:t>
            </w:r>
            <w:r w:rsidRPr="006558DE">
              <w:rPr>
                <w:rFonts w:ascii="Times New Roman" w:hAnsi="Times New Roman" w:cs="Times New Roman"/>
                <w:b w:val="0"/>
                <w:i/>
                <w:vertAlign w:val="subscript"/>
              </w:rPr>
              <w:t>A</w:t>
            </w:r>
          </w:p>
        </w:tc>
        <w:tc>
          <w:tcPr>
            <w:tcW w:w="3178" w:type="dxa"/>
          </w:tcPr>
          <w:p w:rsidR="0076240F" w:rsidRDefault="007528A6" w:rsidP="0076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0.949</w:t>
            </w:r>
          </w:p>
        </w:tc>
        <w:tc>
          <w:tcPr>
            <w:tcW w:w="3117" w:type="dxa"/>
          </w:tcPr>
          <w:p w:rsidR="0076240F" w:rsidRPr="007528A6" w:rsidRDefault="007E6D2F" w:rsidP="0076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28A6">
              <w:rPr>
                <w:rFonts w:ascii="Times New Roman" w:hAnsi="Times New Roman" w:cs="Times New Roman"/>
                <w:position w:val="-6"/>
              </w:rPr>
              <w:object w:dxaOrig="499" w:dyaOrig="320">
                <v:shape id="_x0000_i1026" type="#_x0000_t75" style="width:24.8pt;height:15.95pt" o:ole="">
                  <v:imagedata r:id="rId6" o:title=""/>
                </v:shape>
                <o:OLEObject Type="Embed" ProgID="Equation.DSMT4" ShapeID="_x0000_i1026" DrawAspect="Content" ObjectID="_1589109870" r:id="rId7"/>
              </w:object>
            </w:r>
            <w:r w:rsidR="007528A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6240F" w:rsidTr="00752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76240F" w:rsidRPr="006558DE" w:rsidRDefault="007528A6" w:rsidP="0076240F">
            <w:pPr>
              <w:rPr>
                <w:rFonts w:ascii="Times New Roman" w:hAnsi="Times New Roman" w:cs="Times New Roman"/>
                <w:b w:val="0"/>
                <w:i/>
              </w:rPr>
            </w:pPr>
            <w:r w:rsidRPr="006558DE">
              <w:rPr>
                <w:rFonts w:ascii="Times New Roman" w:hAnsi="Times New Roman" w:cs="Times New Roman"/>
                <w:b w:val="0"/>
                <w:i/>
              </w:rPr>
              <w:t>P</w:t>
            </w:r>
            <w:r w:rsidRPr="006558DE">
              <w:rPr>
                <w:rFonts w:ascii="Times New Roman" w:hAnsi="Times New Roman" w:cs="Times New Roman"/>
                <w:b w:val="0"/>
                <w:i/>
                <w:vertAlign w:val="subscript"/>
              </w:rPr>
              <w:t>J</w:t>
            </w:r>
          </w:p>
        </w:tc>
        <w:tc>
          <w:tcPr>
            <w:tcW w:w="3178" w:type="dxa"/>
          </w:tcPr>
          <w:p w:rsidR="0076240F" w:rsidRDefault="007528A6" w:rsidP="00762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0.777</w:t>
            </w:r>
          </w:p>
        </w:tc>
        <w:tc>
          <w:tcPr>
            <w:tcW w:w="3117" w:type="dxa"/>
          </w:tcPr>
          <w:p w:rsidR="0076240F" w:rsidRPr="007528A6" w:rsidRDefault="007E6D2F" w:rsidP="00762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6D2F">
              <w:rPr>
                <w:rFonts w:ascii="Times New Roman" w:hAnsi="Times New Roman" w:cs="Times New Roman"/>
                <w:position w:val="-18"/>
              </w:rPr>
              <w:object w:dxaOrig="1160" w:dyaOrig="480">
                <v:shape id="_x0000_i1027" type="#_x0000_t75" style="width:58.1pt;height:24.1pt" o:ole="">
                  <v:imagedata r:id="rId8" o:title=""/>
                </v:shape>
                <o:OLEObject Type="Embed" ProgID="Equation.DSMT4" ShapeID="_x0000_i1027" DrawAspect="Content" ObjectID="_1589109871" r:id="rId9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6240F" w:rsidTr="007528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76240F" w:rsidRPr="006558DE" w:rsidRDefault="007528A6" w:rsidP="0076240F">
            <w:pPr>
              <w:rPr>
                <w:rFonts w:ascii="Times New Roman" w:hAnsi="Times New Roman" w:cs="Times New Roman"/>
                <w:b w:val="0"/>
                <w:i/>
              </w:rPr>
            </w:pPr>
            <w:r w:rsidRPr="006558DE">
              <w:rPr>
                <w:rFonts w:ascii="Times New Roman" w:hAnsi="Times New Roman" w:cs="Times New Roman"/>
                <w:b w:val="0"/>
                <w:i/>
              </w:rPr>
              <w:t>G</w:t>
            </w:r>
            <w:r w:rsidRPr="006558DE">
              <w:rPr>
                <w:rFonts w:ascii="Times New Roman" w:hAnsi="Times New Roman" w:cs="Times New Roman"/>
                <w:b w:val="0"/>
                <w:i/>
                <w:vertAlign w:val="subscript"/>
              </w:rPr>
              <w:t>L</w:t>
            </w:r>
          </w:p>
        </w:tc>
        <w:tc>
          <w:tcPr>
            <w:tcW w:w="3178" w:type="dxa"/>
          </w:tcPr>
          <w:p w:rsidR="0076240F" w:rsidRDefault="007528A6" w:rsidP="0076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0.00003</w:t>
            </w:r>
          </w:p>
        </w:tc>
        <w:tc>
          <w:tcPr>
            <w:tcW w:w="3117" w:type="dxa"/>
          </w:tcPr>
          <w:p w:rsidR="0076240F" w:rsidRPr="007528A6" w:rsidRDefault="007E6D2F" w:rsidP="0076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6D2F">
              <w:rPr>
                <w:rFonts w:ascii="Times New Roman" w:hAnsi="Times New Roman" w:cs="Times New Roman"/>
                <w:position w:val="-6"/>
              </w:rPr>
              <w:object w:dxaOrig="660" w:dyaOrig="320">
                <v:shape id="_x0000_i1028" type="#_x0000_t75" style="width:32.95pt;height:15.95pt" o:ole="">
                  <v:imagedata r:id="rId10" o:title=""/>
                </v:shape>
                <o:OLEObject Type="Embed" ProgID="Equation.DSMT4" ShapeID="_x0000_i1028" DrawAspect="Content" ObjectID="_1589109872" r:id="rId11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6240F" w:rsidTr="00752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76240F" w:rsidRPr="006558DE" w:rsidRDefault="007528A6" w:rsidP="0076240F">
            <w:pPr>
              <w:rPr>
                <w:rFonts w:ascii="Times New Roman" w:hAnsi="Times New Roman" w:cs="Times New Roman"/>
                <w:b w:val="0"/>
                <w:i/>
              </w:rPr>
            </w:pPr>
            <w:r w:rsidRPr="006558DE">
              <w:rPr>
                <w:rFonts w:ascii="Times New Roman" w:hAnsi="Times New Roman" w:cs="Times New Roman"/>
                <w:b w:val="0"/>
                <w:i/>
              </w:rPr>
              <w:t>G</w:t>
            </w:r>
            <w:r w:rsidRPr="006558DE">
              <w:rPr>
                <w:rFonts w:ascii="Times New Roman" w:hAnsi="Times New Roman" w:cs="Times New Roman"/>
                <w:b w:val="0"/>
                <w:i/>
                <w:vertAlign w:val="subscript"/>
              </w:rPr>
              <w:t>J</w:t>
            </w:r>
          </w:p>
        </w:tc>
        <w:tc>
          <w:tcPr>
            <w:tcW w:w="3178" w:type="dxa"/>
          </w:tcPr>
          <w:p w:rsidR="0076240F" w:rsidRDefault="007528A6" w:rsidP="00762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0.071</w:t>
            </w:r>
          </w:p>
        </w:tc>
        <w:tc>
          <w:tcPr>
            <w:tcW w:w="3117" w:type="dxa"/>
          </w:tcPr>
          <w:p w:rsidR="0076240F" w:rsidRPr="007528A6" w:rsidRDefault="007E6D2F" w:rsidP="00762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6D2F">
              <w:rPr>
                <w:rFonts w:ascii="Times New Roman" w:hAnsi="Times New Roman" w:cs="Times New Roman"/>
                <w:position w:val="-18"/>
              </w:rPr>
              <w:object w:dxaOrig="1080" w:dyaOrig="480">
                <v:shape id="_x0000_i1029" type="#_x0000_t75" style="width:54pt;height:24.1pt" o:ole="">
                  <v:imagedata r:id="rId12" o:title=""/>
                </v:shape>
                <o:OLEObject Type="Embed" ProgID="Equation.DSMT4" ShapeID="_x0000_i1029" DrawAspect="Content" ObjectID="_1589109873" r:id="rId13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6240F" w:rsidTr="007528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76240F" w:rsidRPr="006558DE" w:rsidRDefault="007528A6" w:rsidP="0076240F">
            <w:pPr>
              <w:rPr>
                <w:rFonts w:ascii="Times New Roman" w:hAnsi="Times New Roman" w:cs="Times New Roman"/>
                <w:b w:val="0"/>
                <w:i/>
              </w:rPr>
            </w:pPr>
            <w:r w:rsidRPr="006558DE">
              <w:rPr>
                <w:rFonts w:ascii="Times New Roman" w:hAnsi="Times New Roman" w:cs="Times New Roman"/>
                <w:b w:val="0"/>
                <w:i/>
              </w:rPr>
              <w:t>R</w:t>
            </w:r>
            <w:r w:rsidRPr="006558DE">
              <w:rPr>
                <w:rFonts w:ascii="Times New Roman" w:hAnsi="Times New Roman" w:cs="Times New Roman"/>
                <w:b w:val="0"/>
                <w:i/>
                <w:vertAlign w:val="subscript"/>
              </w:rPr>
              <w:t>A</w:t>
            </w:r>
          </w:p>
        </w:tc>
        <w:tc>
          <w:tcPr>
            <w:tcW w:w="3178" w:type="dxa"/>
          </w:tcPr>
          <w:p w:rsidR="0076240F" w:rsidRDefault="007528A6" w:rsidP="0076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35315</w:t>
            </w:r>
          </w:p>
        </w:tc>
        <w:tc>
          <w:tcPr>
            <w:tcW w:w="3117" w:type="dxa"/>
          </w:tcPr>
          <w:p w:rsidR="0076240F" w:rsidRPr="007528A6" w:rsidRDefault="00DC0F56" w:rsidP="0076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6D2F">
              <w:rPr>
                <w:rFonts w:ascii="Times New Roman" w:hAnsi="Times New Roman" w:cs="Times New Roman"/>
                <w:position w:val="-10"/>
              </w:rPr>
              <w:object w:dxaOrig="940" w:dyaOrig="360">
                <v:shape id="_x0000_i1030" type="#_x0000_t75" style="width:46.85pt;height:18pt" o:ole="">
                  <v:imagedata r:id="rId14" o:title=""/>
                </v:shape>
                <o:OLEObject Type="Embed" ProgID="Equation.DSMT4" ShapeID="_x0000_i1030" DrawAspect="Content" ObjectID="_1589109874" r:id="rId15"/>
              </w:object>
            </w:r>
            <w:r w:rsidR="007E6D2F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76240F" w:rsidRDefault="0076240F" w:rsidP="0076240F"/>
    <w:p w:rsidR="007E6D2F" w:rsidRDefault="007E6D2F" w:rsidP="007E6D2F">
      <w:pPr>
        <w:ind w:firstLine="720"/>
        <w:rPr>
          <w:rFonts w:cs="Times New Roman"/>
        </w:rPr>
      </w:pPr>
      <w:r>
        <w:t>We found two major problems in the construction of the matrix elements. First,</w:t>
      </w:r>
      <w:r w:rsidR="006558DE" w:rsidRPr="006558DE">
        <w:rPr>
          <w:rFonts w:cs="Times New Roman"/>
        </w:rPr>
        <w:t xml:space="preserve"> </w:t>
      </w:r>
      <w:r w:rsidR="006558DE">
        <w:rPr>
          <w:rFonts w:cs="Times New Roman"/>
        </w:rPr>
        <w:t xml:space="preserve">the model is a post-breeding census so that the survival of adults have to be incorporated into the fertility term </w:t>
      </w:r>
      <w:r w:rsidR="006558DE" w:rsidRPr="006558DE">
        <w:rPr>
          <w:rFonts w:ascii="Times New Roman" w:hAnsi="Times New Roman" w:cs="Times New Roman"/>
          <w:i/>
        </w:rPr>
        <w:t>R</w:t>
      </w:r>
      <w:r w:rsidR="006558DE" w:rsidRPr="006558DE">
        <w:rPr>
          <w:rFonts w:ascii="Times New Roman" w:hAnsi="Times New Roman" w:cs="Times New Roman"/>
          <w:i/>
          <w:vertAlign w:val="subscript"/>
        </w:rPr>
        <w:t>A</w:t>
      </w:r>
      <w:r w:rsidR="006558DE">
        <w:rPr>
          <w:rFonts w:cs="Times New Roman"/>
        </w:rPr>
        <w:t xml:space="preserve">. </w:t>
      </w:r>
      <w:r w:rsidR="00F16A14">
        <w:rPr>
          <w:rFonts w:cs="Times New Roman"/>
        </w:rPr>
        <w:t>B</w:t>
      </w:r>
      <w:r w:rsidR="006558DE">
        <w:rPr>
          <w:rFonts w:cs="Times New Roman"/>
        </w:rPr>
        <w:t>ecaus</w:t>
      </w:r>
      <w:r w:rsidR="00F16A14">
        <w:rPr>
          <w:rFonts w:cs="Times New Roman"/>
        </w:rPr>
        <w:t>e the fertility term include 3-day survival of eggs, the fertility rate</w:t>
      </w:r>
      <w:r w:rsidR="006558DE">
        <w:rPr>
          <w:rFonts w:cs="Times New Roman"/>
        </w:rPr>
        <w:t xml:space="preserve"> should be multiplied by </w:t>
      </w:r>
      <w:r w:rsidR="00F16A14">
        <w:rPr>
          <w:rFonts w:cs="Times New Roman"/>
        </w:rPr>
        <w:t>27-day survival of adults</w:t>
      </w:r>
      <w:r w:rsidR="00DC0F56" w:rsidRPr="006558DE">
        <w:rPr>
          <w:rFonts w:cs="Times New Roman"/>
          <w:position w:val="-6"/>
        </w:rPr>
        <w:object w:dxaOrig="900" w:dyaOrig="420">
          <v:shape id="_x0000_i1031" type="#_x0000_t75" style="width:44.85pt;height:21.05pt" o:ole="">
            <v:imagedata r:id="rId16" o:title=""/>
          </v:shape>
          <o:OLEObject Type="Embed" ProgID="Equation.DSMT4" ShapeID="_x0000_i1031" DrawAspect="Content" ObjectID="_1589109875" r:id="rId17"/>
        </w:object>
      </w:r>
      <w:r w:rsidR="006558DE">
        <w:rPr>
          <w:rFonts w:cs="Times New Roman"/>
        </w:rPr>
        <w:t xml:space="preserve"> assuming one month consists of 30 days. Second, </w:t>
      </w:r>
      <w:r>
        <w:t>lionfish start reproducing in one year</w:t>
      </w:r>
      <w:r w:rsidR="006558DE">
        <w:t xml:space="preserve"> (i.e. 12 months</w:t>
      </w:r>
      <w:r>
        <w:t>)</w:t>
      </w:r>
      <w:r w:rsidR="00F16A14">
        <w:t>. If so, they should spend 10</w:t>
      </w:r>
      <w:r w:rsidR="006558DE">
        <w:t xml:space="preserve"> months on average in the juvenile</w:t>
      </w:r>
      <w:r>
        <w:t xml:space="preserve"> </w:t>
      </w:r>
      <w:r w:rsidR="006558DE">
        <w:t>stage rather than 12 months because individuals spend one month in larval stage</w:t>
      </w:r>
      <w:r w:rsidR="00F16A14">
        <w:t xml:space="preserve">, and </w:t>
      </w:r>
      <w:r w:rsidR="000D3B1E">
        <w:t>another</w:t>
      </w:r>
      <w:r w:rsidR="00F16A14">
        <w:t xml:space="preserve"> month </w:t>
      </w:r>
      <w:r w:rsidR="000D3B1E">
        <w:t>is</w:t>
      </w:r>
      <w:r w:rsidR="00F16A14">
        <w:t xml:space="preserve"> included in </w:t>
      </w:r>
      <w:r w:rsidR="00F16A14">
        <w:lastRenderedPageBreak/>
        <w:t>the fertility term</w:t>
      </w:r>
      <w:r w:rsidR="006558DE">
        <w:t xml:space="preserve">. </w:t>
      </w:r>
      <w:r w:rsidR="000D3B1E">
        <w:t>Therefore, t</w:t>
      </w:r>
      <w:r w:rsidR="006558DE">
        <w:t xml:space="preserve">he coefficients in </w:t>
      </w:r>
      <w:r w:rsidR="006558DE" w:rsidRPr="006558DE">
        <w:rPr>
          <w:rFonts w:ascii="Times New Roman" w:hAnsi="Times New Roman" w:cs="Times New Roman"/>
          <w:i/>
        </w:rPr>
        <w:t>P</w:t>
      </w:r>
      <w:r w:rsidR="006558DE" w:rsidRPr="006558DE">
        <w:rPr>
          <w:rFonts w:ascii="Times New Roman" w:hAnsi="Times New Roman" w:cs="Times New Roman"/>
          <w:i/>
          <w:vertAlign w:val="subscript"/>
        </w:rPr>
        <w:t>J</w:t>
      </w:r>
      <w:r w:rsidR="006558DE">
        <w:t xml:space="preserve"> and </w:t>
      </w:r>
      <w:r w:rsidR="006558DE" w:rsidRPr="006558DE">
        <w:rPr>
          <w:rFonts w:ascii="Times New Roman" w:hAnsi="Times New Roman" w:cs="Times New Roman"/>
          <w:i/>
        </w:rPr>
        <w:t>G</w:t>
      </w:r>
      <w:r w:rsidR="006558DE" w:rsidRPr="006558DE">
        <w:rPr>
          <w:rFonts w:ascii="Times New Roman" w:hAnsi="Times New Roman" w:cs="Times New Roman"/>
          <w:i/>
          <w:vertAlign w:val="subscript"/>
        </w:rPr>
        <w:t>J</w:t>
      </w:r>
      <w:r w:rsidR="006558DE">
        <w:rPr>
          <w:rFonts w:cs="Times New Roman"/>
        </w:rPr>
        <w:t xml:space="preserve"> should be </w:t>
      </w:r>
      <w:r w:rsidR="00F16A14">
        <w:rPr>
          <w:rFonts w:cs="Times New Roman"/>
        </w:rPr>
        <w:t>9</w:t>
      </w:r>
      <w:r w:rsidR="006558DE">
        <w:rPr>
          <w:rFonts w:cs="Times New Roman"/>
        </w:rPr>
        <w:t>/1</w:t>
      </w:r>
      <w:r w:rsidR="00F16A14">
        <w:rPr>
          <w:rFonts w:cs="Times New Roman"/>
        </w:rPr>
        <w:t>0</w:t>
      </w:r>
      <w:r w:rsidR="006558DE">
        <w:rPr>
          <w:rFonts w:cs="Times New Roman"/>
        </w:rPr>
        <w:t xml:space="preserve"> and 1/1</w:t>
      </w:r>
      <w:r w:rsidR="00F16A14">
        <w:rPr>
          <w:rFonts w:cs="Times New Roman"/>
        </w:rPr>
        <w:t>0</w:t>
      </w:r>
      <w:r w:rsidR="006558DE">
        <w:rPr>
          <w:rFonts w:cs="Times New Roman"/>
        </w:rPr>
        <w:t xml:space="preserve">, respectively. These corrections were incorporated into model 2 (M2) and model 3 (M3), respectively. </w:t>
      </w:r>
      <w:r w:rsidR="00F9333B">
        <w:rPr>
          <w:rFonts w:cs="Times New Roman"/>
        </w:rPr>
        <w:t xml:space="preserve">We are aware that the fertility rate calculation still has a problem. They release eggs every three days. </w:t>
      </w:r>
      <w:r w:rsidR="00F16A14">
        <w:rPr>
          <w:rFonts w:cs="Times New Roman"/>
        </w:rPr>
        <w:t xml:space="preserve">However, incorporating three-day birth intervals is difficult because it also affects the duration in the larval stage. </w:t>
      </w:r>
      <w:r w:rsidR="00F9333B">
        <w:rPr>
          <w:rFonts w:cs="Times New Roman"/>
        </w:rPr>
        <w:t>Once they hatch, they are in a larval stage for 30 days</w:t>
      </w:r>
      <w:r w:rsidR="00F16A14">
        <w:rPr>
          <w:rFonts w:cs="Times New Roman"/>
        </w:rPr>
        <w:t>, but the ones that were born early would have spent almost 30 days before they appear in the larval stage</w:t>
      </w:r>
      <w:r w:rsidR="00F9333B">
        <w:rPr>
          <w:rFonts w:cs="Times New Roman"/>
        </w:rPr>
        <w:t>. For now, we assum</w:t>
      </w:r>
      <w:r w:rsidR="00F16A14">
        <w:rPr>
          <w:rFonts w:cs="Times New Roman"/>
        </w:rPr>
        <w:t>e</w:t>
      </w:r>
      <w:r w:rsidR="00F9333B">
        <w:rPr>
          <w:rFonts w:cs="Times New Roman"/>
        </w:rPr>
        <w:t xml:space="preserve"> they reproduce every 30 days. </w:t>
      </w:r>
    </w:p>
    <w:p w:rsidR="006C29A2" w:rsidRDefault="004035E8" w:rsidP="006C29A2">
      <w:pPr>
        <w:ind w:firstLine="720"/>
        <w:rPr>
          <w:rFonts w:cs="Times New Roman"/>
        </w:rPr>
      </w:pPr>
      <w:r>
        <w:t>Another way</w:t>
      </w:r>
      <w:r w:rsidR="006C29A2">
        <w:t xml:space="preserve"> of calculating </w:t>
      </w:r>
      <w:r w:rsidR="006C29A2" w:rsidRPr="006558DE">
        <w:rPr>
          <w:rFonts w:ascii="Times New Roman" w:hAnsi="Times New Roman" w:cs="Times New Roman"/>
          <w:i/>
        </w:rPr>
        <w:t>P</w:t>
      </w:r>
      <w:r w:rsidR="006C29A2" w:rsidRPr="006558DE">
        <w:rPr>
          <w:rFonts w:ascii="Times New Roman" w:hAnsi="Times New Roman" w:cs="Times New Roman"/>
          <w:i/>
          <w:vertAlign w:val="subscript"/>
        </w:rPr>
        <w:t>J</w:t>
      </w:r>
      <w:r w:rsidR="006C29A2">
        <w:t xml:space="preserve"> and </w:t>
      </w:r>
      <w:r w:rsidR="006C29A2" w:rsidRPr="006558DE">
        <w:rPr>
          <w:rFonts w:ascii="Times New Roman" w:hAnsi="Times New Roman" w:cs="Times New Roman"/>
          <w:i/>
        </w:rPr>
        <w:t>G</w:t>
      </w:r>
      <w:r w:rsidR="006C29A2" w:rsidRPr="006558DE">
        <w:rPr>
          <w:rFonts w:ascii="Times New Roman" w:hAnsi="Times New Roman" w:cs="Times New Roman"/>
          <w:i/>
          <w:vertAlign w:val="subscript"/>
        </w:rPr>
        <w:t>J</w:t>
      </w:r>
      <w:r w:rsidR="006C29A2">
        <w:rPr>
          <w:rFonts w:cs="Times New Roman"/>
        </w:rPr>
        <w:t xml:space="preserve"> were also incorporated into model 4 (M4) in addition to </w:t>
      </w:r>
      <w:r w:rsidR="000D3B1E">
        <w:rPr>
          <w:rFonts w:cs="Times New Roman"/>
        </w:rPr>
        <w:t>the two</w:t>
      </w:r>
      <w:r w:rsidR="006C29A2">
        <w:rPr>
          <w:rFonts w:cs="Times New Roman"/>
        </w:rPr>
        <w:t xml:space="preserve"> corrections incorporated into M2 and M3. </w:t>
      </w:r>
    </w:p>
    <w:p w:rsidR="006C29A2" w:rsidRDefault="006C29A2" w:rsidP="006C29A2">
      <w:pPr>
        <w:pStyle w:val="MTDisplayEquation"/>
      </w:pPr>
      <w:r>
        <w:tab/>
      </w:r>
      <w:r w:rsidR="00F16A14" w:rsidRPr="006C29A2">
        <w:rPr>
          <w:position w:val="-60"/>
        </w:rPr>
        <w:object w:dxaOrig="1359" w:dyaOrig="1320">
          <v:shape id="_x0000_i1032" type="#_x0000_t75" style="width:67.9pt;height:65.9pt" o:ole="">
            <v:imagedata r:id="rId18" o:title=""/>
          </v:shape>
          <o:OLEObject Type="Embed" ProgID="Equation.DSMT4" ShapeID="_x0000_i1032" DrawAspect="Content" ObjectID="_1589109876" r:id="rId19"/>
        </w:object>
      </w:r>
      <w:r>
        <w:t xml:space="preserve"> </w:t>
      </w:r>
    </w:p>
    <w:p w:rsidR="006C29A2" w:rsidRDefault="006C29A2" w:rsidP="006C29A2">
      <w:pPr>
        <w:pStyle w:val="MTDisplayEquation"/>
      </w:pPr>
      <w:r>
        <w:tab/>
      </w:r>
      <w:r w:rsidR="00F16A14" w:rsidRPr="006C29A2">
        <w:rPr>
          <w:position w:val="-60"/>
        </w:rPr>
        <w:object w:dxaOrig="1400" w:dyaOrig="1040">
          <v:shape id="_x0000_i1033" type="#_x0000_t75" style="width:69.6pt;height:51.95pt" o:ole="">
            <v:imagedata r:id="rId20" o:title=""/>
          </v:shape>
          <o:OLEObject Type="Embed" ProgID="Equation.DSMT4" ShapeID="_x0000_i1033" DrawAspect="Content" ObjectID="_1589109877" r:id="rId21"/>
        </w:object>
      </w:r>
      <w:r>
        <w:t xml:space="preserve"> </w:t>
      </w:r>
    </w:p>
    <w:p w:rsidR="004035E8" w:rsidRPr="004035E8" w:rsidRDefault="004035E8" w:rsidP="004035E8">
      <w:r>
        <w:t xml:space="preserve">where </w:t>
      </w:r>
      <w:r w:rsidRPr="004035E8">
        <w:rPr>
          <w:position w:val="-14"/>
        </w:rPr>
        <w:object w:dxaOrig="960" w:dyaOrig="400">
          <v:shape id="_x0000_i1034" type="#_x0000_t75" style="width:47.9pt;height:20.05pt" o:ole="">
            <v:imagedata r:id="rId22" o:title=""/>
          </v:shape>
          <o:OLEObject Type="Embed" ProgID="Equation.DSMT4" ShapeID="_x0000_i1034" DrawAspect="Content" ObjectID="_1589109878" r:id="rId23"/>
        </w:object>
      </w:r>
      <w:r>
        <w:t xml:space="preserve"> (stage specific survival rate)</w:t>
      </w:r>
      <w:r w:rsidR="00F16A14">
        <w:t xml:space="preserve">. This assumes a fixed duration in the juvenile stage. </w:t>
      </w:r>
    </w:p>
    <w:p w:rsidR="004035E8" w:rsidRDefault="00F16A14" w:rsidP="004035E8">
      <w:pPr>
        <w:ind w:firstLine="720"/>
        <w:rPr>
          <w:rFonts w:cs="Times New Roman"/>
        </w:rPr>
      </w:pPr>
      <w:r>
        <w:t xml:space="preserve">The above calculation is only accurate when λ is close to 1. When it is far from 1, </w:t>
      </w:r>
      <w:r w:rsidR="004035E8" w:rsidRPr="006558DE">
        <w:rPr>
          <w:rFonts w:ascii="Times New Roman" w:hAnsi="Times New Roman" w:cs="Times New Roman"/>
          <w:i/>
        </w:rPr>
        <w:t>P</w:t>
      </w:r>
      <w:r w:rsidR="004035E8" w:rsidRPr="006558DE">
        <w:rPr>
          <w:rFonts w:ascii="Times New Roman" w:hAnsi="Times New Roman" w:cs="Times New Roman"/>
          <w:i/>
          <w:vertAlign w:val="subscript"/>
        </w:rPr>
        <w:t>J</w:t>
      </w:r>
      <w:r w:rsidR="004035E8">
        <w:t xml:space="preserve"> and </w:t>
      </w:r>
      <w:r w:rsidR="004035E8" w:rsidRPr="006558DE">
        <w:rPr>
          <w:rFonts w:ascii="Times New Roman" w:hAnsi="Times New Roman" w:cs="Times New Roman"/>
          <w:i/>
        </w:rPr>
        <w:t>G</w:t>
      </w:r>
      <w:r w:rsidR="004035E8" w:rsidRPr="006558DE">
        <w:rPr>
          <w:rFonts w:ascii="Times New Roman" w:hAnsi="Times New Roman" w:cs="Times New Roman"/>
          <w:i/>
          <w:vertAlign w:val="subscript"/>
        </w:rPr>
        <w:t>J</w:t>
      </w:r>
      <w:r w:rsidR="004035E8">
        <w:rPr>
          <w:rFonts w:cs="Times New Roman"/>
        </w:rPr>
        <w:t xml:space="preserve"> </w:t>
      </w:r>
      <w:r>
        <w:rPr>
          <w:rFonts w:cs="Times New Roman"/>
        </w:rPr>
        <w:t>calculations need to be modified</w:t>
      </w:r>
      <w:r w:rsidR="004035E8">
        <w:rPr>
          <w:rFonts w:cs="Times New Roman"/>
        </w:rPr>
        <w:t xml:space="preserve"> (M5)</w:t>
      </w:r>
      <w:r>
        <w:rPr>
          <w:rFonts w:cs="Times New Roman"/>
        </w:rPr>
        <w:t>:</w:t>
      </w:r>
      <w:r w:rsidR="004035E8">
        <w:rPr>
          <w:rFonts w:cs="Times New Roman"/>
        </w:rPr>
        <w:t xml:space="preserve"> </w:t>
      </w:r>
    </w:p>
    <w:p w:rsidR="004035E8" w:rsidRDefault="004035E8" w:rsidP="004035E8">
      <w:pPr>
        <w:pStyle w:val="MTDisplayEquation"/>
      </w:pPr>
      <w:r>
        <w:tab/>
      </w:r>
      <w:r w:rsidR="00F16A14" w:rsidRPr="004035E8">
        <w:rPr>
          <w:position w:val="-70"/>
        </w:rPr>
        <w:object w:dxaOrig="1740" w:dyaOrig="1520">
          <v:shape id="_x0000_i1035" type="#_x0000_t75" style="width:86.95pt;height:76.1pt" o:ole="">
            <v:imagedata r:id="rId24" o:title=""/>
          </v:shape>
          <o:OLEObject Type="Embed" ProgID="Equation.DSMT4" ShapeID="_x0000_i1035" DrawAspect="Content" ObjectID="_1589109879" r:id="rId25"/>
        </w:object>
      </w:r>
      <w:r>
        <w:t xml:space="preserve"> </w:t>
      </w:r>
    </w:p>
    <w:p w:rsidR="00F16A14" w:rsidRDefault="004035E8" w:rsidP="00F16A14">
      <w:pPr>
        <w:pStyle w:val="MTDisplayEquation"/>
      </w:pPr>
      <w:r>
        <w:tab/>
      </w:r>
      <w:r w:rsidR="00F16A14" w:rsidRPr="004035E8">
        <w:rPr>
          <w:position w:val="-70"/>
        </w:rPr>
        <w:object w:dxaOrig="1760" w:dyaOrig="1579">
          <v:shape id="_x0000_i1036" type="#_x0000_t75" style="width:87.95pt;height:78.8pt" o:ole="">
            <v:imagedata r:id="rId26" o:title=""/>
          </v:shape>
          <o:OLEObject Type="Embed" ProgID="Equation.DSMT4" ShapeID="_x0000_i1036" DrawAspect="Content" ObjectID="_1589109880" r:id="rId27"/>
        </w:object>
      </w:r>
      <w:r>
        <w:t xml:space="preserve"> .</w:t>
      </w:r>
    </w:p>
    <w:p w:rsidR="006C29A2" w:rsidRDefault="004035E8" w:rsidP="00F16A14">
      <w:pPr>
        <w:pStyle w:val="MTDisplayEquation"/>
      </w:pPr>
      <w:r>
        <w:t xml:space="preserve">In this method, an arbitrarily λ was set to 1, initially. Then, </w:t>
      </w:r>
      <w:r w:rsidR="005A6968">
        <w:t xml:space="preserve">the </w:t>
      </w:r>
      <w:r>
        <w:t xml:space="preserve">population matrix was obtained, and λ was calculated. Then, the population matrix was modified using the calculated λ, and the new λ was calculated again. This process was repeated until λ converges to some value. </w:t>
      </w:r>
    </w:p>
    <w:p w:rsidR="004035E8" w:rsidRDefault="004035E8" w:rsidP="004035E8">
      <w:r>
        <w:tab/>
        <w:t xml:space="preserve">Finally, </w:t>
      </w:r>
      <w:r w:rsidR="005A6968">
        <w:t xml:space="preserve">the </w:t>
      </w:r>
      <w:r>
        <w:t xml:space="preserve">Leslie matrix was constructed based on the parameters in the table (model 6, M6). </w:t>
      </w:r>
      <w:r w:rsidR="00D8004C">
        <w:t>This model consisted of 1</w:t>
      </w:r>
      <w:r w:rsidR="005A6968">
        <w:t>2</w:t>
      </w:r>
      <w:r w:rsidR="00D8004C">
        <w:t xml:space="preserve"> age classes so that first offspring are observed at the end of 1</w:t>
      </w:r>
      <w:r w:rsidR="005A6968">
        <w:t>2</w:t>
      </w:r>
      <w:r w:rsidR="00D8004C" w:rsidRPr="00D8004C">
        <w:rPr>
          <w:vertAlign w:val="superscript"/>
        </w:rPr>
        <w:t>th</w:t>
      </w:r>
      <w:r w:rsidR="00D8004C">
        <w:t xml:space="preserve"> month</w:t>
      </w:r>
      <w:r w:rsidR="005A6968">
        <w:t xml:space="preserve"> after birth</w:t>
      </w:r>
      <w:r w:rsidR="00D8004C">
        <w:t xml:space="preserve">. </w:t>
      </w:r>
    </w:p>
    <w:p w:rsidR="004035E8" w:rsidRDefault="004035E8" w:rsidP="00D8004C">
      <w:pPr>
        <w:ind w:firstLine="720"/>
      </w:pPr>
      <w:r>
        <w:t xml:space="preserve">Using the six models, asymptotic population growth rate λ, stable stage distribution, reproductive value, </w:t>
      </w:r>
      <w:r w:rsidR="00787BEC">
        <w:t xml:space="preserve">and </w:t>
      </w:r>
      <w:r>
        <w:t>sensitivity</w:t>
      </w:r>
      <w:r w:rsidR="00787BEC">
        <w:t xml:space="preserve"> </w:t>
      </w:r>
      <w:r>
        <w:t xml:space="preserve">of </w:t>
      </w:r>
      <w:r w:rsidR="00D8004C">
        <w:t xml:space="preserve">the population growth rate to stage specific survival rate and </w:t>
      </w:r>
      <w:r w:rsidR="000D3B1E">
        <w:lastRenderedPageBreak/>
        <w:t>fecundity (</w:t>
      </w:r>
      <w:r w:rsidR="000D3B1E" w:rsidRPr="000D3B1E">
        <w:rPr>
          <w:rFonts w:ascii="Times New Roman" w:hAnsi="Times New Roman" w:cs="Times New Roman"/>
          <w:i/>
        </w:rPr>
        <w:t>f</w:t>
      </w:r>
      <w:r w:rsidR="000D3B1E">
        <w:t>)</w:t>
      </w:r>
      <w:r w:rsidR="00D8004C">
        <w:t xml:space="preserve"> were calculated. Reproductive values for all models were scaled so that the reproductive value of first stage is 1. For calculating the stable stage distribution, reproductive value,</w:t>
      </w:r>
      <w:r w:rsidR="00787BEC">
        <w:t xml:space="preserve"> and</w:t>
      </w:r>
      <w:r w:rsidR="00D8004C">
        <w:t xml:space="preserve"> sensitivity</w:t>
      </w:r>
      <w:r w:rsidR="005A6968">
        <w:t xml:space="preserve">, </w:t>
      </w:r>
      <w:r w:rsidR="00D8004C">
        <w:t>under M6 for the juvenile stage, corresponding values for age-classes 2 to 1</w:t>
      </w:r>
      <w:r w:rsidR="005A6968">
        <w:t>1</w:t>
      </w:r>
      <w:r w:rsidR="00D8004C">
        <w:t xml:space="preserve"> were summed. </w:t>
      </w:r>
      <w:r w:rsidR="000D3B1E">
        <w:t xml:space="preserve">For calculating the sensitivity of lambda under M5, numerical differentiation was used. </w:t>
      </w:r>
    </w:p>
    <w:p w:rsidR="00606850" w:rsidRDefault="005A6968" w:rsidP="00606850">
      <w:pPr>
        <w:keepNext/>
        <w:ind w:firstLine="720"/>
      </w:pPr>
      <w:r w:rsidRPr="005A6968">
        <w:rPr>
          <w:noProof/>
        </w:rPr>
        <w:drawing>
          <wp:inline distT="0" distB="0" distL="0" distR="0">
            <wp:extent cx="3692106" cy="27683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670" cy="277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850" w:rsidRDefault="00606850" w:rsidP="00606850">
      <w:pPr>
        <w:pStyle w:val="Caption"/>
      </w:pPr>
      <w:r>
        <w:t xml:space="preserve">Figure </w:t>
      </w:r>
      <w:fldSimple w:instr=" SEQ Figure \* ARABIC ">
        <w:r w:rsidR="000D5447">
          <w:rPr>
            <w:noProof/>
          </w:rPr>
          <w:t>1</w:t>
        </w:r>
      </w:fldSimple>
      <w:r>
        <w:t xml:space="preserve"> Asymptotic population growth rates of M1-M6.</w:t>
      </w:r>
    </w:p>
    <w:p w:rsidR="00606850" w:rsidRDefault="00606850" w:rsidP="00606850"/>
    <w:p w:rsidR="00606850" w:rsidRDefault="005A6968" w:rsidP="00606850">
      <w:pPr>
        <w:keepNext/>
      </w:pPr>
      <w:r w:rsidRPr="005A6968">
        <w:rPr>
          <w:noProof/>
        </w:rPr>
        <w:drawing>
          <wp:inline distT="0" distB="0" distL="0" distR="0">
            <wp:extent cx="5943600" cy="30305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850" w:rsidRDefault="00606850" w:rsidP="00606850">
      <w:pPr>
        <w:pStyle w:val="Caption"/>
      </w:pPr>
      <w:r>
        <w:t xml:space="preserve">Figure </w:t>
      </w:r>
      <w:fldSimple w:instr=" SEQ Figure \* ARABIC ">
        <w:r w:rsidR="000D5447">
          <w:rPr>
            <w:noProof/>
          </w:rPr>
          <w:t>2</w:t>
        </w:r>
      </w:fldSimple>
      <w:r>
        <w:t>. Stable stage distribution of Juvenile stage and adult stage for the six models.</w:t>
      </w:r>
    </w:p>
    <w:p w:rsidR="00606850" w:rsidRDefault="00606850" w:rsidP="00606850"/>
    <w:p w:rsidR="00606850" w:rsidRDefault="00606850">
      <w:r>
        <w:br w:type="page"/>
      </w:r>
    </w:p>
    <w:p w:rsidR="00606850" w:rsidRDefault="005A6968" w:rsidP="00606850">
      <w:pPr>
        <w:keepNext/>
      </w:pPr>
      <w:r w:rsidRPr="005A6968">
        <w:rPr>
          <w:noProof/>
        </w:rPr>
        <w:lastRenderedPageBreak/>
        <w:drawing>
          <wp:inline distT="0" distB="0" distL="0" distR="0">
            <wp:extent cx="5943600" cy="30305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850" w:rsidRDefault="00606850" w:rsidP="00606850">
      <w:pPr>
        <w:pStyle w:val="Caption"/>
      </w:pPr>
      <w:r>
        <w:t xml:space="preserve">Figure </w:t>
      </w:r>
      <w:fldSimple w:instr=" SEQ Figure \* ARABIC ">
        <w:r w:rsidR="000D5447">
          <w:rPr>
            <w:noProof/>
          </w:rPr>
          <w:t>3</w:t>
        </w:r>
      </w:fldSimple>
      <w:r>
        <w:t xml:space="preserve">. </w:t>
      </w:r>
      <w:r w:rsidR="00F75D46">
        <w:t>Reproductive</w:t>
      </w:r>
      <w:r>
        <w:t xml:space="preserve"> value of juveniles and adults under the six models.</w:t>
      </w:r>
    </w:p>
    <w:p w:rsidR="00606850" w:rsidRDefault="00606850" w:rsidP="00606850"/>
    <w:p w:rsidR="00606850" w:rsidRDefault="00787BEC" w:rsidP="00606850">
      <w:pPr>
        <w:keepNext/>
      </w:pPr>
      <w:r w:rsidRPr="00787BEC">
        <w:rPr>
          <w:noProof/>
        </w:rPr>
        <w:drawing>
          <wp:inline distT="0" distB="0" distL="0" distR="0">
            <wp:extent cx="5943600" cy="3030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447" w:rsidRDefault="00606850" w:rsidP="00606850">
      <w:pPr>
        <w:pStyle w:val="Caption"/>
      </w:pPr>
      <w:r>
        <w:t xml:space="preserve">Figure </w:t>
      </w:r>
      <w:fldSimple w:instr=" SEQ Figure \* ARABIC ">
        <w:r w:rsidR="000D5447">
          <w:rPr>
            <w:noProof/>
          </w:rPr>
          <w:t>4</w:t>
        </w:r>
      </w:fldSimple>
      <w:r>
        <w:t xml:space="preserve">. Sensitivity of </w:t>
      </w:r>
      <w:r w:rsidR="009A444D">
        <w:t>asymptotic</w:t>
      </w:r>
      <w:r>
        <w:t xml:space="preserve"> </w:t>
      </w:r>
      <w:r w:rsidR="009A444D">
        <w:t>population</w:t>
      </w:r>
      <w:r>
        <w:t xml:space="preserve"> growth rate to survival and fertility rates.</w:t>
      </w:r>
    </w:p>
    <w:p w:rsidR="000D5447" w:rsidRDefault="000D5447" w:rsidP="000D5447">
      <w:pPr>
        <w:rPr>
          <w:color w:val="44546A" w:themeColor="text2"/>
          <w:sz w:val="18"/>
          <w:szCs w:val="18"/>
        </w:rPr>
      </w:pPr>
      <w:r>
        <w:br w:type="page"/>
      </w:r>
    </w:p>
    <w:p w:rsidR="000D5447" w:rsidRDefault="000D5447" w:rsidP="000D5447">
      <w:pPr>
        <w:pStyle w:val="Caption"/>
        <w:keepNext/>
      </w:pPr>
      <w:r w:rsidRPr="000D5447">
        <w:rPr>
          <w:noProof/>
        </w:rPr>
        <w:lastRenderedPageBreak/>
        <w:drawing>
          <wp:inline distT="0" distB="0" distL="0" distR="0">
            <wp:extent cx="5943600" cy="30305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6850" w:rsidRDefault="000D5447" w:rsidP="000D54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Elasticity of lambda to survival and reproduction</w:t>
      </w:r>
    </w:p>
    <w:sectPr w:rsidR="0060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40F"/>
    <w:rsid w:val="000241F5"/>
    <w:rsid w:val="000D3B1E"/>
    <w:rsid w:val="000D5447"/>
    <w:rsid w:val="004035E8"/>
    <w:rsid w:val="005A6968"/>
    <w:rsid w:val="00606850"/>
    <w:rsid w:val="00616D25"/>
    <w:rsid w:val="006558DE"/>
    <w:rsid w:val="006C29A2"/>
    <w:rsid w:val="007528A6"/>
    <w:rsid w:val="0076240F"/>
    <w:rsid w:val="00787BEC"/>
    <w:rsid w:val="007E6D2F"/>
    <w:rsid w:val="009A444D"/>
    <w:rsid w:val="00C915F7"/>
    <w:rsid w:val="00D8004C"/>
    <w:rsid w:val="00DC0F56"/>
    <w:rsid w:val="00F16A14"/>
    <w:rsid w:val="00F75D46"/>
    <w:rsid w:val="00F9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0D3FE-2AC6-4069-8C40-E401279E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5F7"/>
  </w:style>
  <w:style w:type="paragraph" w:styleId="Heading1">
    <w:name w:val="heading 1"/>
    <w:basedOn w:val="Normal"/>
    <w:next w:val="Normal"/>
    <w:link w:val="Heading1Char"/>
    <w:uiPriority w:val="9"/>
    <w:qFormat/>
    <w:rsid w:val="00C91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5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5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15F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915F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15F7"/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91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5F7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5F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15F7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915F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915F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915F7"/>
    <w:rPr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C915F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915F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5F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5F7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5F7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C915F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915F7"/>
    <w:rPr>
      <w:b/>
      <w:bCs/>
      <w:smallCaps/>
      <w:color w:val="auto"/>
      <w:spacing w:val="5"/>
    </w:rPr>
  </w:style>
  <w:style w:type="character" w:styleId="BookTitle">
    <w:name w:val="Book Title"/>
    <w:basedOn w:val="DefaultParagraphFont"/>
    <w:uiPriority w:val="33"/>
    <w:qFormat/>
    <w:rsid w:val="00C915F7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915F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15F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5F7"/>
    <w:rPr>
      <w:rFonts w:asciiTheme="majorHAnsi" w:eastAsiaTheme="majorEastAsia" w:hAnsiTheme="majorHAnsi" w:cstheme="majorBidi"/>
      <w:i/>
      <w:iCs/>
    </w:rPr>
  </w:style>
  <w:style w:type="paragraph" w:customStyle="1" w:styleId="MTDisplayEquation">
    <w:name w:val="MTDisplayEquation"/>
    <w:basedOn w:val="Normal"/>
    <w:next w:val="Normal"/>
    <w:link w:val="MTDisplayEquationChar"/>
    <w:rsid w:val="0076240F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6240F"/>
  </w:style>
  <w:style w:type="table" w:styleId="TableGrid">
    <w:name w:val="Table Grid"/>
    <w:basedOn w:val="TableNormal"/>
    <w:uiPriority w:val="39"/>
    <w:rsid w:val="00762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76240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7624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E6D2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e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7.e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6.e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5.emf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Masami Fujiwara</dc:creator>
  <cp:keywords/>
  <dc:description/>
  <cp:lastModifiedBy>Masami Fujiwara</cp:lastModifiedBy>
  <cp:revision>9</cp:revision>
  <dcterms:created xsi:type="dcterms:W3CDTF">2018-05-21T15:06:00Z</dcterms:created>
  <dcterms:modified xsi:type="dcterms:W3CDTF">2018-05-29T19:38:00Z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