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348"/>
        <w:gridCol w:w="6012"/>
      </w:tblGrid>
      <w:tr>
        <w:trPr>
          <w:trHeight w:val="920" w:hRule="atLeast"/>
        </w:trPr>
        <w:tc>
          <w:tcPr>
            <w:tcW w:w="3348" w:type="dxa"/>
            <w:tcBorders/>
          </w:tcPr>
          <w:p>
            <w:pPr>
              <w:pStyle w:val="Normal"/>
              <w:jc w:val="center"/>
              <w:rPr>
                <w:rFonts w:ascii="Arial" w:hAnsi="Arial" w:cs="Arial"/>
                <w:sz w:val="20"/>
                <w:szCs w:val="20"/>
              </w:rPr>
            </w:pPr>
            <w:r>
              <w:rPr>
                <w:rFonts w:cs="Arial" w:ascii="Arial" w:hAnsi="Arial"/>
                <w:b/>
                <w:bCs/>
                <w:sz w:val="20"/>
                <w:szCs w:val="20"/>
              </w:rPr>
              <w:t>CHÍNH PHỦ</w:t>
            </w:r>
            <w:r>
              <w:rPr>
                <w:rFonts w:cs="Arial" w:ascii="Arial" w:hAnsi="Arial"/>
                <w:b/>
                <w:bCs/>
                <w:sz w:val="20"/>
                <w:szCs w:val="20"/>
                <w:lang w:val="vi-VN"/>
              </w:rPr>
              <w:br/>
              <w:t>-------</w:t>
            </w:r>
          </w:p>
          <w:p>
            <w:pPr>
              <w:pStyle w:val="Normal"/>
              <w:jc w:val="center"/>
              <w:rPr/>
            </w:pPr>
            <w:r>
              <w:rPr>
                <w:rFonts w:cs="Arial" w:ascii="Arial" w:hAnsi="Arial"/>
                <w:sz w:val="20"/>
                <w:szCs w:val="20"/>
                <w:lang w:val="vi-VN"/>
              </w:rPr>
              <w:t xml:space="preserve">Số: </w:t>
            </w:r>
            <w:r>
              <w:rPr>
                <w:rFonts w:cs="Arial" w:ascii="Arial" w:hAnsi="Arial"/>
                <w:sz w:val="20"/>
                <w:szCs w:val="20"/>
              </w:rPr>
              <w:t>153/2018/NĐ-CP</w:t>
            </w:r>
          </w:p>
        </w:tc>
        <w:tc>
          <w:tcPr>
            <w:tcW w:w="6012"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sz w:val="20"/>
                <w:szCs w:val="20"/>
              </w:rPr>
            </w:pPr>
            <w:r>
              <w:rPr>
                <w:rFonts w:cs="Arial" w:ascii="Arial" w:hAnsi="Arial"/>
                <w:i/>
                <w:iCs/>
                <w:sz w:val="20"/>
                <w:szCs w:val="20"/>
                <w:lang w:val="vi-VN"/>
              </w:rPr>
              <w:t xml:space="preserve">Hà Nội, ngày </w:t>
            </w:r>
            <w:r>
              <w:rPr>
                <w:rFonts w:cs="Arial" w:ascii="Arial" w:hAnsi="Arial"/>
                <w:i/>
                <w:iCs/>
                <w:sz w:val="20"/>
                <w:szCs w:val="20"/>
              </w:rPr>
              <w:t>07</w:t>
            </w:r>
            <w:r>
              <w:rPr>
                <w:rFonts w:cs="Arial" w:ascii="Arial" w:hAnsi="Arial"/>
                <w:i/>
                <w:iCs/>
                <w:sz w:val="20"/>
                <w:szCs w:val="20"/>
                <w:lang w:val="vi-VN"/>
              </w:rPr>
              <w:t xml:space="preserve"> tháng </w:t>
            </w:r>
            <w:r>
              <w:rPr>
                <w:rFonts w:cs="Arial" w:ascii="Arial" w:hAnsi="Arial"/>
                <w:i/>
                <w:iCs/>
                <w:sz w:val="20"/>
                <w:szCs w:val="20"/>
              </w:rPr>
              <w:t>11</w:t>
            </w:r>
            <w:r>
              <w:rPr>
                <w:rFonts w:cs="Arial" w:ascii="Arial" w:hAnsi="Arial"/>
                <w:i/>
                <w:iCs/>
                <w:sz w:val="20"/>
                <w:szCs w:val="20"/>
                <w:lang w:val="vi-VN"/>
              </w:rPr>
              <w:t xml:space="preserve"> năm 201</w:t>
            </w:r>
            <w:r>
              <w:rPr>
                <w:rFonts w:cs="Arial" w:ascii="Arial" w:hAnsi="Arial"/>
                <w:i/>
                <w:iCs/>
                <w:sz w:val="20"/>
                <w:szCs w:val="20"/>
              </w:rPr>
              <w:t>8</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b/>
          <w:bCs/>
          <w:sz w:val="20"/>
          <w:szCs w:val="20"/>
          <w:lang w:val="vi-VN"/>
        </w:rPr>
        <w:t>NGHỊ ĐỊNH</w:t>
      </w:r>
    </w:p>
    <w:p>
      <w:pPr>
        <w:pStyle w:val="Normal"/>
        <w:jc w:val="center"/>
        <w:rPr>
          <w:rFonts w:ascii="Arial" w:hAnsi="Arial" w:cs="Arial"/>
          <w:b/>
          <w:b/>
          <w:sz w:val="20"/>
          <w:szCs w:val="20"/>
        </w:rPr>
      </w:pPr>
      <w:r>
        <w:rPr>
          <w:rFonts w:cs="Arial" w:ascii="Arial" w:hAnsi="Arial"/>
          <w:b/>
          <w:sz w:val="20"/>
          <w:szCs w:val="20"/>
          <w:lang w:val="vi-VN"/>
        </w:rPr>
        <w:t>QUY ĐỊNH CHÍNH SÁCH ĐIỀU CHỈNH LƯƠNG HƯU ĐỐI VỚI LAO ĐỘNG NỮ BẮT ĐẦU HƯỞNG LƯƠNG HƯU TRONG GIAI ĐOẠN TỪ NĂM 2018 ĐẾN NĂM 2021</w:t>
      </w:r>
      <w:r>
        <w:rPr>
          <w:rFonts w:cs="Arial" w:ascii="Arial" w:hAnsi="Arial"/>
          <w:b/>
          <w:sz w:val="20"/>
          <w:szCs w:val="20"/>
        </w:rPr>
        <w:t xml:space="preserve"> CÓ </w:t>
      </w:r>
      <w:r>
        <w:rPr>
          <w:rFonts w:cs="Arial" w:ascii="Arial" w:hAnsi="Arial"/>
          <w:b/>
          <w:sz w:val="20"/>
          <w:szCs w:val="20"/>
          <w:lang w:val="vi-VN"/>
        </w:rPr>
        <w:t>THỜI GIAN ĐÓNG BẢO HIỂM XÃ HỘI TỪ ĐỦ 20 NĂM ĐẾN 29 NĂM 6 THÁNG</w:t>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tổ chức Chính phủ ngày 19 tháng 6 năm 2015;</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bảo hiểm xã hội ngày 20 tháng 11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Nghị quyết số 64/2018/QH14 ngày 15 tháng 6 năm 2018 của Quốc hội;</w:t>
      </w:r>
    </w:p>
    <w:p>
      <w:pPr>
        <w:pStyle w:val="Normal"/>
        <w:spacing w:before="0" w:after="120"/>
        <w:ind w:firstLine="720"/>
        <w:jc w:val="both"/>
        <w:rPr>
          <w:rFonts w:ascii="Arial" w:hAnsi="Arial" w:cs="Arial"/>
          <w:sz w:val="20"/>
          <w:szCs w:val="20"/>
        </w:rPr>
      </w:pPr>
      <w:r>
        <w:rPr>
          <w:rFonts w:cs="Arial" w:ascii="Arial" w:hAnsi="Arial"/>
          <w:i/>
          <w:iCs/>
          <w:sz w:val="20"/>
          <w:szCs w:val="20"/>
          <w:lang w:val="vi-VN"/>
        </w:rPr>
        <w:t>Theo đề nghị của Bộ trưởng Bộ Lao động - Thương binh và Xã hội;</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Chính phủ ban hành Nghị định quy định ch</w:t>
      </w:r>
      <w:r>
        <w:rPr>
          <w:rFonts w:cs="Arial" w:ascii="Arial" w:hAnsi="Arial"/>
          <w:i/>
          <w:iCs/>
          <w:sz w:val="20"/>
          <w:szCs w:val="20"/>
        </w:rPr>
        <w:t>í</w:t>
      </w:r>
      <w:r>
        <w:rPr>
          <w:rFonts w:cs="Arial" w:ascii="Arial" w:hAnsi="Arial"/>
          <w:i/>
          <w:iCs/>
          <w:sz w:val="20"/>
          <w:szCs w:val="20"/>
          <w:lang w:val="vi-VN"/>
        </w:rPr>
        <w:t>nh sách điều chỉnh lương hưu đối với lao động nữ bắt đầu hưởng lương hưu trong giai đoạn từ năm 2018 đến năm 2021 có thời gian đóng bảo hiểm xã hội từ đủ 20 năm đến 29 năm 6 tháng.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1. Phạm vi điều chỉnh</w:t>
      </w:r>
    </w:p>
    <w:p>
      <w:pPr>
        <w:pStyle w:val="Normal"/>
        <w:spacing w:before="0" w:after="120"/>
        <w:ind w:firstLine="720"/>
        <w:jc w:val="both"/>
        <w:rPr>
          <w:rFonts w:ascii="Arial" w:hAnsi="Arial" w:cs="Arial"/>
          <w:sz w:val="20"/>
          <w:szCs w:val="20"/>
        </w:rPr>
      </w:pPr>
      <w:r>
        <w:rPr>
          <w:rFonts w:cs="Arial" w:ascii="Arial" w:hAnsi="Arial"/>
          <w:sz w:val="20"/>
          <w:szCs w:val="20"/>
          <w:lang w:val="vi-VN"/>
        </w:rPr>
        <w:t>Nghị định này quy định chính sách điều chỉnh lương hưu đối với lao động nữ bắt đầu hưởng lương hưu từ ngày 01 tháng 01 năm 2018 đến ngày 31 tháng 12 năm 2021, có thời gian đóng bảo hi</w:t>
      </w:r>
      <w:r>
        <w:rPr>
          <w:rFonts w:cs="Arial" w:ascii="Arial" w:hAnsi="Arial"/>
          <w:sz w:val="20"/>
          <w:szCs w:val="20"/>
        </w:rPr>
        <w:t xml:space="preserve">ểm </w:t>
      </w:r>
      <w:r>
        <w:rPr>
          <w:rFonts w:cs="Arial" w:ascii="Arial" w:hAnsi="Arial"/>
          <w:sz w:val="20"/>
          <w:szCs w:val="20"/>
          <w:lang w:val="vi-VN"/>
        </w:rPr>
        <w:t>xã hội từ đủ 20 năm đến 29 năm 6 tháng, bị tác động bất lợi hơn so với lao động nam do thay đổi cách tính lương hưu theo quy định của Luật bảo hi</w:t>
      </w:r>
      <w:r>
        <w:rPr>
          <w:rFonts w:cs="Arial" w:ascii="Arial" w:hAnsi="Arial"/>
          <w:sz w:val="20"/>
          <w:szCs w:val="20"/>
        </w:rPr>
        <w:t>ể</w:t>
      </w:r>
      <w:r>
        <w:rPr>
          <w:rFonts w:cs="Arial" w:ascii="Arial" w:hAnsi="Arial"/>
          <w:sz w:val="20"/>
          <w:szCs w:val="20"/>
          <w:lang w:val="vi-VN"/>
        </w:rPr>
        <w:t>m xã hội năm 2014 so với Luật bảo hiểm xã hội năm 2006.</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2. Đối tượng áp dụng</w:t>
      </w:r>
    </w:p>
    <w:p>
      <w:pPr>
        <w:pStyle w:val="Normal"/>
        <w:spacing w:before="0" w:after="120"/>
        <w:ind w:firstLine="720"/>
        <w:jc w:val="both"/>
        <w:rPr>
          <w:rFonts w:ascii="Arial" w:hAnsi="Arial" w:cs="Arial"/>
          <w:sz w:val="20"/>
          <w:szCs w:val="20"/>
        </w:rPr>
      </w:pPr>
      <w:r>
        <w:rPr>
          <w:rFonts w:cs="Arial" w:ascii="Arial" w:hAnsi="Arial"/>
          <w:sz w:val="20"/>
          <w:szCs w:val="20"/>
          <w:lang w:val="vi-VN"/>
        </w:rPr>
        <w:t>Lao động nữ bắt đầu hưởng lương hưu từ ngày 01 tháng 01 năm 2018 đến ngày 31 tháng 12 năm 2021, có thời gian đóng bảo hiểm xã hội từ đủ 20 năm đến 29 năm 6 tháng.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3. Mức điều chỉnh</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1. Lao động nữ quy định tại Điều 2 Nghị định này tùy thuộc vào thời gian đã đóng bảo hiểm xã hội và thời điểm bắt đầu hưởng lương hưu, mức lương hưu được điều chỉnh bằng mức lương hưu tính theo quy định tại </w:t>
      </w:r>
      <w:bookmarkStart w:id="0" w:name="dc_1"/>
      <w:r>
        <w:rPr>
          <w:rFonts w:cs="Arial" w:ascii="Arial" w:hAnsi="Arial"/>
          <w:sz w:val="20"/>
          <w:szCs w:val="20"/>
          <w:lang w:val="vi-VN"/>
        </w:rPr>
        <w:t>khoản 2 Điều 56</w:t>
      </w:r>
      <w:bookmarkEnd w:id="0"/>
      <w:r>
        <w:rPr>
          <w:rFonts w:cs="Arial" w:ascii="Arial" w:hAnsi="Arial"/>
          <w:sz w:val="20"/>
          <w:szCs w:val="20"/>
          <w:lang w:val="vi-VN"/>
        </w:rPr>
        <w:t xml:space="preserve"> hoặc </w:t>
      </w:r>
      <w:bookmarkStart w:id="1" w:name="dc_2"/>
      <w:r>
        <w:rPr>
          <w:rFonts w:cs="Arial" w:ascii="Arial" w:hAnsi="Arial"/>
          <w:sz w:val="20"/>
          <w:szCs w:val="20"/>
          <w:lang w:val="vi-VN"/>
        </w:rPr>
        <w:t>khoản 2 Điều 74 Luật bảo hiểm xã hội năm 2014</w:t>
      </w:r>
      <w:bookmarkEnd w:id="1"/>
      <w:r>
        <w:rPr>
          <w:rFonts w:cs="Arial" w:ascii="Arial" w:hAnsi="Arial"/>
          <w:sz w:val="20"/>
          <w:szCs w:val="20"/>
          <w:lang w:val="vi-VN"/>
        </w:rPr>
        <w:t xml:space="preserve"> cộng với mức điều chỉnh theo quy định tại khoản 2 Điều này.</w:t>
      </w:r>
    </w:p>
    <w:p>
      <w:pPr>
        <w:pStyle w:val="Normal"/>
        <w:spacing w:before="0" w:after="120"/>
        <w:ind w:firstLine="720"/>
        <w:jc w:val="both"/>
        <w:rPr>
          <w:rFonts w:ascii="Arial" w:hAnsi="Arial" w:cs="Arial"/>
          <w:sz w:val="20"/>
          <w:szCs w:val="20"/>
          <w:lang w:val="vi-VN"/>
        </w:rPr>
      </w:pPr>
      <w:r>
        <w:rPr>
          <w:rFonts w:cs="Arial" w:ascii="Arial" w:hAnsi="Arial"/>
          <w:sz w:val="20"/>
          <w:szCs w:val="20"/>
          <w:lang w:val="vi-VN"/>
        </w:rPr>
        <w:t xml:space="preserve">2. Mức điều chỉnh được tính bằng mức lương hưu tính theo quy định tại </w:t>
      </w:r>
      <w:bookmarkStart w:id="2" w:name="dc_3"/>
      <w:r>
        <w:rPr>
          <w:rFonts w:cs="Arial" w:ascii="Arial" w:hAnsi="Arial"/>
          <w:sz w:val="20"/>
          <w:szCs w:val="20"/>
          <w:lang w:val="vi-VN"/>
        </w:rPr>
        <w:t>khoản 2 Điều 56</w:t>
      </w:r>
      <w:bookmarkEnd w:id="2"/>
      <w:r>
        <w:rPr>
          <w:rFonts w:cs="Arial" w:ascii="Arial" w:hAnsi="Arial"/>
          <w:sz w:val="20"/>
          <w:szCs w:val="20"/>
          <w:lang w:val="vi-VN"/>
        </w:rPr>
        <w:t xml:space="preserve"> hoặc </w:t>
      </w:r>
      <w:bookmarkStart w:id="3" w:name="dc_4"/>
      <w:r>
        <w:rPr>
          <w:rFonts w:cs="Arial" w:ascii="Arial" w:hAnsi="Arial"/>
          <w:sz w:val="20"/>
          <w:szCs w:val="20"/>
          <w:lang w:val="vi-VN"/>
        </w:rPr>
        <w:t>khoản 2 Điều 74 Luật bảo hiểm xã hội năm 2014</w:t>
      </w:r>
      <w:bookmarkEnd w:id="3"/>
      <w:r>
        <w:rPr>
          <w:rFonts w:cs="Arial" w:ascii="Arial" w:hAnsi="Arial"/>
          <w:sz w:val="20"/>
          <w:szCs w:val="20"/>
          <w:lang w:val="vi-VN"/>
        </w:rPr>
        <w:t xml:space="preserve"> tại thời điểm bắt đầu hưởng lương hưu nhân với tỷ lệ điều chỉnh tương ứng với thời gian đã đóng bảo hiểm xã hội và thời điểm bắt đầu hưởng lương hưu, cụ thể như sau:</w:t>
      </w:r>
    </w:p>
    <w:tbl>
      <w:tblPr>
        <w:tblW w:w="5000" w:type="pct"/>
        <w:jc w:val="left"/>
        <w:tblInd w:w="-20" w:type="dxa"/>
        <w:tblLayout w:type="fixed"/>
        <w:tblCellMar>
          <w:top w:w="0" w:type="dxa"/>
          <w:left w:w="0" w:type="dxa"/>
          <w:bottom w:w="0" w:type="dxa"/>
          <w:right w:w="0" w:type="dxa"/>
        </w:tblCellMar>
      </w:tblPr>
      <w:tblGrid>
        <w:gridCol w:w="4409"/>
        <w:gridCol w:w="1236"/>
        <w:gridCol w:w="1236"/>
        <w:gridCol w:w="1236"/>
        <w:gridCol w:w="1237"/>
      </w:tblGrid>
      <w:tr>
        <w:trPr/>
        <w:tc>
          <w:tcPr>
            <w:tcW w:w="440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Thời gian đã đóng bảo hiểm xã hội</w:t>
            </w:r>
          </w:p>
        </w:tc>
        <w:tc>
          <w:tcPr>
            <w:tcW w:w="4945" w:type="dxa"/>
            <w:gridSpan w:val="4"/>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Tỷ lệ điều chỉnh tương ứng với thời gian đóng bảo hiểm xã hội và thời điểm bắt đầu hưởng lương hưu:</w:t>
            </w:r>
          </w:p>
        </w:tc>
      </w:tr>
      <w:tr>
        <w:trPr/>
        <w:tc>
          <w:tcPr>
            <w:tcW w:w="440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Năm 2018</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Năm 2019</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Năm 2020</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lang w:val="vi-VN"/>
              </w:rPr>
              <w:t>Năm 2021</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20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7,27%</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5,45%</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3,64%</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1,82%</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20 năm 01 tháng - 20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7,86%</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5,89%</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3,93%</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1,96%</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20 năm 07 tháng - 21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8,42%</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6,32%</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4,21%</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2,11%</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21 năm 01 tháng - 21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8,97%</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6,72%</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4,48%</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2,24%</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21 năm 07 tháng - 22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9,49%</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7,12%</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4,75%</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2,37%</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22 năm 01 tháng - 22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10,00%</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7,50%</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5,00%</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2,50%</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22 năm 7 tháng - 23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10,49%</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7,87%</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5,25%</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2,62%</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23 năm 01 tháng - 23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10,97%</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8,23%</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5,48%</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2,74%</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23 năm 07 tháng - 24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11,43%</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8,57%</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5,71%</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2,86%</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24 năm 01 tháng - 24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11,88%</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8,91%</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5,94%</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2,97%</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24 năm 07 tháng - 25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12,31%</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9,23%</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6,15%</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3,08%</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25 năm 01 tháng - 25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10,91%</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8,18%</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5,45%</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2,73%</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25 năm 07 tháng - 26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9,55%</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7,16%</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4,78%</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2,39%</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26 năm 01 tháng - 26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8,24%</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6,18%</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4,12%</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2,06%</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26 năm 07 tháng - 27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6,96%</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5,22%</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3,48%</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1,74%</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27 năm 01 tháng - 27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5,71%</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4,29%</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2,86%</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1,43%</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27 năm 07 tháng - 28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4,51%</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3,38%</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2,25%</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1,13%</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28 năm 01 tháng - 28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3,33%</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2,50%</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1,67%</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0,83%</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28 năm 07 tháng - 29 năm</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2,19%</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1,64%</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1,10%</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0,55%</w:t>
            </w:r>
          </w:p>
        </w:tc>
      </w:tr>
      <w:tr>
        <w:trPr/>
        <w:tc>
          <w:tcPr>
            <w:tcW w:w="4409"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lang w:val="vi-VN"/>
              </w:rPr>
              <w:t>29 năm 01 tháng - 29 năm 06 tháng</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1,08%</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0,81%</w:t>
            </w:r>
          </w:p>
        </w:tc>
        <w:tc>
          <w:tcPr>
            <w:tcW w:w="1236"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0,54%</w:t>
            </w:r>
          </w:p>
        </w:tc>
        <w:tc>
          <w:tcPr>
            <w:tcW w:w="123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lang w:val="vi-VN"/>
              </w:rPr>
              <w:t>0,27%</w:t>
            </w:r>
          </w:p>
        </w:tc>
      </w:tr>
    </w:tbl>
    <w:p>
      <w:pPr>
        <w:pStyle w:val="Normal"/>
        <w:spacing w:before="0" w:after="120"/>
        <w:ind w:firstLine="720"/>
        <w:jc w:val="both"/>
        <w:rPr>
          <w:rFonts w:ascii="Arial" w:hAnsi="Arial" w:cs="Arial"/>
          <w:sz w:val="20"/>
          <w:szCs w:val="20"/>
        </w:rPr>
      </w:pPr>
      <w:r>
        <w:rPr>
          <w:rFonts w:cs="Arial" w:ascii="Arial" w:hAnsi="Arial"/>
          <w:sz w:val="20"/>
          <w:szCs w:val="20"/>
          <w:lang w:val="vi-VN"/>
        </w:rPr>
        <w:t>3. Mức lương hưu sau điều chỉnh theo quy định tại khoản 1 Điều này là căn cứ đ</w:t>
      </w:r>
      <w:r>
        <w:rPr>
          <w:rFonts w:cs="Arial" w:ascii="Arial" w:hAnsi="Arial"/>
          <w:sz w:val="20"/>
          <w:szCs w:val="20"/>
        </w:rPr>
        <w:t xml:space="preserve">ể </w:t>
      </w:r>
      <w:r>
        <w:rPr>
          <w:rFonts w:cs="Arial" w:ascii="Arial" w:hAnsi="Arial"/>
          <w:sz w:val="20"/>
          <w:szCs w:val="20"/>
          <w:lang w:val="vi-VN"/>
        </w:rPr>
        <w:t xml:space="preserve">tính điều chỉnh ở những lần điều chỉnh lương hưu theo quy định tại </w:t>
      </w:r>
      <w:bookmarkStart w:id="4" w:name="dc_5"/>
      <w:r>
        <w:rPr>
          <w:rFonts w:cs="Arial" w:ascii="Arial" w:hAnsi="Arial"/>
          <w:sz w:val="20"/>
          <w:szCs w:val="20"/>
          <w:lang w:val="vi-VN"/>
        </w:rPr>
        <w:t>Điều 57 Luật bảo hiểm xã hội</w:t>
      </w:r>
      <w:bookmarkEnd w:id="4"/>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lang w:val="vi-VN"/>
        </w:rPr>
        <w:t>Đối với lao động nữ quy định tại Điều 2 Nghị định này bắt đầu hưởng lương hưu trong giai đoạn từ ngày 01 tháng 01 năm 2018 đến ngày 30 tháng 6 năm 2018 thì thực hiện điều chỉnh lương hưu theo quy định tại khoản 1 Điều này trước, sau đó thực hiện được điều chỉnh theo quy định tại Nghị định số 88/2018/NĐ-CP ngày 15 tháng 6 năm 2018 của Chính phủ về điều chỉnh lương hưu và trợ cấp bảo hiểm xã hội hàng tháng.</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4. Thời điểm điều chỉnh</w:t>
      </w:r>
    </w:p>
    <w:p>
      <w:pPr>
        <w:pStyle w:val="Normal"/>
        <w:spacing w:before="0" w:after="120"/>
        <w:ind w:firstLine="720"/>
        <w:jc w:val="both"/>
        <w:rPr>
          <w:rFonts w:ascii="Arial" w:hAnsi="Arial" w:cs="Arial"/>
          <w:sz w:val="20"/>
          <w:szCs w:val="20"/>
        </w:rPr>
      </w:pPr>
      <w:r>
        <w:rPr>
          <w:rFonts w:cs="Arial" w:ascii="Arial" w:hAnsi="Arial"/>
          <w:sz w:val="20"/>
          <w:szCs w:val="20"/>
          <w:lang w:val="vi-VN"/>
        </w:rPr>
        <w:t>1. Thời điểm thực hiện điều chỉnh theo quy định tại khoản 1 Điều 3 Nghị định này được tính từ tháng lao động nữ bắt đầu hưởng lương hưu.</w:t>
      </w:r>
    </w:p>
    <w:p>
      <w:pPr>
        <w:pStyle w:val="Normal"/>
        <w:spacing w:before="0" w:after="120"/>
        <w:ind w:firstLine="720"/>
        <w:jc w:val="both"/>
        <w:rPr>
          <w:rFonts w:ascii="Arial" w:hAnsi="Arial" w:cs="Arial"/>
          <w:sz w:val="20"/>
          <w:szCs w:val="20"/>
        </w:rPr>
      </w:pPr>
      <w:r>
        <w:rPr>
          <w:rFonts w:cs="Arial" w:ascii="Arial" w:hAnsi="Arial"/>
          <w:sz w:val="20"/>
          <w:szCs w:val="20"/>
          <w:lang w:val="vi-VN"/>
        </w:rPr>
        <w:t>2. Đối với lao động nữ bắt đầu hưởng lương hưu trong giai đoạn từ ngày 01 tháng 01 năm 2018 đến trước ngày được nhận lương hưu mới theo quy định tại Nghị định này, được truy lĩnh phần lương hưu chênh lệch tăng thêm giữa mức lương hưu trước và sau khi thực hiện điều chỉnh theo quy định tại Nghị định này.</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5. Kinh phí thực hiện</w:t>
      </w:r>
    </w:p>
    <w:p>
      <w:pPr>
        <w:pStyle w:val="Normal"/>
        <w:spacing w:before="0" w:after="120"/>
        <w:ind w:firstLine="720"/>
        <w:jc w:val="both"/>
        <w:rPr>
          <w:rFonts w:ascii="Arial" w:hAnsi="Arial" w:cs="Arial"/>
          <w:sz w:val="20"/>
          <w:szCs w:val="20"/>
        </w:rPr>
      </w:pPr>
      <w:r>
        <w:rPr>
          <w:rFonts w:cs="Arial" w:ascii="Arial" w:hAnsi="Arial"/>
          <w:sz w:val="20"/>
          <w:szCs w:val="20"/>
          <w:lang w:val="vi-VN"/>
        </w:rPr>
        <w:t>Quỹ bảo hiểm xã hội bảo đảm kinh phí điều chỉnh theo quy định tại Điều 3 và Điều 4 Nghị định này.</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6. H</w:t>
      </w:r>
      <w:r>
        <w:rPr>
          <w:rFonts w:cs="Arial" w:ascii="Arial" w:hAnsi="Arial"/>
          <w:b/>
          <w:bCs/>
          <w:sz w:val="20"/>
          <w:szCs w:val="20"/>
        </w:rPr>
        <w:t>iệ</w:t>
      </w:r>
      <w:r>
        <w:rPr>
          <w:rFonts w:cs="Arial" w:ascii="Arial" w:hAnsi="Arial"/>
          <w:b/>
          <w:bCs/>
          <w:sz w:val="20"/>
          <w:szCs w:val="20"/>
          <w:lang w:val="vi-VN"/>
        </w:rPr>
        <w:t xml:space="preserve">u </w:t>
      </w:r>
      <w:r>
        <w:rPr>
          <w:rFonts w:cs="Arial" w:ascii="Arial" w:hAnsi="Arial"/>
          <w:b/>
          <w:bCs/>
          <w:sz w:val="20"/>
          <w:szCs w:val="20"/>
        </w:rPr>
        <w:t>lự</w:t>
      </w:r>
      <w:r>
        <w:rPr>
          <w:rFonts w:cs="Arial" w:ascii="Arial" w:hAnsi="Arial"/>
          <w:b/>
          <w:bCs/>
          <w:sz w:val="20"/>
          <w:szCs w:val="20"/>
          <w:lang w:val="vi-VN"/>
        </w:rPr>
        <w:t>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Nghị định này có hiệu lực thi hành kể từ ngày 24 tháng 12 năm 2018.</w:t>
      </w:r>
    </w:p>
    <w:p>
      <w:pPr>
        <w:pStyle w:val="Normal"/>
        <w:spacing w:before="0" w:after="120"/>
        <w:ind w:firstLine="720"/>
        <w:jc w:val="both"/>
        <w:rPr>
          <w:rFonts w:ascii="Arial" w:hAnsi="Arial" w:cs="Arial"/>
          <w:sz w:val="20"/>
          <w:szCs w:val="20"/>
        </w:rPr>
      </w:pPr>
      <w:r>
        <w:rPr>
          <w:rFonts w:cs="Arial" w:ascii="Arial" w:hAnsi="Arial"/>
          <w:b/>
          <w:bCs/>
          <w:sz w:val="20"/>
          <w:szCs w:val="20"/>
          <w:lang w:val="vi-VN"/>
        </w:rPr>
        <w:t>Điều 7. Trách nhiệm tổ chức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1. Bảo hiểm xã hội Việt Nam có trách nhiệm chỉ đạo Bảo hiểm xã hội các tỉnh, thành phố trực thuộc trung ương, Bảo hiểm xã hội Bộ Quốc phòng, Bảo hiểm xã hội Bộ Công an thực hiện điều chỉnh lương hưu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a) Bảo hiểm xã hội các tỉnh, thành phố trực thuộc trung ương giải quyết điều chỉnh lương hưu theo quy định tại Nghị định này đối với đối tượng thuộc thẩm quyền quản lý, bao gồm cả những trường hợp đã được Bảo hiểm xã hội Bộ Quốc phòng, Bảo hiểm xã hội Bộ Công an giải quyết hưởng lương hưu từ ngày 01 tháng 01 năm 2018 đến trước ngày Nghị định này có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b) Bảo hiểm xã hội Bộ Quốc phòng, Bảo hiểm xã hội Bộ Công an giải quyết điều chỉnh lương hưu theo quy định tại Nghị định này đối với đối tượng thuộc thẩm quyền quản lý bắt đầu hưởng lương hưu từ ngày Nghị định này có hiệu lực thi hành.</w:t>
      </w:r>
    </w:p>
    <w:p>
      <w:pPr>
        <w:pStyle w:val="Normal"/>
        <w:spacing w:before="0" w:after="120"/>
        <w:ind w:firstLine="720"/>
        <w:jc w:val="both"/>
        <w:rPr>
          <w:rFonts w:ascii="Arial" w:hAnsi="Arial" w:cs="Arial"/>
          <w:sz w:val="20"/>
          <w:szCs w:val="20"/>
        </w:rPr>
      </w:pPr>
      <w:r>
        <w:rPr>
          <w:rFonts w:cs="Arial" w:ascii="Arial" w:hAnsi="Arial"/>
          <w:sz w:val="20"/>
          <w:szCs w:val="20"/>
          <w:lang w:val="vi-VN"/>
        </w:rPr>
        <w:t>Hằng năm, Bảo hiểm xã hội Việt Nam báo cáo Thủ tướng Chính phủ và Bộ Lao động - Thương binh và Xã hội về kết quả thực hiện chính sách quy định tại Nghị định này.</w:t>
      </w:r>
    </w:p>
    <w:p>
      <w:pPr>
        <w:pStyle w:val="Normal"/>
        <w:ind w:firstLine="720"/>
        <w:jc w:val="both"/>
        <w:rPr>
          <w:rFonts w:ascii="Arial" w:hAnsi="Arial" w:cs="Arial"/>
          <w:sz w:val="20"/>
          <w:szCs w:val="20"/>
        </w:rPr>
      </w:pPr>
      <w:r>
        <w:rPr>
          <w:rFonts w:cs="Arial" w:ascii="Arial" w:hAnsi="Arial"/>
          <w:sz w:val="20"/>
          <w:szCs w:val="20"/>
          <w:lang w:val="vi-VN"/>
        </w:rPr>
        <w:t>2. Các Bộ trưởng, Thủ trưởng cơ quan ngang bộ, Thủ trưởng cơ quan thuộc Chính phủ, Chủ tịch Ủy ban nhân dân các tỉnh</w:t>
      </w:r>
      <w:r>
        <w:rPr>
          <w:rFonts w:cs="Arial" w:ascii="Arial" w:hAnsi="Arial"/>
          <w:sz w:val="20"/>
          <w:szCs w:val="20"/>
        </w:rPr>
        <w:t>, t</w:t>
      </w:r>
      <w:r>
        <w:rPr>
          <w:rFonts w:cs="Arial" w:ascii="Arial" w:hAnsi="Arial"/>
          <w:sz w:val="20"/>
          <w:szCs w:val="20"/>
          <w:lang w:val="vi-VN"/>
        </w:rPr>
        <w:t>h</w:t>
      </w:r>
      <w:r>
        <w:rPr>
          <w:rFonts w:cs="Arial" w:ascii="Arial" w:hAnsi="Arial"/>
          <w:sz w:val="20"/>
          <w:szCs w:val="20"/>
        </w:rPr>
        <w:t>àn</w:t>
      </w:r>
      <w:r>
        <w:rPr>
          <w:rFonts w:cs="Arial" w:ascii="Arial" w:hAnsi="Arial"/>
          <w:sz w:val="20"/>
          <w:szCs w:val="20"/>
          <w:lang w:val="vi-VN"/>
        </w:rPr>
        <w:t>h phố trực thuộc trung ương chịu trách nhiệm thi hành Nghị định này./</w:t>
      </w:r>
    </w:p>
    <w:p>
      <w:pPr>
        <w:pStyle w:val="Normal"/>
        <w:rPr>
          <w:rFonts w:ascii="Arial" w:hAnsi="Arial" w:cs="Arial"/>
          <w:sz w:val="20"/>
          <w:szCs w:val="20"/>
          <w:lang w:val="vi-VN"/>
        </w:rPr>
      </w:pPr>
      <w:r>
        <w:rPr>
          <w:rFonts w:cs="Arial" w:ascii="Arial" w:hAnsi="Arial"/>
          <w:sz w:val="20"/>
          <w:szCs w:val="20"/>
          <w:lang w:val="vi-VN"/>
        </w:rPr>
        <w:t> </w:t>
      </w:r>
    </w:p>
    <w:tbl>
      <w:tblPr>
        <w:tblW w:w="9360" w:type="dxa"/>
        <w:jc w:val="left"/>
        <w:tblInd w:w="0" w:type="dxa"/>
        <w:tblLayout w:type="fixed"/>
        <w:tblCellMar>
          <w:top w:w="0" w:type="dxa"/>
          <w:left w:w="108" w:type="dxa"/>
          <w:bottom w:w="0" w:type="dxa"/>
          <w:right w:w="108" w:type="dxa"/>
        </w:tblCellMar>
      </w:tblPr>
      <w:tblGrid>
        <w:gridCol w:w="4808"/>
        <w:gridCol w:w="4552"/>
      </w:tblGrid>
      <w:tr>
        <w:trPr/>
        <w:tc>
          <w:tcPr>
            <w:tcW w:w="4808" w:type="dxa"/>
            <w:tcBorders/>
          </w:tcPr>
          <w:p>
            <w:pPr>
              <w:pStyle w:val="Normal"/>
              <w:rPr>
                <w:rFonts w:ascii="Arial" w:hAnsi="Arial" w:cs="Arial"/>
                <w:sz w:val="20"/>
                <w:szCs w:val="20"/>
              </w:rPr>
            </w:pPr>
            <w:bookmarkStart w:id="5" w:name="OLE_LINK2"/>
            <w:bookmarkStart w:id="6" w:name="OLE_LINK1"/>
            <w:bookmarkEnd w:id="5"/>
            <w:bookmarkEnd w:id="6"/>
            <w:r>
              <w:rPr>
                <w:rFonts w:cs="Arial" w:ascii="Arial" w:hAnsi="Arial"/>
                <w:b/>
                <w:bCs/>
                <w:i/>
                <w:iCs/>
                <w:sz w:val="20"/>
                <w:szCs w:val="20"/>
                <w:lang w:val="vi-VN"/>
              </w:rPr>
              <w:t>Nơi nhận:</w:t>
              <w:br/>
            </w:r>
            <w:r>
              <w:rPr>
                <w:rFonts w:cs="Arial" w:ascii="Arial" w:hAnsi="Arial"/>
                <w:sz w:val="20"/>
                <w:szCs w:val="20"/>
                <w:lang w:val="vi-VN"/>
              </w:rPr>
              <w:t>- Ban Bí thư Trung ương Đảng;</w:t>
              <w:br/>
              <w:t>- Thủ tướng, các Phó Thủ tướng Chính phủ;</w:t>
              <w:br/>
              <w:t>- Các bộ, cơ quan ngang bộ, cơ quan thuộc Chính phủ;</w:t>
              <w:br/>
              <w:t xml:space="preserve">- HĐND, UBND các tỉnh, thành phố trực thuộc </w:t>
            </w:r>
            <w:r>
              <w:rPr>
                <w:rFonts w:cs="Arial" w:ascii="Arial" w:hAnsi="Arial"/>
                <w:sz w:val="20"/>
                <w:szCs w:val="20"/>
              </w:rPr>
              <w:t>tr</w:t>
            </w:r>
            <w:r>
              <w:rPr>
                <w:rFonts w:cs="Arial" w:ascii="Arial" w:hAnsi="Arial"/>
                <w:sz w:val="20"/>
                <w:szCs w:val="20"/>
                <w:lang w:val="vi-VN"/>
              </w:rPr>
              <w:t>ung ươn</w:t>
            </w:r>
            <w:r>
              <w:rPr>
                <w:rFonts w:cs="Arial" w:ascii="Arial" w:hAnsi="Arial"/>
                <w:sz w:val="20"/>
                <w:szCs w:val="20"/>
              </w:rPr>
              <w:t>g;</w:t>
            </w:r>
            <w:r>
              <w:rPr>
                <w:rFonts w:cs="Arial" w:ascii="Arial" w:hAnsi="Arial"/>
                <w:sz w:val="20"/>
                <w:szCs w:val="20"/>
                <w:lang w:val="vi-VN"/>
              </w:rPr>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xml:space="preserve">- Ủy ban trung ương Mặt </w:t>
            </w:r>
            <w:r>
              <w:rPr>
                <w:rFonts w:cs="Arial" w:ascii="Arial" w:hAnsi="Arial"/>
                <w:sz w:val="20"/>
                <w:szCs w:val="20"/>
              </w:rPr>
              <w:t>tr</w:t>
            </w:r>
            <w:r>
              <w:rPr>
                <w:rFonts w:cs="Arial" w:ascii="Arial" w:hAnsi="Arial"/>
                <w:sz w:val="20"/>
                <w:szCs w:val="20"/>
                <w:lang w:val="vi-VN"/>
              </w:rPr>
              <w:t>ận Tổ quốc Việt Nam;</w:t>
              <w:br/>
              <w:t>- Cơ quan trung ương của các đoàn thể;</w:t>
              <w:br/>
              <w:t xml:space="preserve">- VPCP: BTCN, các PCN, Trợ lý TTg, TGĐ Cổng TTĐT, </w:t>
            </w:r>
            <w:r>
              <w:rPr>
                <w:rFonts w:cs="Arial" w:ascii="Arial" w:hAnsi="Arial"/>
                <w:sz w:val="20"/>
                <w:szCs w:val="20"/>
              </w:rPr>
              <w:br/>
            </w:r>
            <w:r>
              <w:rPr>
                <w:rFonts w:cs="Arial" w:ascii="Arial" w:hAnsi="Arial"/>
                <w:sz w:val="20"/>
                <w:szCs w:val="20"/>
                <w:lang w:val="vi-VN"/>
              </w:rPr>
              <w:t>các Vụ, Cục, đơn vị trực thuộc, Công báo;</w:t>
              <w:br/>
              <w:t>- Lưu: VT, KTTH (2b).KN</w:t>
            </w:r>
          </w:p>
        </w:tc>
        <w:tc>
          <w:tcPr>
            <w:tcW w:w="4552" w:type="dxa"/>
            <w:tcBorders/>
          </w:tcPr>
          <w:p>
            <w:pPr>
              <w:pStyle w:val="Normal"/>
              <w:jc w:val="center"/>
              <w:rPr>
                <w:rFonts w:ascii="Arial" w:hAnsi="Arial" w:cs="Arial"/>
                <w:sz w:val="20"/>
                <w:szCs w:val="20"/>
              </w:rPr>
            </w:pPr>
            <w:r>
              <w:rPr>
                <w:rFonts w:cs="Arial" w:ascii="Arial" w:hAnsi="Arial"/>
                <w:b/>
                <w:bCs/>
                <w:sz w:val="20"/>
                <w:szCs w:val="20"/>
              </w:rPr>
              <w:t>TM. CHÍNH PHỦ</w:t>
              <w:br/>
              <w:t>THỦ TƯỚNG</w:t>
            </w:r>
            <w:r>
              <w:rPr>
                <w:rFonts w:cs="Arial" w:ascii="Arial" w:hAnsi="Arial"/>
                <w:b/>
                <w:bCs/>
                <w:sz w:val="20"/>
                <w:szCs w:val="20"/>
                <w:lang w:val="vi-VN"/>
              </w:rPr>
              <w:br/>
              <w:br/>
              <w:br/>
              <w:br/>
              <w:br/>
            </w:r>
            <w:r>
              <w:rPr>
                <w:rFonts w:cs="Arial" w:ascii="Arial" w:hAnsi="Arial"/>
                <w:b/>
                <w:bCs/>
                <w:sz w:val="20"/>
                <w:szCs w:val="20"/>
              </w:rPr>
              <w:t>Nguyễn Xuân Phúc</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nTim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25820" cy="78994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43" r="-6" b="-43"/>
                  <a:stretch>
                    <a:fillRect/>
                  </a:stretch>
                </pic:blipFill>
                <pic:spPr bwMode="auto">
                  <a:xfrm>
                    <a:off x="0" y="0"/>
                    <a:ext cx="5925820" cy="78994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 w:hAnsi=".VnTime" w:cs=".VnTime"/>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2018-11-15T10:18:00Z</dcterms:created>
  <dc:creator>dqhoa</dc:creator>
  <dc:description/>
  <dc:language>en-US</dc:language>
  <cp:lastModifiedBy>Hai Yen</cp:lastModifiedBy>
  <dcterms:modified xsi:type="dcterms:W3CDTF">2018-11-15T10:18:00Z</dcterms:modified>
  <cp:revision>2</cp:revision>
  <dc:subject/>
  <dc:title/>
</cp:coreProperties>
</file>