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jc w:val="center"/>
        <w:rPr>
          <w:rFonts w:ascii="Times New Roman" w:hAnsi="Times New Roman" w:cs="Times New Roman"/>
          <w:b/>
          <w:b/>
          <w:bCs/>
          <w:color w:val="0000FF"/>
          <w:sz w:val="32"/>
          <w:szCs w:val="32"/>
        </w:rPr>
      </w:pPr>
      <w:r>
        <w:rPr>
          <w:rFonts w:cs="Times New Roman" w:ascii="Times New Roman" w:hAnsi="Times New Roman"/>
          <w:b/>
          <w:bCs/>
          <w:color w:val="0000FF"/>
          <w:sz w:val="32"/>
          <w:szCs w:val="32"/>
        </w:rPr>
        <w:t>THÔNG TƯ</w:t>
      </w:r>
    </w:p>
    <w:p>
      <w:pPr>
        <w:pStyle w:val="Normal"/>
        <w:jc w:val="center"/>
        <w:rPr/>
      </w:pPr>
      <w:r>
        <w:rPr>
          <w:b/>
          <w:color w:val="0000FF"/>
          <w:sz w:val="24"/>
          <w:szCs w:val="24"/>
        </w:rPr>
        <w:t xml:space="preserve">CỦA </w:t>
      </w:r>
      <w:r>
        <w:rPr>
          <w:b/>
          <w:bCs/>
          <w:color w:val="0000FF"/>
          <w:sz w:val="24"/>
          <w:szCs w:val="24"/>
        </w:rPr>
        <w:t>BỘ LAO ĐỘNG - THƯƠNG BINH VÀ XÃ HỘI</w:t>
      </w:r>
      <w:r>
        <w:rPr>
          <w:b/>
          <w:color w:val="0000FF"/>
          <w:sz w:val="24"/>
          <w:szCs w:val="24"/>
        </w:rPr>
        <w:t xml:space="preserve">  SỐ 12/2009/TT-BLĐTBXH</w:t>
      </w:r>
    </w:p>
    <w:p>
      <w:pPr>
        <w:pStyle w:val="Normal"/>
        <w:jc w:val="center"/>
        <w:rPr>
          <w:b/>
          <w:b/>
          <w:color w:val="0000FF"/>
          <w:sz w:val="24"/>
          <w:szCs w:val="24"/>
        </w:rPr>
      </w:pPr>
      <w:r>
        <w:rPr>
          <w:b/>
          <w:color w:val="0000FF"/>
          <w:sz w:val="24"/>
          <w:szCs w:val="24"/>
        </w:rPr>
        <w:t>NGÀY 28 THÁNG 04 NĂM 2009</w:t>
      </w:r>
    </w:p>
    <w:p>
      <w:pPr>
        <w:pStyle w:val="TextBody"/>
        <w:jc w:val="center"/>
        <w:rPr>
          <w:rFonts w:ascii="Times New Roman" w:hAnsi="Times New Roman" w:cs="Times New Roman"/>
          <w:b/>
          <w:b/>
          <w:bCs/>
          <w:color w:val="0000FF"/>
          <w:sz w:val="24"/>
          <w:szCs w:val="24"/>
        </w:rPr>
      </w:pPr>
      <w:r>
        <w:rPr>
          <w:rFonts w:cs="Times New Roman" w:ascii="Times New Roman" w:hAnsi="Times New Roman"/>
          <w:b/>
          <w:bCs/>
          <w:color w:val="0000FF"/>
          <w:sz w:val="24"/>
          <w:szCs w:val="24"/>
        </w:rPr>
        <w:t xml:space="preserve">HƯỚNG DẪN THỰC HIỆN CHUYỂN BẢO HIỂM XÃ HỘI NÔNG DÂN NGHỆ AN </w:t>
      </w:r>
    </w:p>
    <w:p>
      <w:pPr>
        <w:pStyle w:val="TextBody"/>
        <w:jc w:val="center"/>
        <w:rPr>
          <w:rFonts w:ascii="Times New Roman" w:hAnsi="Times New Roman" w:cs="Times New Roman"/>
          <w:b/>
          <w:b/>
          <w:bCs/>
          <w:color w:val="0000FF"/>
          <w:sz w:val="24"/>
          <w:szCs w:val="24"/>
        </w:rPr>
      </w:pPr>
      <w:r>
        <w:rPr>
          <w:rFonts w:cs="Times New Roman" w:ascii="Times New Roman" w:hAnsi="Times New Roman"/>
          <w:b/>
          <w:bCs/>
          <w:color w:val="0000FF"/>
          <w:sz w:val="24"/>
          <w:szCs w:val="24"/>
        </w:rPr>
        <w:t>SANG BẢO HIỂM XÃ HỘI TỰ NGUYỆN THEO QUYẾT ĐỊNH SỐ 41/2009/QĐ-TTg</w:t>
      </w:r>
    </w:p>
    <w:p>
      <w:pPr>
        <w:pStyle w:val="TextBody"/>
        <w:jc w:val="center"/>
        <w:rPr>
          <w:rFonts w:ascii="Times New Roman" w:hAnsi="Times New Roman" w:cs="Times New Roman"/>
          <w:b/>
          <w:b/>
          <w:bCs/>
          <w:i/>
          <w:i/>
          <w:iCs/>
          <w:color w:val="0000FF"/>
          <w:sz w:val="24"/>
          <w:szCs w:val="24"/>
        </w:rPr>
      </w:pPr>
      <w:r>
        <w:rPr>
          <w:rFonts w:cs="Times New Roman" w:ascii="Times New Roman" w:hAnsi="Times New Roman"/>
          <w:b/>
          <w:bCs/>
          <w:color w:val="0000FF"/>
          <w:sz w:val="24"/>
          <w:szCs w:val="24"/>
        </w:rPr>
        <w:t>NGÀY 16 THÁNG 3 NĂM 2009 CỦA THỦ TƯỚNG CHÍNH PHỦ</w:t>
      </w:r>
    </w:p>
    <w:p>
      <w:pPr>
        <w:pStyle w:val="Normal"/>
        <w:jc w:val="center"/>
        <w:rPr>
          <w:rFonts w:ascii="Times New Roman" w:hAnsi="Times New Roman" w:cs="Times New Roman"/>
          <w:b/>
          <w:b/>
          <w:bCs/>
          <w:i/>
          <w:i/>
          <w:iCs/>
          <w:color w:val="0000FF"/>
          <w:sz w:val="24"/>
          <w:szCs w:val="24"/>
        </w:rPr>
      </w:pPr>
      <w:r>
        <w:rPr>
          <w:rFonts w:cs="Times New Roman"/>
          <w:b/>
          <w:bCs/>
          <w:i/>
          <w:iCs/>
          <w:color w:val="0000FF"/>
          <w:sz w:val="24"/>
          <w:szCs w:val="24"/>
        </w:rPr>
      </w:r>
    </w:p>
    <w:p>
      <w:pPr>
        <w:pStyle w:val="TextBody"/>
        <w:spacing w:lineRule="auto" w:line="288" w:before="120" w:after="0"/>
        <w:ind w:firstLine="720"/>
        <w:rPr>
          <w:rFonts w:ascii="Times New Roman" w:hAnsi="Times New Roman" w:cs="Times New Roman"/>
          <w:color w:val="0000FF"/>
          <w:sz w:val="24"/>
          <w:szCs w:val="24"/>
        </w:rPr>
      </w:pPr>
      <w:r>
        <w:rPr>
          <w:rFonts w:cs="Times New Roman" w:ascii="Times New Roman" w:hAnsi="Times New Roman"/>
          <w:color w:val="0000FF"/>
          <w:sz w:val="24"/>
          <w:szCs w:val="24"/>
        </w:rPr>
        <w:t>Căn cứ quy định tại khoản 1 Điều 6 Quyết định số 41/2009/QĐ-TTg ngày 16 tháng 3 năm 2009 của Thủ tướng Chính phủ về việc chuyển Bảo hiểm xã hội nông dân Nghệ An sang bảo hiểm xã hội tự nguyện (sau đây gọi tắt là Quyết định số 41/2009/QĐ-TTg), căn cứ Nghị định số 190/2007/NĐ-CP ngày 28 tháng 12 năm 2007 của Chính phủ hướng dẫn một số điều của Luật Bảo hiểm xã hội về bảo hiểm xã hội tự nguyện; Bộ Lao động- Thương binh và Xã hội hướng dẫn thực hiện quy định tại các Điều 2, 3, 4 và Điều 5 của Quyết định số 41/2009/QĐ-TTg như sau:</w:t>
      </w:r>
    </w:p>
    <w:p>
      <w:pPr>
        <w:pStyle w:val="TextBody"/>
        <w:spacing w:lineRule="auto" w:line="288" w:before="120" w:after="0"/>
        <w:ind w:firstLine="720"/>
        <w:rPr/>
      </w:pPr>
      <w:r>
        <w:rPr>
          <w:rFonts w:cs="Times New Roman" w:ascii="Times New Roman" w:hAnsi="Times New Roman"/>
          <w:b/>
          <w:bCs/>
          <w:color w:val="0000FF"/>
          <w:sz w:val="24"/>
          <w:szCs w:val="24"/>
        </w:rPr>
        <w:t>Điều 1.</w:t>
      </w:r>
      <w:r>
        <w:rPr>
          <w:rFonts w:cs="Times New Roman" w:ascii="Times New Roman" w:hAnsi="Times New Roman"/>
          <w:color w:val="0000FF"/>
          <w:sz w:val="24"/>
          <w:szCs w:val="24"/>
        </w:rPr>
        <w:t xml:space="preserve"> Đối tượng áp dụng theo quy định tại Điều 2 Quyết định số 41/2009/QĐ-TTg bao gồm:</w:t>
      </w:r>
    </w:p>
    <w:p>
      <w:pPr>
        <w:pStyle w:val="TextBody"/>
        <w:spacing w:lineRule="auto" w:line="288" w:before="120" w:after="0"/>
        <w:ind w:firstLine="720"/>
        <w:rPr/>
      </w:pPr>
      <w:r>
        <w:rPr>
          <w:rFonts w:cs="Times New Roman" w:ascii="Times New Roman" w:hAnsi="Times New Roman"/>
          <w:b/>
          <w:bCs/>
          <w:color w:val="0000FF"/>
          <w:sz w:val="24"/>
          <w:szCs w:val="24"/>
        </w:rPr>
        <w:t>1.</w:t>
      </w:r>
      <w:r>
        <w:rPr>
          <w:rFonts w:cs="Times New Roman" w:ascii="Times New Roman" w:hAnsi="Times New Roman"/>
          <w:color w:val="0000FF"/>
          <w:sz w:val="24"/>
          <w:szCs w:val="24"/>
        </w:rPr>
        <w:t xml:space="preserve"> Người lao động đang tham gia bảo hiểm xã hội nông dân Nghệ An (kể cả người đang tạm dừng đóng) có nguyện vọng được chuyển s</w:t>
      </w:r>
      <w:r>
        <w:rPr>
          <w:rFonts w:cs="Times New Roman" w:ascii="Times New Roman" w:hAnsi="Times New Roman"/>
          <w:color w:val="0000FF"/>
          <w:sz w:val="24"/>
          <w:szCs w:val="24"/>
          <w:lang w:val="sv-SE"/>
        </w:rPr>
        <w:t>ang tham gia bảo hiểm xã hội tự nguyện theo quy định của Luật Bảo hiểm xã hội.</w:t>
      </w:r>
    </w:p>
    <w:p>
      <w:pPr>
        <w:pStyle w:val="TextBody"/>
        <w:spacing w:lineRule="auto" w:line="288" w:before="120" w:after="0"/>
        <w:ind w:firstLine="720"/>
        <w:rPr/>
      </w:pPr>
      <w:r>
        <w:rPr>
          <w:rFonts w:cs="Times New Roman" w:ascii="Times New Roman" w:hAnsi="Times New Roman"/>
          <w:b/>
          <w:bCs/>
          <w:color w:val="0000FF"/>
          <w:sz w:val="24"/>
          <w:szCs w:val="24"/>
          <w:lang w:val="sv-SE"/>
        </w:rPr>
        <w:t>2.</w:t>
      </w:r>
      <w:r>
        <w:rPr>
          <w:rFonts w:cs="Times New Roman" w:ascii="Times New Roman" w:hAnsi="Times New Roman"/>
          <w:color w:val="0000FF"/>
          <w:sz w:val="24"/>
          <w:szCs w:val="24"/>
          <w:lang w:val="sv-SE"/>
        </w:rPr>
        <w:t xml:space="preserve"> Người lao động đang tham gia bảo hiểm xã hội nông dân Nghệ An (kể cả người đang tạm dừng đóng) có nguyện vọng dừng tham gia bảo hiểm xã hội để hưởng trợ cấp một lần.</w:t>
      </w:r>
    </w:p>
    <w:p>
      <w:pPr>
        <w:pStyle w:val="TextBody"/>
        <w:spacing w:lineRule="auto" w:line="288" w:before="120" w:after="0"/>
        <w:ind w:firstLine="720"/>
        <w:rPr/>
      </w:pPr>
      <w:r>
        <w:rPr>
          <w:rFonts w:cs="Times New Roman" w:ascii="Times New Roman" w:hAnsi="Times New Roman"/>
          <w:b/>
          <w:bCs/>
          <w:color w:val="0000FF"/>
          <w:sz w:val="24"/>
          <w:szCs w:val="24"/>
          <w:lang w:val="sv-SE"/>
        </w:rPr>
        <w:t>3.</w:t>
      </w:r>
      <w:r>
        <w:rPr>
          <w:rFonts w:cs="Times New Roman" w:ascii="Times New Roman" w:hAnsi="Times New Roman"/>
          <w:color w:val="0000FF"/>
          <w:sz w:val="24"/>
          <w:szCs w:val="24"/>
          <w:lang w:val="sv-SE"/>
        </w:rPr>
        <w:t xml:space="preserve"> Người nghỉ hưu đang hưởng trợ cấp hàng tháng từ quỹ bảo hiểm xã hội nông dân Nghệ An.</w:t>
      </w:r>
    </w:p>
    <w:p>
      <w:pPr>
        <w:pStyle w:val="Normal"/>
        <w:spacing w:lineRule="auto" w:line="288" w:before="120" w:after="0"/>
        <w:ind w:firstLine="720"/>
        <w:jc w:val="both"/>
        <w:rPr/>
      </w:pPr>
      <w:r>
        <w:rPr>
          <w:b/>
          <w:bCs/>
          <w:color w:val="0000FF"/>
          <w:sz w:val="24"/>
          <w:szCs w:val="24"/>
          <w:lang w:val="sv-SE"/>
        </w:rPr>
        <w:t>Điều 2.</w:t>
      </w:r>
      <w:r>
        <w:rPr>
          <w:color w:val="0000FF"/>
          <w:sz w:val="24"/>
          <w:szCs w:val="24"/>
          <w:lang w:val="sv-SE"/>
        </w:rPr>
        <w:t xml:space="preserve"> Thực hiện chuyển đổi về thời gian đóng, mức đóng bảo hiểm xã hội nông dân Nghệ An sang bảo hiểm xã hội tự nguyện theo quy định tại khoản 1 Điều 3 Quyết định số 41/2009/QĐ-TTg:</w:t>
      </w:r>
    </w:p>
    <w:p>
      <w:pPr>
        <w:pStyle w:val="Normal"/>
        <w:spacing w:lineRule="auto" w:line="288" w:before="120" w:after="0"/>
        <w:ind w:firstLine="720"/>
        <w:jc w:val="both"/>
        <w:rPr/>
      </w:pPr>
      <w:r>
        <w:rPr>
          <w:b/>
          <w:bCs/>
          <w:color w:val="0000FF"/>
          <w:sz w:val="24"/>
          <w:szCs w:val="24"/>
          <w:lang w:val="sv-SE"/>
        </w:rPr>
        <w:t>1.</w:t>
      </w:r>
      <w:r>
        <w:rPr>
          <w:color w:val="0000FF"/>
          <w:sz w:val="24"/>
          <w:szCs w:val="24"/>
          <w:lang w:val="sv-SE"/>
        </w:rPr>
        <w:t xml:space="preserve"> Thời gian tham gia bảo hiểm xã hội nông dân Nghệ An chuyển đổi thành thời gian tham gia bảo hiểm xã hội tự nguyện theo quy định tại điểm a khoản 1 Điều 3 Quyết định số 41/2009/QĐ-TTg như sau:</w:t>
      </w:r>
    </w:p>
    <w:p>
      <w:pPr>
        <w:pStyle w:val="Normal"/>
        <w:spacing w:lineRule="auto" w:line="288" w:before="120" w:after="0"/>
        <w:ind w:firstLine="720"/>
        <w:jc w:val="both"/>
        <w:rPr>
          <w:color w:val="0000FF"/>
          <w:sz w:val="24"/>
          <w:szCs w:val="24"/>
          <w:lang w:val="sv-SE"/>
        </w:rPr>
      </w:pPr>
      <w:r>
        <w:rPr>
          <w:color w:val="0000FF"/>
          <w:sz w:val="24"/>
          <w:szCs w:val="24"/>
          <w:lang w:val="sv-SE"/>
        </w:rPr>
        <w:t>Thời gian tham gia bảo hiểm xã hội tự nguyện sau chuyển đổi được tính bằng tổng thời gian tham gia bảo hiểm xã hội tự nguyện được chuyển đổi của các năm đóng bảo hiểm xã hội nông dân Nghệ An. Thời gian đóng bảo hiểm xã hội tự nguyện của mỗi năm được tính bằng tỷ số giữa số tiền đóng bảo hiểm xã hội nông dân Nghệ An trong năm với tích số giữa tỷ lệ % đóng bảo hiểm xã hội vào quỹ hưu trí và tử tuất tại năm đó với mức lương tối thiểu chung của năm tương ứng. Công thức tính như sau:</w:t>
      </w:r>
    </w:p>
    <w:p>
      <w:pPr>
        <w:pStyle w:val="Normal"/>
        <w:spacing w:lineRule="auto" w:line="288" w:before="120" w:after="0"/>
        <w:ind w:firstLine="720"/>
        <w:jc w:val="both"/>
        <w:rPr>
          <w:color w:val="0000FF"/>
          <w:sz w:val="24"/>
          <w:szCs w:val="24"/>
          <w:lang w:val="nl-NL"/>
        </w:rPr>
      </w:pPr>
      <w:r>
        <w:rPr>
          <w:color w:val="0000FF"/>
          <w:sz w:val="24"/>
          <w:szCs w:val="24"/>
          <w:lang w:val="nl-NL"/>
        </w:rPr>
      </w:r>
      <m:oMathPara xmlns:m="http://schemas.openxmlformats.org/officeDocument/2006/math">
        <m:oMathParaPr>
          <m:jc m:val="left"/>
        </m:oMathParaPr>
        <m:oMath>
          <m:sSub>
            <m:e>
              <m:r>
                <w:rPr>
                  <w:rFonts w:ascii="Cambria Math" w:hAnsi="Cambria Math"/>
                </w:rPr>
                <m:t xml:space="preserve">T</m:t>
              </m:r>
            </m:e>
            <m:sub>
              <m:r>
                <m:rPr>
                  <m:lit/>
                  <m:nor/>
                </m:rPr>
                <w:rPr>
                  <w:rFonts w:ascii="Cambria Math" w:hAnsi="Cambria Math"/>
                </w:rPr>
                <m:t xml:space="preserve">TNg</m:t>
              </m:r>
            </m:sub>
          </m:sSub>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m:rPr>
                  <m:lit/>
                  <m:nor/>
                </m:rPr>
                <w:rPr>
                  <w:rFonts w:ascii="Cambria Math" w:hAnsi="Cambria Math"/>
                </w:rPr>
                <m:t xml:space="preserve">1998</m:t>
              </m:r>
            </m:sub>
            <m:sup>
              <m:r>
                <m:rPr>
                  <m:lit/>
                  <m:nor/>
                </m:rPr>
                <w:rPr>
                  <w:rFonts w:ascii="Cambria Math" w:hAnsi="Cambria Math"/>
                </w:rPr>
                <m:t xml:space="preserve">2009</m:t>
              </m:r>
            </m:sup>
            <m:e/>
          </m:nary>
          <m:f>
            <m:num>
              <m:sSub>
                <m:e>
                  <m:r>
                    <w:rPr>
                      <w:rFonts w:ascii="Cambria Math" w:hAnsi="Cambria Math"/>
                    </w:rPr>
                    <m:t xml:space="preserve">C</m:t>
                  </m:r>
                </m:e>
                <m:sub>
                  <m:r>
                    <w:rPr>
                      <w:rFonts w:ascii="Cambria Math" w:hAnsi="Cambria Math"/>
                    </w:rPr>
                    <m:t xml:space="preserve">k</m:t>
                  </m:r>
                </m:sub>
              </m:sSub>
            </m:num>
            <m:den>
              <m:sSub>
                <m:e>
                  <m:r>
                    <w:rPr>
                      <w:rFonts w:ascii="Cambria Math" w:hAnsi="Cambria Math"/>
                    </w:rPr>
                    <m:t xml:space="preserve">H</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L</m:t>
                  </m:r>
                </m:e>
                <m:sub>
                  <m:r>
                    <m:rPr>
                      <m:lit/>
                      <m:nor/>
                    </m:rPr>
                    <w:rPr>
                      <w:rFonts w:ascii="Cambria Math" w:hAnsi="Cambria Math"/>
                    </w:rPr>
                    <m:t xml:space="preserve">min,</m:t>
                  </m:r>
                  <m:r>
                    <w:rPr>
                      <w:rFonts w:ascii="Cambria Math" w:hAnsi="Cambria Math"/>
                    </w:rPr>
                    <m:t xml:space="preserve">k</m:t>
                  </m:r>
                </m:sub>
              </m:sSub>
            </m:den>
          </m:f>
        </m:oMath>
      </m:oMathPara>
    </w:p>
    <w:p>
      <w:pPr>
        <w:pStyle w:val="Normal"/>
        <w:spacing w:lineRule="auto" w:line="288" w:before="120" w:after="0"/>
        <w:ind w:firstLine="720"/>
        <w:jc w:val="both"/>
        <w:rPr>
          <w:i/>
          <w:i/>
          <w:color w:val="0000FF"/>
          <w:sz w:val="24"/>
          <w:szCs w:val="24"/>
          <w:lang w:val="nl-NL"/>
        </w:rPr>
      </w:pPr>
      <w:r>
        <w:rPr>
          <w:i/>
          <w:color w:val="0000FF"/>
          <w:sz w:val="24"/>
          <w:szCs w:val="24"/>
          <w:lang w:val="nl-NL"/>
        </w:rPr>
      </w:r>
    </w:p>
    <w:p>
      <w:pPr>
        <w:pStyle w:val="Normal"/>
        <w:spacing w:lineRule="auto" w:line="288"/>
        <w:ind w:firstLine="720"/>
        <w:jc w:val="both"/>
        <w:rPr>
          <w:i/>
          <w:i/>
          <w:iCs/>
          <w:color w:val="0000FF"/>
          <w:sz w:val="24"/>
          <w:szCs w:val="24"/>
          <w:lang w:val="nl-NL"/>
        </w:rPr>
      </w:pPr>
      <w:r>
        <w:rPr>
          <w:i/>
          <w:iCs/>
          <w:color w:val="0000FF"/>
          <w:sz w:val="24"/>
          <w:szCs w:val="24"/>
          <w:lang w:val="nl-NL"/>
        </w:rPr>
        <w:t>Trong đó:</w:t>
      </w:r>
    </w:p>
    <w:p>
      <w:pPr>
        <w:pStyle w:val="Normal"/>
        <w:spacing w:lineRule="auto" w:line="288" w:before="120" w:after="0"/>
        <w:ind w:firstLine="720"/>
        <w:jc w:val="both"/>
        <w:rPr>
          <w:color w:val="0000FF"/>
          <w:sz w:val="24"/>
          <w:szCs w:val="24"/>
          <w:lang w:val="nl-NL"/>
        </w:rPr>
      </w:pPr>
      <w:r>
        <w:rPr>
          <w:color w:val="0000FF"/>
          <w:sz w:val="24"/>
          <w:szCs w:val="24"/>
          <w:lang w:val="nl-NL"/>
        </w:rPr>
        <w:t>k   : năm người lao động đóng bảo hiểm xã hội nông dân Nghệ An;</w:t>
      </w:r>
    </w:p>
    <w:p>
      <w:pPr>
        <w:pStyle w:val="Normal"/>
        <w:spacing w:lineRule="auto" w:line="288" w:before="120" w:after="0"/>
        <w:ind w:firstLine="720"/>
        <w:jc w:val="both"/>
        <w:rPr/>
      </w:pPr>
      <w:r>
        <w:rPr>
          <w:color w:val="0000FF"/>
          <w:sz w:val="24"/>
          <w:szCs w:val="24"/>
          <w:lang w:val="pt-BR"/>
        </w:rPr>
        <w:t>C</w:t>
      </w:r>
      <w:r>
        <w:rPr>
          <w:color w:val="0000FF"/>
          <w:sz w:val="24"/>
          <w:szCs w:val="24"/>
          <w:vertAlign w:val="subscript"/>
          <w:lang w:val="pt-BR"/>
        </w:rPr>
        <w:t>k</w:t>
      </w:r>
      <w:r>
        <w:rPr>
          <w:color w:val="0000FF"/>
          <w:sz w:val="24"/>
          <w:szCs w:val="24"/>
          <w:lang w:val="pt-BR"/>
        </w:rPr>
        <w:t xml:space="preserve"> : số tiền đóng bảo hiểm xã hội nông dân Nghệ An tại năm k (</w:t>
      </w:r>
      <w:r>
        <w:rPr>
          <w:color w:val="0000FF"/>
          <w:sz w:val="24"/>
          <w:szCs w:val="24"/>
          <w:lang w:val="nl-NL"/>
        </w:rPr>
        <w:t>được tính bằng tích số giữa số tháng đã đóng bảo hiểm xã hội nông dân Nghệ An với mức đóng hàng tháng trong năm k)</w:t>
      </w:r>
      <w:r>
        <w:rPr>
          <w:color w:val="0000FF"/>
          <w:sz w:val="24"/>
          <w:szCs w:val="24"/>
          <w:lang w:val="pt-BR"/>
        </w:rPr>
        <w:t>;</w:t>
      </w:r>
    </w:p>
    <w:p>
      <w:pPr>
        <w:pStyle w:val="Normal"/>
        <w:spacing w:lineRule="auto" w:line="288" w:before="120" w:after="0"/>
        <w:ind w:firstLine="720"/>
        <w:jc w:val="both"/>
        <w:rPr/>
      </w:pPr>
      <w:r>
        <w:rPr>
          <w:color w:val="0000FF"/>
          <w:sz w:val="24"/>
          <w:szCs w:val="24"/>
          <w:lang w:val="pt-BR"/>
        </w:rPr>
        <w:t>H</w:t>
      </w:r>
      <w:r>
        <w:rPr>
          <w:color w:val="0000FF"/>
          <w:sz w:val="24"/>
          <w:szCs w:val="24"/>
          <w:vertAlign w:val="subscript"/>
          <w:lang w:val="pt-BR"/>
        </w:rPr>
        <w:t>k</w:t>
      </w:r>
      <w:r>
        <w:rPr>
          <w:color w:val="0000FF"/>
          <w:sz w:val="24"/>
          <w:szCs w:val="24"/>
          <w:lang w:val="pt-BR"/>
        </w:rPr>
        <w:t xml:space="preserve"> : tỷ lệ % đóng bảo hiểm xã hội vào quỹ hưu trí và tử tuất tại năm k, được thể hiện tại Bảng 1 dưới đây:</w:t>
      </w:r>
    </w:p>
    <w:p>
      <w:pPr>
        <w:pStyle w:val="Normal"/>
        <w:spacing w:lineRule="auto" w:line="288" w:before="120" w:after="120"/>
        <w:ind w:firstLine="720"/>
        <w:jc w:val="both"/>
        <w:rPr>
          <w:color w:val="0000FF"/>
          <w:sz w:val="24"/>
          <w:szCs w:val="24"/>
          <w:lang w:val="pt-BR"/>
        </w:rPr>
      </w:pPr>
      <w:r>
        <w:rPr>
          <w:b/>
          <w:bCs/>
          <w:color w:val="0000FF"/>
          <w:sz w:val="24"/>
          <w:szCs w:val="24"/>
          <w:lang w:val="pt-BR"/>
        </w:rPr>
        <w:t>Bảng 1:</w:t>
      </w:r>
      <w:r>
        <w:rPr>
          <w:color w:val="0000FF"/>
          <w:sz w:val="24"/>
          <w:szCs w:val="24"/>
          <w:lang w:val="pt-BR"/>
        </w:rPr>
        <w:t xml:space="preserve"> Tỷ lệ % đóng bảo hiểm xã hội vào quỹ hưu trí và tử tuất</w:t>
      </w:r>
    </w:p>
    <w:tbl>
      <w:tblPr>
        <w:tblW w:w="5760" w:type="dxa"/>
        <w:jc w:val="left"/>
        <w:tblInd w:w="1435" w:type="dxa"/>
        <w:tblLayout w:type="fixed"/>
        <w:tblCellMar>
          <w:top w:w="0" w:type="dxa"/>
          <w:left w:w="108" w:type="dxa"/>
          <w:bottom w:w="0" w:type="dxa"/>
          <w:right w:w="108" w:type="dxa"/>
        </w:tblCellMar>
      </w:tblPr>
      <w:tblGrid>
        <w:gridCol w:w="3237"/>
        <w:gridCol w:w="2523"/>
      </w:tblGrid>
      <w:tr>
        <w:trPr/>
        <w:tc>
          <w:tcPr>
            <w:tcW w:w="3237"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0"/>
              <w:jc w:val="center"/>
              <w:rPr>
                <w:color w:val="0000FF"/>
                <w:sz w:val="24"/>
                <w:szCs w:val="24"/>
                <w:lang w:val="nl-NL"/>
              </w:rPr>
            </w:pPr>
            <w:r>
              <w:rPr>
                <w:color w:val="0000FF"/>
                <w:sz w:val="24"/>
                <w:szCs w:val="24"/>
                <w:lang w:val="nl-NL"/>
              </w:rPr>
              <w:t>k</w:t>
            </w:r>
          </w:p>
        </w:tc>
        <w:tc>
          <w:tcPr>
            <w:tcW w:w="2523"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0"/>
              <w:jc w:val="center"/>
              <w:rPr/>
            </w:pPr>
            <w:r>
              <w:rPr>
                <w:color w:val="0000FF"/>
                <w:sz w:val="24"/>
                <w:szCs w:val="24"/>
                <w:lang w:val="nl-NL"/>
              </w:rPr>
              <w:t>H</w:t>
            </w:r>
            <w:r>
              <w:rPr>
                <w:color w:val="0000FF"/>
                <w:sz w:val="24"/>
                <w:szCs w:val="24"/>
                <w:vertAlign w:val="subscript"/>
                <w:lang w:val="nl-NL"/>
              </w:rPr>
              <w:t>k</w:t>
            </w:r>
          </w:p>
        </w:tc>
      </w:tr>
      <w:tr>
        <w:trPr/>
        <w:tc>
          <w:tcPr>
            <w:tcW w:w="3237"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0"/>
              <w:jc w:val="both"/>
              <w:rPr>
                <w:color w:val="0000FF"/>
                <w:sz w:val="24"/>
                <w:szCs w:val="24"/>
                <w:lang w:val="nl-NL"/>
              </w:rPr>
            </w:pPr>
            <w:r>
              <w:rPr>
                <w:color w:val="0000FF"/>
                <w:sz w:val="24"/>
                <w:szCs w:val="24"/>
                <w:lang w:val="nl-NL"/>
              </w:rPr>
              <w:t>Trước năm 2007</w:t>
            </w:r>
          </w:p>
        </w:tc>
        <w:tc>
          <w:tcPr>
            <w:tcW w:w="2523"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0"/>
              <w:jc w:val="center"/>
              <w:rPr>
                <w:color w:val="0000FF"/>
                <w:sz w:val="24"/>
                <w:szCs w:val="24"/>
                <w:lang w:val="nl-NL"/>
              </w:rPr>
            </w:pPr>
            <w:r>
              <w:rPr>
                <w:color w:val="0000FF"/>
                <w:sz w:val="24"/>
                <w:szCs w:val="24"/>
                <w:lang w:val="nl-NL"/>
              </w:rPr>
              <w:t>15%</w:t>
            </w:r>
          </w:p>
        </w:tc>
      </w:tr>
      <w:tr>
        <w:trPr/>
        <w:tc>
          <w:tcPr>
            <w:tcW w:w="3237"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0"/>
              <w:jc w:val="both"/>
              <w:rPr>
                <w:color w:val="0000FF"/>
                <w:sz w:val="24"/>
                <w:szCs w:val="24"/>
                <w:lang w:val="nl-NL"/>
              </w:rPr>
            </w:pPr>
            <w:r>
              <w:rPr>
                <w:color w:val="0000FF"/>
                <w:sz w:val="24"/>
                <w:szCs w:val="24"/>
                <w:lang w:val="nl-NL"/>
              </w:rPr>
              <w:t>Từ năm 2007 trở đi</w:t>
            </w:r>
          </w:p>
        </w:tc>
        <w:tc>
          <w:tcPr>
            <w:tcW w:w="2523"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0"/>
              <w:jc w:val="center"/>
              <w:rPr>
                <w:color w:val="0000FF"/>
                <w:sz w:val="24"/>
                <w:szCs w:val="24"/>
                <w:lang w:val="nl-NL"/>
              </w:rPr>
            </w:pPr>
            <w:r>
              <w:rPr>
                <w:color w:val="0000FF"/>
                <w:sz w:val="24"/>
                <w:szCs w:val="24"/>
                <w:lang w:val="nl-NL"/>
              </w:rPr>
              <w:t>16%</w:t>
            </w:r>
          </w:p>
        </w:tc>
      </w:tr>
    </w:tbl>
    <w:p>
      <w:pPr>
        <w:pStyle w:val="Normal"/>
        <w:spacing w:lineRule="auto" w:line="288" w:before="120" w:after="120"/>
        <w:ind w:firstLine="720"/>
        <w:jc w:val="both"/>
        <w:rPr/>
      </w:pPr>
      <w:r>
        <w:rPr>
          <w:color w:val="0000FF"/>
          <w:sz w:val="24"/>
          <w:szCs w:val="24"/>
          <w:lang w:val="nl-NL"/>
        </w:rPr>
        <w:t>L</w:t>
      </w:r>
      <w:r>
        <w:rPr>
          <w:color w:val="0000FF"/>
          <w:sz w:val="24"/>
          <w:szCs w:val="24"/>
          <w:vertAlign w:val="subscript"/>
          <w:lang w:val="nl-NL"/>
        </w:rPr>
        <w:t>min,k</w:t>
      </w:r>
      <w:r>
        <w:rPr>
          <w:color w:val="0000FF"/>
          <w:sz w:val="24"/>
          <w:szCs w:val="24"/>
          <w:lang w:val="nl-NL"/>
        </w:rPr>
        <w:t xml:space="preserve"> : mức lương tối thiểu chung tại năm k và được thống kê tại Bảng 2 dưới đây:</w:t>
      </w:r>
    </w:p>
    <w:p>
      <w:pPr>
        <w:pStyle w:val="Normal"/>
        <w:spacing w:lineRule="auto" w:line="288" w:before="120" w:after="120"/>
        <w:ind w:firstLine="720"/>
        <w:jc w:val="both"/>
        <w:rPr/>
      </w:pPr>
      <w:r>
        <w:rPr>
          <w:b/>
          <w:bCs/>
          <w:color w:val="0000FF"/>
          <w:sz w:val="24"/>
          <w:szCs w:val="24"/>
          <w:lang w:val="nl-NL"/>
        </w:rPr>
        <w:t xml:space="preserve">Bảng 2: </w:t>
      </w:r>
      <w:r>
        <w:rPr/>
        <w:t>Mức lương tối thiểu chung từ năm 1998 đến tháng 4/2009</w:t>
      </w:r>
    </w:p>
    <w:tbl>
      <w:tblPr>
        <w:tblW w:w="9540" w:type="dxa"/>
        <w:jc w:val="left"/>
        <w:tblInd w:w="-113" w:type="dxa"/>
        <w:tblLayout w:type="fixed"/>
        <w:tblCellMar>
          <w:top w:w="0" w:type="dxa"/>
          <w:left w:w="108" w:type="dxa"/>
          <w:bottom w:w="0" w:type="dxa"/>
          <w:right w:w="108" w:type="dxa"/>
        </w:tblCellMar>
      </w:tblPr>
      <w:tblGrid>
        <w:gridCol w:w="1440"/>
        <w:gridCol w:w="1080"/>
        <w:gridCol w:w="1080"/>
        <w:gridCol w:w="1080"/>
        <w:gridCol w:w="1080"/>
        <w:gridCol w:w="1080"/>
        <w:gridCol w:w="1080"/>
        <w:gridCol w:w="1620"/>
      </w:tblGrid>
      <w:tr>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before="144" w:after="0"/>
              <w:jc w:val="center"/>
              <w:rPr>
                <w:b/>
                <w:b/>
                <w:bCs/>
                <w:color w:val="0000FF"/>
                <w:sz w:val="24"/>
                <w:szCs w:val="24"/>
              </w:rPr>
            </w:pPr>
            <w:r>
              <w:rPr>
                <w:b/>
                <w:bCs/>
                <w:color w:val="0000FF"/>
                <w:sz w:val="24"/>
                <w:szCs w:val="24"/>
              </w:rPr>
              <w:t>Năm</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144" w:after="0"/>
              <w:jc w:val="center"/>
              <w:rPr>
                <w:b/>
                <w:b/>
                <w:bCs/>
                <w:color w:val="0000FF"/>
                <w:sz w:val="24"/>
                <w:szCs w:val="24"/>
              </w:rPr>
            </w:pPr>
            <w:r>
              <w:rPr>
                <w:b/>
                <w:bCs/>
                <w:color w:val="0000FF"/>
                <w:sz w:val="24"/>
                <w:szCs w:val="24"/>
              </w:rPr>
              <w:t>1998-1999</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144" w:after="0"/>
              <w:jc w:val="center"/>
              <w:rPr>
                <w:b/>
                <w:b/>
                <w:bCs/>
                <w:color w:val="0000FF"/>
                <w:sz w:val="24"/>
                <w:szCs w:val="24"/>
              </w:rPr>
            </w:pPr>
            <w:r>
              <w:rPr>
                <w:b/>
                <w:bCs/>
                <w:color w:val="0000FF"/>
                <w:sz w:val="24"/>
                <w:szCs w:val="24"/>
              </w:rPr>
              <w:t>2000</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144" w:after="0"/>
              <w:jc w:val="center"/>
              <w:rPr>
                <w:b/>
                <w:b/>
                <w:bCs/>
                <w:color w:val="0000FF"/>
                <w:sz w:val="24"/>
                <w:szCs w:val="24"/>
              </w:rPr>
            </w:pPr>
            <w:r>
              <w:rPr>
                <w:b/>
                <w:bCs/>
                <w:color w:val="0000FF"/>
                <w:sz w:val="24"/>
                <w:szCs w:val="24"/>
              </w:rPr>
              <w:t>2001-2002</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144" w:after="0"/>
              <w:jc w:val="center"/>
              <w:rPr>
                <w:b/>
                <w:b/>
                <w:bCs/>
                <w:color w:val="0000FF"/>
                <w:sz w:val="24"/>
                <w:szCs w:val="24"/>
              </w:rPr>
            </w:pPr>
            <w:r>
              <w:rPr>
                <w:b/>
                <w:bCs/>
                <w:color w:val="0000FF"/>
                <w:sz w:val="24"/>
                <w:szCs w:val="24"/>
              </w:rPr>
              <w:t>2003-2004</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144" w:after="0"/>
              <w:jc w:val="center"/>
              <w:rPr>
                <w:b/>
                <w:b/>
                <w:bCs/>
                <w:color w:val="0000FF"/>
                <w:sz w:val="24"/>
                <w:szCs w:val="24"/>
              </w:rPr>
            </w:pPr>
            <w:r>
              <w:rPr>
                <w:b/>
                <w:bCs/>
                <w:color w:val="0000FF"/>
                <w:sz w:val="24"/>
                <w:szCs w:val="24"/>
              </w:rPr>
              <w:t>2005</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before="144" w:after="0"/>
              <w:jc w:val="center"/>
              <w:rPr>
                <w:b/>
                <w:b/>
                <w:bCs/>
                <w:color w:val="0000FF"/>
                <w:sz w:val="24"/>
                <w:szCs w:val="24"/>
              </w:rPr>
            </w:pPr>
            <w:r>
              <w:rPr>
                <w:b/>
                <w:bCs/>
                <w:color w:val="0000FF"/>
                <w:sz w:val="24"/>
                <w:szCs w:val="24"/>
              </w:rPr>
              <w:t>2006- 2007</w:t>
            </w:r>
          </w:p>
        </w:tc>
        <w:tc>
          <w:tcPr>
            <w:tcW w:w="1620" w:type="dxa"/>
            <w:tcBorders>
              <w:top w:val="single" w:sz="4" w:space="0" w:color="000000"/>
              <w:left w:val="single" w:sz="4" w:space="0" w:color="000000"/>
              <w:bottom w:val="single" w:sz="4" w:space="0" w:color="000000"/>
              <w:right w:val="single" w:sz="4" w:space="0" w:color="000000"/>
            </w:tcBorders>
            <w:vAlign w:val="center"/>
          </w:tcPr>
          <w:p>
            <w:pPr>
              <w:pStyle w:val="Normal"/>
              <w:spacing w:before="144" w:after="0"/>
              <w:jc w:val="center"/>
              <w:rPr>
                <w:b/>
                <w:b/>
                <w:bCs/>
                <w:color w:val="0000FF"/>
                <w:sz w:val="24"/>
                <w:szCs w:val="24"/>
              </w:rPr>
            </w:pPr>
            <w:r>
              <w:rPr>
                <w:b/>
                <w:bCs/>
                <w:color w:val="0000FF"/>
                <w:sz w:val="24"/>
                <w:szCs w:val="24"/>
              </w:rPr>
              <w:t>2008 đến tháng 4/2009</w:t>
            </w:r>
          </w:p>
        </w:tc>
      </w:tr>
      <w:tr>
        <w:trPr/>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before="120" w:after="0"/>
              <w:jc w:val="center"/>
              <w:rPr/>
            </w:pPr>
            <w:r>
              <w:rPr>
                <w:color w:val="0000FF"/>
                <w:sz w:val="24"/>
                <w:szCs w:val="24"/>
              </w:rPr>
              <w:t>L</w:t>
            </w:r>
            <w:r>
              <w:rPr>
                <w:color w:val="0000FF"/>
                <w:sz w:val="24"/>
                <w:szCs w:val="24"/>
                <w:vertAlign w:val="subscript"/>
              </w:rPr>
              <w:t>min,k</w:t>
            </w:r>
          </w:p>
          <w:p>
            <w:pPr>
              <w:pStyle w:val="Normal"/>
              <w:spacing w:lineRule="exact" w:line="360"/>
              <w:jc w:val="center"/>
              <w:rPr>
                <w:color w:val="0000FF"/>
                <w:sz w:val="24"/>
                <w:szCs w:val="24"/>
              </w:rPr>
            </w:pPr>
            <w:r>
              <w:rPr>
                <w:color w:val="0000FF"/>
                <w:sz w:val="24"/>
                <w:szCs w:val="24"/>
              </w:rPr>
              <w:t>(đồng/tháng)</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before="60" w:after="0"/>
              <w:jc w:val="center"/>
              <w:rPr>
                <w:color w:val="0000FF"/>
                <w:sz w:val="24"/>
                <w:szCs w:val="24"/>
              </w:rPr>
            </w:pPr>
            <w:r>
              <w:rPr>
                <w:color w:val="0000FF"/>
                <w:sz w:val="24"/>
                <w:szCs w:val="24"/>
              </w:rPr>
              <w:t>140.000</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before="60" w:after="0"/>
              <w:jc w:val="center"/>
              <w:rPr>
                <w:color w:val="0000FF"/>
                <w:sz w:val="24"/>
                <w:szCs w:val="24"/>
              </w:rPr>
            </w:pPr>
            <w:r>
              <w:rPr>
                <w:color w:val="0000FF"/>
                <w:sz w:val="24"/>
                <w:szCs w:val="24"/>
              </w:rPr>
              <w:t>180.000</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before="60" w:after="0"/>
              <w:jc w:val="center"/>
              <w:rPr>
                <w:color w:val="0000FF"/>
                <w:sz w:val="24"/>
                <w:szCs w:val="24"/>
              </w:rPr>
            </w:pPr>
            <w:r>
              <w:rPr>
                <w:color w:val="0000FF"/>
                <w:sz w:val="24"/>
                <w:szCs w:val="24"/>
              </w:rPr>
              <w:t>210.000</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before="60" w:after="0"/>
              <w:jc w:val="center"/>
              <w:rPr>
                <w:color w:val="0000FF"/>
                <w:sz w:val="24"/>
                <w:szCs w:val="24"/>
              </w:rPr>
            </w:pPr>
            <w:r>
              <w:rPr>
                <w:color w:val="0000FF"/>
                <w:sz w:val="24"/>
                <w:szCs w:val="24"/>
              </w:rPr>
              <w:t>290.000</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before="60" w:after="0"/>
              <w:jc w:val="center"/>
              <w:rPr>
                <w:color w:val="0000FF"/>
                <w:sz w:val="24"/>
                <w:szCs w:val="24"/>
              </w:rPr>
            </w:pPr>
            <w:r>
              <w:rPr>
                <w:color w:val="0000FF"/>
                <w:sz w:val="24"/>
                <w:szCs w:val="24"/>
              </w:rPr>
              <w:t>350.000</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before="60" w:after="0"/>
              <w:jc w:val="center"/>
              <w:rPr>
                <w:color w:val="0000FF"/>
                <w:sz w:val="24"/>
                <w:szCs w:val="24"/>
              </w:rPr>
            </w:pPr>
            <w:r>
              <w:rPr>
                <w:color w:val="0000FF"/>
                <w:sz w:val="24"/>
                <w:szCs w:val="24"/>
              </w:rPr>
              <w:t>450.000</w:t>
            </w:r>
          </w:p>
        </w:tc>
        <w:tc>
          <w:tcPr>
            <w:tcW w:w="162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before="60" w:after="0"/>
              <w:jc w:val="center"/>
              <w:rPr>
                <w:color w:val="0000FF"/>
                <w:sz w:val="24"/>
                <w:szCs w:val="24"/>
              </w:rPr>
            </w:pPr>
            <w:r>
              <w:rPr>
                <w:color w:val="0000FF"/>
                <w:sz w:val="24"/>
                <w:szCs w:val="24"/>
              </w:rPr>
              <w:t>540.000</w:t>
            </w:r>
          </w:p>
        </w:tc>
      </w:tr>
    </w:tbl>
    <w:p>
      <w:pPr>
        <w:pStyle w:val="Normal"/>
        <w:spacing w:lineRule="auto" w:line="288" w:before="120" w:after="0"/>
        <w:ind w:firstLine="720"/>
        <w:jc w:val="both"/>
        <w:rPr>
          <w:color w:val="0000FF"/>
          <w:sz w:val="24"/>
          <w:szCs w:val="24"/>
          <w:lang w:val="nl-NL"/>
        </w:rPr>
      </w:pPr>
      <w:r>
        <w:rPr>
          <w:color w:val="0000FF"/>
          <w:sz w:val="24"/>
          <w:szCs w:val="24"/>
          <w:lang w:val="nl-NL"/>
        </w:rPr>
      </w:r>
    </w:p>
    <w:p>
      <w:pPr>
        <w:pStyle w:val="Normal"/>
        <w:spacing w:lineRule="auto" w:line="288" w:before="120" w:after="0"/>
        <w:ind w:firstLine="720"/>
        <w:jc w:val="both"/>
        <w:rPr/>
      </w:pPr>
      <w:r>
        <w:rPr>
          <w:color w:val="0000FF"/>
          <w:sz w:val="24"/>
          <w:szCs w:val="24"/>
          <w:lang w:val="nl-NL"/>
        </w:rPr>
        <w:t>T</w:t>
      </w:r>
      <w:r>
        <w:rPr>
          <w:color w:val="0000FF"/>
          <w:sz w:val="24"/>
          <w:szCs w:val="24"/>
          <w:vertAlign w:val="subscript"/>
          <w:lang w:val="nl-NL"/>
        </w:rPr>
        <w:t>TNg</w:t>
      </w:r>
      <w:r>
        <w:rPr>
          <w:color w:val="0000FF"/>
          <w:sz w:val="24"/>
          <w:szCs w:val="24"/>
          <w:lang w:val="nl-NL"/>
        </w:rPr>
        <w:t xml:space="preserve"> : Thời gian tham gia bảo hiểm xã hội tự nguyện được chuyển đổi từ thời gian tham gia bảo hiểm xã hội nông dân Nghệ An.</w:t>
      </w:r>
    </w:p>
    <w:p>
      <w:pPr>
        <w:pStyle w:val="Normal"/>
        <w:spacing w:lineRule="auto" w:line="288" w:before="120" w:after="0"/>
        <w:ind w:firstLine="720"/>
        <w:jc w:val="both"/>
        <w:rPr>
          <w:color w:val="0000FF"/>
          <w:sz w:val="24"/>
          <w:szCs w:val="24"/>
          <w:lang w:val="nl-NL"/>
        </w:rPr>
      </w:pPr>
      <w:r>
        <w:rPr>
          <w:color w:val="0000FF"/>
          <w:sz w:val="24"/>
          <w:szCs w:val="24"/>
          <w:lang w:val="nl-NL"/>
        </w:rPr>
        <w:t>a) Trường hợp số tiền đóng bảo hiểm xã hội nông dân Nghệ An trong năm k lớn hơn hoặc bằng tích số giữa số tháng tương ứng đã đóng bảo hiểm xã hội nông dân Nghệ An với tỷ lệ % đóng bảo hiểm xã hội vào quỹ hưu trí và tử tuất và mức lương tối thiểu chung tại năm k, thì thời gian đóng bảo hiểm xã hội tự nguyện được tính bằng thời gian đóng bảo hiểm xã hội nông dân Nghệ An. Trong trường hợp này số tiền hàng tháng đóng vào quỹ bảo hiểm xã hội nông dân Nghệ An là căn cứ để tính mức thu nhập tháng đóng bảo hiểm xã hội tự nguyện, cách tính như quy định tại khoản 2 Điều 2 Thông tư này.</w:t>
      </w:r>
    </w:p>
    <w:p>
      <w:pPr>
        <w:pStyle w:val="Normal"/>
        <w:spacing w:lineRule="auto" w:line="288" w:before="120" w:after="0"/>
        <w:ind w:firstLine="720"/>
        <w:jc w:val="both"/>
        <w:rPr>
          <w:color w:val="0000FF"/>
          <w:sz w:val="24"/>
          <w:szCs w:val="24"/>
          <w:lang w:val="nl-NL"/>
        </w:rPr>
      </w:pPr>
      <w:r>
        <w:rPr>
          <w:color w:val="0000FF"/>
          <w:sz w:val="24"/>
          <w:szCs w:val="24"/>
          <w:lang w:val="nl-NL"/>
        </w:rPr>
        <w:t>Cụ thể, nếu trong năm k số tiền đóng bảo hiểm xã hội nông dân Nghệ An bằng hoặc lớn hơn số tiền quy định ở Bảng 3 dưới đây (tương ứng với số tháng đã đóng bảo hiểm xã hội nông dân Nghệ An trong năm k) thì không thực hiện việc chuyển đổi số tháng đã đóng bảo hiểm xã hội trong năm đó.</w:t>
      </w:r>
    </w:p>
    <w:p>
      <w:pPr>
        <w:pStyle w:val="Normal"/>
        <w:spacing w:lineRule="auto" w:line="312" w:before="120" w:after="120"/>
        <w:ind w:firstLine="720"/>
        <w:jc w:val="both"/>
        <w:rPr/>
      </w:pPr>
      <w:r>
        <w:rPr/>
        <w:t>Bảng 3:</w:t>
      </w:r>
    </w:p>
    <w:tbl>
      <w:tblPr>
        <w:tblW w:w="8805" w:type="dxa"/>
        <w:jc w:val="center"/>
        <w:tblInd w:w="0" w:type="dxa"/>
        <w:tblLayout w:type="fixed"/>
        <w:tblCellMar>
          <w:top w:w="0" w:type="dxa"/>
          <w:left w:w="108" w:type="dxa"/>
          <w:bottom w:w="0" w:type="dxa"/>
          <w:right w:w="108" w:type="dxa"/>
        </w:tblCellMar>
      </w:tblPr>
      <w:tblGrid>
        <w:gridCol w:w="1440"/>
        <w:gridCol w:w="2138"/>
        <w:gridCol w:w="1256"/>
        <w:gridCol w:w="1257"/>
        <w:gridCol w:w="1374"/>
        <w:gridCol w:w="1340"/>
      </w:tblGrid>
      <w:tr>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b/>
                <w:b/>
                <w:bCs/>
                <w:color w:val="0000FF"/>
                <w:sz w:val="24"/>
                <w:szCs w:val="24"/>
              </w:rPr>
            </w:pPr>
            <w:r>
              <w:rPr>
                <w:b/>
                <w:bCs/>
                <w:color w:val="0000FF"/>
                <w:sz w:val="24"/>
                <w:szCs w:val="24"/>
              </w:rPr>
              <w:t>Số tháng đóng trong năm</w:t>
            </w:r>
          </w:p>
        </w:tc>
        <w:tc>
          <w:tcPr>
            <w:tcW w:w="2138"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right"/>
              <w:rPr>
                <w:b/>
                <w:b/>
                <w:bCs/>
                <w:color w:val="0000FF"/>
                <w:sz w:val="24"/>
                <w:szCs w:val="24"/>
              </w:rPr>
            </w:pPr>
            <w:r>
              <w:rPr>
                <w:b/>
                <w:bCs/>
                <w:color w:val="0000FF"/>
                <w:sz w:val="24"/>
                <w:szCs w:val="24"/>
              </w:rPr>
              <w:t>Năm k</w:t>
            </w:r>
          </w:p>
          <w:p>
            <w:pPr>
              <w:pStyle w:val="Normal"/>
              <w:jc w:val="right"/>
              <w:rPr>
                <w:b/>
                <w:b/>
                <w:bCs/>
                <w:color w:val="0000FF"/>
                <w:sz w:val="24"/>
                <w:szCs w:val="24"/>
              </w:rPr>
            </w:pPr>
            <w:r>
              <w:rPr>
                <w:b/>
                <w:bCs/>
                <w:color w:val="0000FF"/>
                <w:sz w:val="24"/>
                <w:szCs w:val="24"/>
              </w:rPr>
            </w:r>
          </w:p>
          <w:p>
            <w:pPr>
              <w:pStyle w:val="Normal"/>
              <w:rPr/>
            </w:pPr>
            <w:r>
              <w:rPr>
                <w:b/>
                <w:bCs/>
                <w:color w:val="0000FF"/>
                <w:sz w:val="24"/>
                <w:szCs w:val="24"/>
              </w:rPr>
              <w:t>C</w:t>
            </w:r>
            <w:r>
              <w:rPr>
                <w:b/>
                <w:bCs/>
                <w:color w:val="0000FF"/>
                <w:sz w:val="24"/>
                <w:szCs w:val="24"/>
                <w:vertAlign w:val="subscript"/>
              </w:rPr>
              <w:t>k</w:t>
            </w:r>
            <w:r>
              <w:rPr>
                <w:b/>
                <w:bCs/>
                <w:color w:val="0000FF"/>
                <w:sz w:val="24"/>
                <w:szCs w:val="24"/>
              </w:rPr>
              <w:t xml:space="preserve"> (đồng)</w:t>
            </w:r>
          </w:p>
        </w:tc>
        <w:tc>
          <w:tcPr>
            <w:tcW w:w="125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b/>
                <w:bCs/>
                <w:color w:val="0000FF"/>
                <w:sz w:val="24"/>
                <w:szCs w:val="24"/>
              </w:rPr>
            </w:pPr>
            <w:r>
              <w:rPr>
                <w:b/>
                <w:bCs/>
                <w:color w:val="0000FF"/>
                <w:sz w:val="24"/>
                <w:szCs w:val="24"/>
              </w:rPr>
              <w:t>1998-1999</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b/>
                <w:bCs/>
                <w:color w:val="0000FF"/>
                <w:sz w:val="24"/>
                <w:szCs w:val="24"/>
              </w:rPr>
            </w:pPr>
            <w:r>
              <w:rPr>
                <w:b/>
                <w:bCs/>
                <w:color w:val="0000FF"/>
                <w:sz w:val="24"/>
                <w:szCs w:val="24"/>
              </w:rPr>
              <w:t>2000</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b/>
                <w:bCs/>
                <w:color w:val="0000FF"/>
                <w:sz w:val="24"/>
                <w:szCs w:val="24"/>
              </w:rPr>
            </w:pPr>
            <w:r>
              <w:rPr>
                <w:b/>
                <w:bCs/>
                <w:color w:val="0000FF"/>
                <w:sz w:val="24"/>
                <w:szCs w:val="24"/>
              </w:rPr>
              <w:t>2001-2002</w:t>
            </w:r>
          </w:p>
        </w:tc>
        <w:tc>
          <w:tcPr>
            <w:tcW w:w="134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b/>
                <w:bCs/>
                <w:color w:val="0000FF"/>
                <w:sz w:val="24"/>
                <w:szCs w:val="24"/>
              </w:rPr>
            </w:pPr>
            <w:r>
              <w:rPr>
                <w:b/>
                <w:bCs/>
                <w:color w:val="0000FF"/>
                <w:sz w:val="24"/>
                <w:szCs w:val="24"/>
              </w:rPr>
              <w:t>2003-2004</w:t>
            </w:r>
          </w:p>
        </w:tc>
      </w:tr>
      <w:tr>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color w:val="0000FF"/>
                <w:sz w:val="24"/>
                <w:szCs w:val="24"/>
              </w:rPr>
            </w:pPr>
            <w:r>
              <w:rPr>
                <w:color w:val="0000FF"/>
                <w:sz w:val="24"/>
                <w:szCs w:val="24"/>
              </w:rPr>
              <w:t>1</w:t>
            </w:r>
          </w:p>
        </w:tc>
        <w:tc>
          <w:tcPr>
            <w:tcW w:w="2138"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pPr>
            <w:r>
              <w:rPr>
                <w:color w:val="0000FF"/>
                <w:sz w:val="24"/>
                <w:szCs w:val="24"/>
              </w:rPr>
              <w:t>H</w:t>
            </w:r>
            <w:r>
              <w:rPr>
                <w:color w:val="0000FF"/>
                <w:sz w:val="24"/>
                <w:szCs w:val="24"/>
                <w:vertAlign w:val="subscript"/>
              </w:rPr>
              <w:t>k</w:t>
            </w:r>
            <w:r>
              <w:rPr>
                <w:color w:val="0000FF"/>
                <w:sz w:val="24"/>
                <w:szCs w:val="24"/>
              </w:rPr>
              <w:t xml:space="preserve"> x L</w:t>
            </w:r>
            <w:r>
              <w:rPr>
                <w:color w:val="0000FF"/>
                <w:sz w:val="24"/>
                <w:szCs w:val="24"/>
                <w:vertAlign w:val="subscript"/>
              </w:rPr>
              <w:t>min, k</w:t>
            </w:r>
          </w:p>
        </w:tc>
        <w:tc>
          <w:tcPr>
            <w:tcW w:w="1256"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rPr>
            </w:pPr>
            <w:r>
              <w:rPr>
                <w:color w:val="0000FF"/>
                <w:sz w:val="24"/>
                <w:szCs w:val="24"/>
              </w:rPr>
              <w:t>21.000</w:t>
            </w:r>
          </w:p>
        </w:tc>
        <w:tc>
          <w:tcPr>
            <w:tcW w:w="1257"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rPr>
            </w:pPr>
            <w:r>
              <w:rPr>
                <w:color w:val="0000FF"/>
                <w:sz w:val="24"/>
                <w:szCs w:val="24"/>
              </w:rPr>
              <w:t>27.000</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rPr>
            </w:pPr>
            <w:r>
              <w:rPr>
                <w:color w:val="0000FF"/>
                <w:sz w:val="24"/>
                <w:szCs w:val="24"/>
              </w:rPr>
              <w:t>31.500</w:t>
            </w:r>
          </w:p>
        </w:tc>
        <w:tc>
          <w:tcPr>
            <w:tcW w:w="1340"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lang w:val="sv-SE"/>
              </w:rPr>
            </w:pPr>
            <w:r>
              <w:rPr>
                <w:color w:val="0000FF"/>
                <w:sz w:val="24"/>
                <w:szCs w:val="24"/>
                <w:lang w:val="sv-SE"/>
              </w:rPr>
              <w:t>43.500</w:t>
            </w:r>
          </w:p>
        </w:tc>
      </w:tr>
      <w:tr>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color w:val="0000FF"/>
                <w:sz w:val="24"/>
                <w:szCs w:val="24"/>
                <w:lang w:val="sv-SE"/>
              </w:rPr>
            </w:pPr>
            <w:r>
              <w:rPr>
                <w:color w:val="0000FF"/>
                <w:sz w:val="24"/>
                <w:szCs w:val="24"/>
                <w:lang w:val="sv-SE"/>
              </w:rPr>
              <w:t>3</w:t>
            </w:r>
          </w:p>
        </w:tc>
        <w:tc>
          <w:tcPr>
            <w:tcW w:w="2138"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pPr>
            <w:r>
              <w:rPr>
                <w:color w:val="0000FF"/>
                <w:sz w:val="24"/>
                <w:szCs w:val="24"/>
                <w:lang w:val="sv-SE"/>
              </w:rPr>
              <w:t>3 x H</w:t>
            </w:r>
            <w:r>
              <w:rPr>
                <w:color w:val="0000FF"/>
                <w:sz w:val="24"/>
                <w:szCs w:val="24"/>
                <w:vertAlign w:val="subscript"/>
                <w:lang w:val="sv-SE"/>
              </w:rPr>
              <w:t>k</w:t>
            </w:r>
            <w:r>
              <w:rPr>
                <w:color w:val="0000FF"/>
                <w:sz w:val="24"/>
                <w:szCs w:val="24"/>
                <w:lang w:val="sv-SE"/>
              </w:rPr>
              <w:t xml:space="preserve"> x L</w:t>
            </w:r>
            <w:r>
              <w:rPr>
                <w:color w:val="0000FF"/>
                <w:sz w:val="24"/>
                <w:szCs w:val="24"/>
                <w:vertAlign w:val="subscript"/>
                <w:lang w:val="sv-SE"/>
              </w:rPr>
              <w:t>min, k</w:t>
            </w:r>
          </w:p>
        </w:tc>
        <w:tc>
          <w:tcPr>
            <w:tcW w:w="1256"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lang w:val="sv-SE"/>
              </w:rPr>
            </w:pPr>
            <w:r>
              <w:rPr>
                <w:color w:val="0000FF"/>
                <w:sz w:val="24"/>
                <w:szCs w:val="24"/>
                <w:lang w:val="sv-SE"/>
              </w:rPr>
              <w:t>63.000</w:t>
            </w:r>
          </w:p>
        </w:tc>
        <w:tc>
          <w:tcPr>
            <w:tcW w:w="1257"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lang w:val="sv-SE"/>
              </w:rPr>
            </w:pPr>
            <w:r>
              <w:rPr>
                <w:color w:val="0000FF"/>
                <w:sz w:val="24"/>
                <w:szCs w:val="24"/>
                <w:lang w:val="sv-SE"/>
              </w:rPr>
              <w:t>81.000</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lang w:val="sv-SE"/>
              </w:rPr>
            </w:pPr>
            <w:r>
              <w:rPr>
                <w:color w:val="0000FF"/>
                <w:sz w:val="24"/>
                <w:szCs w:val="24"/>
                <w:lang w:val="sv-SE"/>
              </w:rPr>
              <w:t>94.500</w:t>
            </w:r>
          </w:p>
        </w:tc>
        <w:tc>
          <w:tcPr>
            <w:tcW w:w="1340"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lang w:val="sv-SE"/>
              </w:rPr>
            </w:pPr>
            <w:r>
              <w:rPr>
                <w:color w:val="0000FF"/>
                <w:sz w:val="24"/>
                <w:szCs w:val="24"/>
                <w:lang w:val="sv-SE"/>
              </w:rPr>
              <w:t>130.500</w:t>
            </w:r>
          </w:p>
        </w:tc>
      </w:tr>
      <w:tr>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color w:val="0000FF"/>
                <w:sz w:val="24"/>
                <w:szCs w:val="24"/>
                <w:lang w:val="sv-SE"/>
              </w:rPr>
            </w:pPr>
            <w:r>
              <w:rPr>
                <w:color w:val="0000FF"/>
                <w:sz w:val="24"/>
                <w:szCs w:val="24"/>
                <w:lang w:val="sv-SE"/>
              </w:rPr>
              <w:t>6</w:t>
            </w:r>
          </w:p>
        </w:tc>
        <w:tc>
          <w:tcPr>
            <w:tcW w:w="2138"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pPr>
            <w:r>
              <w:rPr>
                <w:color w:val="0000FF"/>
                <w:sz w:val="24"/>
                <w:szCs w:val="24"/>
                <w:lang w:val="sv-SE"/>
              </w:rPr>
              <w:t>6 x H</w:t>
            </w:r>
            <w:r>
              <w:rPr>
                <w:color w:val="0000FF"/>
                <w:sz w:val="24"/>
                <w:szCs w:val="24"/>
                <w:vertAlign w:val="subscript"/>
                <w:lang w:val="sv-SE"/>
              </w:rPr>
              <w:t>k</w:t>
            </w:r>
            <w:r>
              <w:rPr>
                <w:color w:val="0000FF"/>
                <w:sz w:val="24"/>
                <w:szCs w:val="24"/>
                <w:lang w:val="sv-SE"/>
              </w:rPr>
              <w:t xml:space="preserve"> x L</w:t>
            </w:r>
            <w:r>
              <w:rPr>
                <w:color w:val="0000FF"/>
                <w:sz w:val="24"/>
                <w:szCs w:val="24"/>
                <w:vertAlign w:val="subscript"/>
                <w:lang w:val="sv-SE"/>
              </w:rPr>
              <w:t>min, k</w:t>
            </w:r>
          </w:p>
        </w:tc>
        <w:tc>
          <w:tcPr>
            <w:tcW w:w="1256"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lang w:val="sv-SE"/>
              </w:rPr>
            </w:pPr>
            <w:r>
              <w:rPr>
                <w:color w:val="0000FF"/>
                <w:sz w:val="24"/>
                <w:szCs w:val="24"/>
                <w:lang w:val="sv-SE"/>
              </w:rPr>
              <w:t>126.000</w:t>
            </w:r>
          </w:p>
        </w:tc>
        <w:tc>
          <w:tcPr>
            <w:tcW w:w="1257"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lang w:val="sv-SE"/>
              </w:rPr>
            </w:pPr>
            <w:r>
              <w:rPr>
                <w:color w:val="0000FF"/>
                <w:sz w:val="24"/>
                <w:szCs w:val="24"/>
                <w:lang w:val="sv-SE"/>
              </w:rPr>
              <w:t>162.000</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lang w:val="sv-SE"/>
              </w:rPr>
            </w:pPr>
            <w:r>
              <w:rPr>
                <w:color w:val="0000FF"/>
                <w:sz w:val="24"/>
                <w:szCs w:val="24"/>
                <w:lang w:val="sv-SE"/>
              </w:rPr>
              <w:t>189.000</w:t>
            </w:r>
          </w:p>
        </w:tc>
        <w:tc>
          <w:tcPr>
            <w:tcW w:w="1340"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lang w:val="sv-SE"/>
              </w:rPr>
            </w:pPr>
            <w:r>
              <w:rPr>
                <w:color w:val="0000FF"/>
                <w:sz w:val="24"/>
                <w:szCs w:val="24"/>
                <w:lang w:val="sv-SE"/>
              </w:rPr>
              <w:t>261.000</w:t>
            </w:r>
          </w:p>
        </w:tc>
      </w:tr>
      <w:tr>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color w:val="0000FF"/>
                <w:sz w:val="24"/>
                <w:szCs w:val="24"/>
                <w:lang w:val="sv-SE"/>
              </w:rPr>
            </w:pPr>
            <w:r>
              <w:rPr>
                <w:color w:val="0000FF"/>
                <w:sz w:val="24"/>
                <w:szCs w:val="24"/>
                <w:lang w:val="sv-SE"/>
              </w:rPr>
              <w:t>9</w:t>
            </w:r>
          </w:p>
        </w:tc>
        <w:tc>
          <w:tcPr>
            <w:tcW w:w="2138"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pPr>
            <w:r>
              <w:rPr>
                <w:color w:val="0000FF"/>
                <w:sz w:val="24"/>
                <w:szCs w:val="24"/>
                <w:lang w:val="sv-SE"/>
              </w:rPr>
              <w:t>9 x H</w:t>
            </w:r>
            <w:r>
              <w:rPr>
                <w:color w:val="0000FF"/>
                <w:sz w:val="24"/>
                <w:szCs w:val="24"/>
                <w:vertAlign w:val="subscript"/>
                <w:lang w:val="sv-SE"/>
              </w:rPr>
              <w:t>k</w:t>
            </w:r>
            <w:r>
              <w:rPr>
                <w:color w:val="0000FF"/>
                <w:sz w:val="24"/>
                <w:szCs w:val="24"/>
                <w:lang w:val="sv-SE"/>
              </w:rPr>
              <w:t xml:space="preserve"> x L</w:t>
            </w:r>
            <w:r>
              <w:rPr>
                <w:color w:val="0000FF"/>
                <w:sz w:val="24"/>
                <w:szCs w:val="24"/>
                <w:vertAlign w:val="subscript"/>
                <w:lang w:val="sv-SE"/>
              </w:rPr>
              <w:t>min, k</w:t>
            </w:r>
          </w:p>
        </w:tc>
        <w:tc>
          <w:tcPr>
            <w:tcW w:w="1256"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lang w:val="sv-SE"/>
              </w:rPr>
            </w:pPr>
            <w:r>
              <w:rPr>
                <w:color w:val="0000FF"/>
                <w:sz w:val="24"/>
                <w:szCs w:val="24"/>
                <w:lang w:val="sv-SE"/>
              </w:rPr>
              <w:t>189.000</w:t>
            </w:r>
          </w:p>
        </w:tc>
        <w:tc>
          <w:tcPr>
            <w:tcW w:w="1257"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lang w:val="sv-SE"/>
              </w:rPr>
            </w:pPr>
            <w:r>
              <w:rPr>
                <w:color w:val="0000FF"/>
                <w:sz w:val="24"/>
                <w:szCs w:val="24"/>
                <w:lang w:val="sv-SE"/>
              </w:rPr>
              <w:t>243.000</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lang w:val="sv-SE"/>
              </w:rPr>
            </w:pPr>
            <w:r>
              <w:rPr>
                <w:color w:val="0000FF"/>
                <w:sz w:val="24"/>
                <w:szCs w:val="24"/>
                <w:lang w:val="sv-SE"/>
              </w:rPr>
              <w:t>283.500</w:t>
            </w:r>
          </w:p>
        </w:tc>
        <w:tc>
          <w:tcPr>
            <w:tcW w:w="1340"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lang w:val="sv-SE"/>
              </w:rPr>
            </w:pPr>
            <w:r>
              <w:rPr>
                <w:color w:val="0000FF"/>
                <w:sz w:val="24"/>
                <w:szCs w:val="24"/>
                <w:lang w:val="sv-SE"/>
              </w:rPr>
              <w:t>391.500</w:t>
            </w:r>
          </w:p>
        </w:tc>
      </w:tr>
      <w:tr>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color w:val="0000FF"/>
                <w:sz w:val="24"/>
                <w:szCs w:val="24"/>
              </w:rPr>
            </w:pPr>
            <w:r>
              <w:rPr>
                <w:color w:val="0000FF"/>
                <w:sz w:val="24"/>
                <w:szCs w:val="24"/>
              </w:rPr>
              <w:t>12</w:t>
            </w:r>
          </w:p>
        </w:tc>
        <w:tc>
          <w:tcPr>
            <w:tcW w:w="2138"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pPr>
            <w:r>
              <w:rPr>
                <w:color w:val="0000FF"/>
                <w:sz w:val="24"/>
                <w:szCs w:val="24"/>
              </w:rPr>
              <w:t>12 x H</w:t>
            </w:r>
            <w:r>
              <w:rPr>
                <w:color w:val="0000FF"/>
                <w:sz w:val="24"/>
                <w:szCs w:val="24"/>
                <w:vertAlign w:val="subscript"/>
              </w:rPr>
              <w:t>k</w:t>
            </w:r>
            <w:r>
              <w:rPr>
                <w:color w:val="0000FF"/>
                <w:sz w:val="24"/>
                <w:szCs w:val="24"/>
              </w:rPr>
              <w:t xml:space="preserve"> x L</w:t>
            </w:r>
            <w:r>
              <w:rPr>
                <w:color w:val="0000FF"/>
                <w:sz w:val="24"/>
                <w:szCs w:val="24"/>
                <w:vertAlign w:val="subscript"/>
              </w:rPr>
              <w:t>min, k</w:t>
            </w:r>
          </w:p>
        </w:tc>
        <w:tc>
          <w:tcPr>
            <w:tcW w:w="1256"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rPr>
            </w:pPr>
            <w:r>
              <w:rPr>
                <w:color w:val="0000FF"/>
                <w:sz w:val="24"/>
                <w:szCs w:val="24"/>
              </w:rPr>
              <w:t>252.000</w:t>
            </w:r>
          </w:p>
        </w:tc>
        <w:tc>
          <w:tcPr>
            <w:tcW w:w="1257"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rPr>
            </w:pPr>
            <w:r>
              <w:rPr>
                <w:color w:val="0000FF"/>
                <w:sz w:val="24"/>
                <w:szCs w:val="24"/>
              </w:rPr>
              <w:t>324.000</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rPr>
            </w:pPr>
            <w:r>
              <w:rPr>
                <w:color w:val="0000FF"/>
                <w:sz w:val="24"/>
                <w:szCs w:val="24"/>
              </w:rPr>
              <w:t>378.000</w:t>
            </w:r>
          </w:p>
        </w:tc>
        <w:tc>
          <w:tcPr>
            <w:tcW w:w="1340"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rPr>
            </w:pPr>
            <w:r>
              <w:rPr>
                <w:color w:val="0000FF"/>
                <w:sz w:val="24"/>
                <w:szCs w:val="24"/>
              </w:rPr>
              <w:t>522.000</w:t>
            </w:r>
          </w:p>
        </w:tc>
      </w:tr>
      <w:tr>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120" w:after="0"/>
              <w:jc w:val="center"/>
              <w:rPr>
                <w:b/>
                <w:b/>
                <w:bCs/>
                <w:color w:val="0000FF"/>
                <w:sz w:val="24"/>
                <w:szCs w:val="24"/>
              </w:rPr>
            </w:pPr>
            <w:r>
              <w:rPr>
                <w:b/>
                <w:bCs/>
                <w:color w:val="0000FF"/>
                <w:sz w:val="24"/>
                <w:szCs w:val="24"/>
              </w:rPr>
              <w:t>Số tháng đóng trong năm</w:t>
            </w:r>
          </w:p>
        </w:tc>
        <w:tc>
          <w:tcPr>
            <w:tcW w:w="2138"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right"/>
              <w:rPr>
                <w:b/>
                <w:b/>
                <w:bCs/>
                <w:color w:val="0000FF"/>
                <w:sz w:val="24"/>
                <w:szCs w:val="24"/>
              </w:rPr>
            </w:pPr>
            <w:r>
              <w:rPr>
                <w:b/>
                <w:bCs/>
                <w:color w:val="0000FF"/>
                <w:sz w:val="24"/>
                <w:szCs w:val="24"/>
              </w:rPr>
              <w:t>Năm k</w:t>
            </w:r>
          </w:p>
          <w:p>
            <w:pPr>
              <w:pStyle w:val="Normal"/>
              <w:jc w:val="right"/>
              <w:rPr>
                <w:b/>
                <w:b/>
                <w:bCs/>
                <w:color w:val="0000FF"/>
                <w:sz w:val="24"/>
                <w:szCs w:val="24"/>
              </w:rPr>
            </w:pPr>
            <w:r>
              <w:rPr>
                <w:b/>
                <w:bCs/>
                <w:color w:val="0000FF"/>
                <w:sz w:val="24"/>
                <w:szCs w:val="24"/>
              </w:rPr>
            </w:r>
          </w:p>
          <w:p>
            <w:pPr>
              <w:pStyle w:val="Normal"/>
              <w:rPr/>
            </w:pPr>
            <w:r>
              <w:rPr>
                <w:b/>
                <w:bCs/>
                <w:color w:val="0000FF"/>
                <w:sz w:val="24"/>
                <w:szCs w:val="24"/>
              </w:rPr>
              <w:t>C</w:t>
            </w:r>
            <w:r>
              <w:rPr>
                <w:b/>
                <w:bCs/>
                <w:color w:val="0000FF"/>
                <w:sz w:val="24"/>
                <w:szCs w:val="24"/>
                <w:vertAlign w:val="subscript"/>
              </w:rPr>
              <w:t>k</w:t>
            </w:r>
            <w:r>
              <w:rPr>
                <w:b/>
                <w:bCs/>
                <w:color w:val="0000FF"/>
                <w:sz w:val="24"/>
                <w:szCs w:val="24"/>
              </w:rPr>
              <w:t xml:space="preserve"> (đồng)</w:t>
            </w:r>
          </w:p>
        </w:tc>
        <w:tc>
          <w:tcPr>
            <w:tcW w:w="1256"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b/>
                <w:bCs/>
                <w:color w:val="0000FF"/>
                <w:sz w:val="24"/>
                <w:szCs w:val="24"/>
              </w:rPr>
            </w:pPr>
            <w:r>
              <w:rPr>
                <w:b/>
                <w:bCs/>
                <w:color w:val="0000FF"/>
                <w:sz w:val="24"/>
                <w:szCs w:val="24"/>
              </w:rPr>
              <w:t>2005</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b/>
                <w:bCs/>
                <w:color w:val="0000FF"/>
                <w:sz w:val="24"/>
                <w:szCs w:val="24"/>
              </w:rPr>
            </w:pPr>
            <w:r>
              <w:rPr>
                <w:b/>
                <w:bCs/>
                <w:color w:val="0000FF"/>
                <w:sz w:val="24"/>
                <w:szCs w:val="24"/>
              </w:rPr>
              <w:t>2006</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b/>
                <w:bCs/>
                <w:color w:val="0000FF"/>
                <w:sz w:val="24"/>
                <w:szCs w:val="24"/>
              </w:rPr>
            </w:pPr>
            <w:r>
              <w:rPr>
                <w:b/>
                <w:bCs/>
                <w:color w:val="0000FF"/>
                <w:sz w:val="24"/>
                <w:szCs w:val="24"/>
              </w:rPr>
              <w:t>2007</w:t>
            </w:r>
          </w:p>
        </w:tc>
        <w:tc>
          <w:tcPr>
            <w:tcW w:w="1340"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b/>
                <w:b/>
                <w:bCs/>
                <w:color w:val="0000FF"/>
                <w:sz w:val="24"/>
                <w:szCs w:val="24"/>
              </w:rPr>
            </w:pPr>
            <w:r>
              <w:rPr>
                <w:b/>
                <w:bCs/>
                <w:color w:val="0000FF"/>
                <w:sz w:val="24"/>
                <w:szCs w:val="24"/>
              </w:rPr>
              <w:t>2008 - 4 tháng đầu năm 2009</w:t>
            </w:r>
          </w:p>
        </w:tc>
      </w:tr>
      <w:tr>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color w:val="0000FF"/>
                <w:sz w:val="24"/>
                <w:szCs w:val="24"/>
              </w:rPr>
            </w:pPr>
            <w:r>
              <w:rPr>
                <w:color w:val="0000FF"/>
                <w:sz w:val="24"/>
                <w:szCs w:val="24"/>
              </w:rPr>
              <w:t>1</w:t>
            </w:r>
          </w:p>
        </w:tc>
        <w:tc>
          <w:tcPr>
            <w:tcW w:w="2138"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pPr>
            <w:r>
              <w:rPr>
                <w:color w:val="0000FF"/>
                <w:sz w:val="24"/>
                <w:szCs w:val="24"/>
              </w:rPr>
              <w:t>H</w:t>
            </w:r>
            <w:r>
              <w:rPr>
                <w:color w:val="0000FF"/>
                <w:sz w:val="24"/>
                <w:szCs w:val="24"/>
                <w:vertAlign w:val="subscript"/>
              </w:rPr>
              <w:t>k</w:t>
            </w:r>
            <w:r>
              <w:rPr>
                <w:color w:val="0000FF"/>
                <w:sz w:val="24"/>
                <w:szCs w:val="24"/>
              </w:rPr>
              <w:t xml:space="preserve"> x L</w:t>
            </w:r>
            <w:r>
              <w:rPr>
                <w:color w:val="0000FF"/>
                <w:sz w:val="24"/>
                <w:szCs w:val="24"/>
                <w:vertAlign w:val="subscript"/>
              </w:rPr>
              <w:t>min, k</w:t>
            </w:r>
          </w:p>
        </w:tc>
        <w:tc>
          <w:tcPr>
            <w:tcW w:w="1256"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rPr>
            </w:pPr>
            <w:r>
              <w:rPr>
                <w:color w:val="0000FF"/>
                <w:sz w:val="24"/>
                <w:szCs w:val="24"/>
              </w:rPr>
              <w:t>52.500</w:t>
            </w:r>
          </w:p>
        </w:tc>
        <w:tc>
          <w:tcPr>
            <w:tcW w:w="1257"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rPr>
            </w:pPr>
            <w:r>
              <w:rPr>
                <w:color w:val="0000FF"/>
                <w:sz w:val="24"/>
                <w:szCs w:val="24"/>
              </w:rPr>
              <w:t>67.500</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rPr>
            </w:pPr>
            <w:r>
              <w:rPr>
                <w:color w:val="0000FF"/>
                <w:sz w:val="24"/>
                <w:szCs w:val="24"/>
              </w:rPr>
              <w:t>72.000</w:t>
            </w:r>
          </w:p>
        </w:tc>
        <w:tc>
          <w:tcPr>
            <w:tcW w:w="1340"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rPr>
            </w:pPr>
            <w:r>
              <w:rPr>
                <w:color w:val="0000FF"/>
                <w:sz w:val="24"/>
                <w:szCs w:val="24"/>
              </w:rPr>
              <w:t>86.400</w:t>
            </w:r>
          </w:p>
        </w:tc>
      </w:tr>
      <w:tr>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color w:val="0000FF"/>
                <w:sz w:val="24"/>
                <w:szCs w:val="24"/>
              </w:rPr>
            </w:pPr>
            <w:r>
              <w:rPr>
                <w:color w:val="0000FF"/>
                <w:sz w:val="24"/>
                <w:szCs w:val="24"/>
              </w:rPr>
              <w:t>3</w:t>
            </w:r>
          </w:p>
        </w:tc>
        <w:tc>
          <w:tcPr>
            <w:tcW w:w="2138"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pPr>
            <w:r>
              <w:rPr>
                <w:color w:val="0000FF"/>
                <w:sz w:val="24"/>
                <w:szCs w:val="24"/>
              </w:rPr>
              <w:t>3 x H</w:t>
            </w:r>
            <w:r>
              <w:rPr>
                <w:color w:val="0000FF"/>
                <w:sz w:val="24"/>
                <w:szCs w:val="24"/>
                <w:vertAlign w:val="subscript"/>
              </w:rPr>
              <w:t>k</w:t>
            </w:r>
            <w:r>
              <w:rPr>
                <w:color w:val="0000FF"/>
                <w:sz w:val="24"/>
                <w:szCs w:val="24"/>
              </w:rPr>
              <w:t xml:space="preserve"> x L</w:t>
            </w:r>
            <w:r>
              <w:rPr>
                <w:color w:val="0000FF"/>
                <w:sz w:val="24"/>
                <w:szCs w:val="24"/>
                <w:vertAlign w:val="subscript"/>
              </w:rPr>
              <w:t>min, k</w:t>
            </w:r>
          </w:p>
        </w:tc>
        <w:tc>
          <w:tcPr>
            <w:tcW w:w="1256"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lang w:val="sv-SE"/>
              </w:rPr>
            </w:pPr>
            <w:r>
              <w:rPr>
                <w:color w:val="0000FF"/>
                <w:sz w:val="24"/>
                <w:szCs w:val="24"/>
                <w:lang w:val="sv-SE"/>
              </w:rPr>
              <w:t>157.500</w:t>
            </w:r>
          </w:p>
        </w:tc>
        <w:tc>
          <w:tcPr>
            <w:tcW w:w="1257"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lang w:val="sv-SE"/>
              </w:rPr>
            </w:pPr>
            <w:r>
              <w:rPr>
                <w:color w:val="0000FF"/>
                <w:sz w:val="24"/>
                <w:szCs w:val="24"/>
                <w:lang w:val="sv-SE"/>
              </w:rPr>
              <w:t>202.500</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lang w:val="sv-SE"/>
              </w:rPr>
            </w:pPr>
            <w:r>
              <w:rPr>
                <w:color w:val="0000FF"/>
                <w:sz w:val="24"/>
                <w:szCs w:val="24"/>
                <w:lang w:val="sv-SE"/>
              </w:rPr>
              <w:t>216.000</w:t>
            </w:r>
          </w:p>
        </w:tc>
        <w:tc>
          <w:tcPr>
            <w:tcW w:w="1340"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lang w:val="sv-SE"/>
              </w:rPr>
            </w:pPr>
            <w:r>
              <w:rPr>
                <w:color w:val="0000FF"/>
                <w:sz w:val="24"/>
                <w:szCs w:val="24"/>
                <w:lang w:val="sv-SE"/>
              </w:rPr>
              <w:t>259.200</w:t>
            </w:r>
          </w:p>
        </w:tc>
      </w:tr>
      <w:tr>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color w:val="0000FF"/>
                <w:sz w:val="24"/>
                <w:szCs w:val="24"/>
                <w:lang w:val="sv-SE"/>
              </w:rPr>
            </w:pPr>
            <w:r>
              <w:rPr>
                <w:color w:val="0000FF"/>
                <w:sz w:val="24"/>
                <w:szCs w:val="24"/>
                <w:lang w:val="sv-SE"/>
              </w:rPr>
              <w:t>6</w:t>
            </w:r>
          </w:p>
        </w:tc>
        <w:tc>
          <w:tcPr>
            <w:tcW w:w="2138"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pPr>
            <w:r>
              <w:rPr>
                <w:color w:val="0000FF"/>
                <w:sz w:val="24"/>
                <w:szCs w:val="24"/>
                <w:lang w:val="sv-SE"/>
              </w:rPr>
              <w:t>6 x H</w:t>
            </w:r>
            <w:r>
              <w:rPr>
                <w:color w:val="0000FF"/>
                <w:sz w:val="24"/>
                <w:szCs w:val="24"/>
                <w:vertAlign w:val="subscript"/>
                <w:lang w:val="sv-SE"/>
              </w:rPr>
              <w:t>k</w:t>
            </w:r>
            <w:r>
              <w:rPr>
                <w:color w:val="0000FF"/>
                <w:sz w:val="24"/>
                <w:szCs w:val="24"/>
                <w:lang w:val="sv-SE"/>
              </w:rPr>
              <w:t xml:space="preserve"> x L</w:t>
            </w:r>
            <w:r>
              <w:rPr>
                <w:color w:val="0000FF"/>
                <w:sz w:val="24"/>
                <w:szCs w:val="24"/>
                <w:vertAlign w:val="subscript"/>
                <w:lang w:val="sv-SE"/>
              </w:rPr>
              <w:t>min, k</w:t>
            </w:r>
          </w:p>
        </w:tc>
        <w:tc>
          <w:tcPr>
            <w:tcW w:w="1256"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lang w:val="sv-SE"/>
              </w:rPr>
            </w:pPr>
            <w:r>
              <w:rPr>
                <w:color w:val="0000FF"/>
                <w:sz w:val="24"/>
                <w:szCs w:val="24"/>
                <w:lang w:val="sv-SE"/>
              </w:rPr>
              <w:t>315.000</w:t>
            </w:r>
          </w:p>
        </w:tc>
        <w:tc>
          <w:tcPr>
            <w:tcW w:w="1257"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lang w:val="sv-SE"/>
              </w:rPr>
            </w:pPr>
            <w:r>
              <w:rPr>
                <w:color w:val="0000FF"/>
                <w:sz w:val="24"/>
                <w:szCs w:val="24"/>
                <w:lang w:val="sv-SE"/>
              </w:rPr>
              <w:t>405.000</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lang w:val="sv-SE"/>
              </w:rPr>
            </w:pPr>
            <w:r>
              <w:rPr>
                <w:color w:val="0000FF"/>
                <w:sz w:val="24"/>
                <w:szCs w:val="24"/>
                <w:lang w:val="sv-SE"/>
              </w:rPr>
              <w:t>432.000</w:t>
            </w:r>
          </w:p>
        </w:tc>
        <w:tc>
          <w:tcPr>
            <w:tcW w:w="1340"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lang w:val="sv-SE"/>
              </w:rPr>
            </w:pPr>
            <w:r>
              <w:rPr>
                <w:color w:val="0000FF"/>
                <w:sz w:val="24"/>
                <w:szCs w:val="24"/>
                <w:lang w:val="sv-SE"/>
              </w:rPr>
              <w:t>518.400</w:t>
            </w:r>
          </w:p>
        </w:tc>
      </w:tr>
      <w:tr>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color w:val="0000FF"/>
                <w:sz w:val="24"/>
                <w:szCs w:val="24"/>
                <w:lang w:val="sv-SE"/>
              </w:rPr>
            </w:pPr>
            <w:r>
              <w:rPr>
                <w:color w:val="0000FF"/>
                <w:sz w:val="24"/>
                <w:szCs w:val="24"/>
                <w:lang w:val="sv-SE"/>
              </w:rPr>
              <w:t>9</w:t>
            </w:r>
          </w:p>
        </w:tc>
        <w:tc>
          <w:tcPr>
            <w:tcW w:w="2138"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pPr>
            <w:r>
              <w:rPr>
                <w:color w:val="0000FF"/>
                <w:sz w:val="24"/>
                <w:szCs w:val="24"/>
                <w:lang w:val="sv-SE"/>
              </w:rPr>
              <w:t>9 x H</w:t>
            </w:r>
            <w:r>
              <w:rPr>
                <w:color w:val="0000FF"/>
                <w:sz w:val="24"/>
                <w:szCs w:val="24"/>
                <w:vertAlign w:val="subscript"/>
                <w:lang w:val="sv-SE"/>
              </w:rPr>
              <w:t>k</w:t>
            </w:r>
            <w:r>
              <w:rPr>
                <w:color w:val="0000FF"/>
                <w:sz w:val="24"/>
                <w:szCs w:val="24"/>
                <w:lang w:val="sv-SE"/>
              </w:rPr>
              <w:t xml:space="preserve"> x L</w:t>
            </w:r>
            <w:r>
              <w:rPr>
                <w:color w:val="0000FF"/>
                <w:sz w:val="24"/>
                <w:szCs w:val="24"/>
                <w:vertAlign w:val="subscript"/>
                <w:lang w:val="sv-SE"/>
              </w:rPr>
              <w:t>min, k</w:t>
            </w:r>
          </w:p>
        </w:tc>
        <w:tc>
          <w:tcPr>
            <w:tcW w:w="1256"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lang w:val="sv-SE"/>
              </w:rPr>
            </w:pPr>
            <w:r>
              <w:rPr>
                <w:color w:val="0000FF"/>
                <w:sz w:val="24"/>
                <w:szCs w:val="24"/>
                <w:lang w:val="sv-SE"/>
              </w:rPr>
              <w:t>472.500</w:t>
            </w:r>
          </w:p>
        </w:tc>
        <w:tc>
          <w:tcPr>
            <w:tcW w:w="1257"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lang w:val="sv-SE"/>
              </w:rPr>
            </w:pPr>
            <w:r>
              <w:rPr>
                <w:color w:val="0000FF"/>
                <w:sz w:val="24"/>
                <w:szCs w:val="24"/>
                <w:lang w:val="sv-SE"/>
              </w:rPr>
              <w:t>607.500</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lang w:val="sv-SE"/>
              </w:rPr>
            </w:pPr>
            <w:r>
              <w:rPr>
                <w:color w:val="0000FF"/>
                <w:sz w:val="24"/>
                <w:szCs w:val="24"/>
                <w:lang w:val="sv-SE"/>
              </w:rPr>
              <w:t>648.000</w:t>
            </w:r>
          </w:p>
        </w:tc>
        <w:tc>
          <w:tcPr>
            <w:tcW w:w="1340"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lang w:val="sv-SE"/>
              </w:rPr>
            </w:pPr>
            <w:r>
              <w:rPr>
                <w:color w:val="0000FF"/>
                <w:sz w:val="24"/>
                <w:szCs w:val="24"/>
                <w:lang w:val="sv-SE"/>
              </w:rPr>
              <w:t>777.600</w:t>
            </w:r>
          </w:p>
        </w:tc>
      </w:tr>
      <w:tr>
        <w:trPr/>
        <w:tc>
          <w:tcPr>
            <w:tcW w:w="1440" w:type="dxa"/>
            <w:tcBorders>
              <w:top w:val="single" w:sz="4" w:space="0" w:color="000000"/>
              <w:left w:val="single" w:sz="4" w:space="0" w:color="000000"/>
              <w:bottom w:val="single" w:sz="4" w:space="0" w:color="000000"/>
              <w:right w:val="single" w:sz="4" w:space="0" w:color="000000"/>
            </w:tcBorders>
          </w:tcPr>
          <w:p>
            <w:pPr>
              <w:pStyle w:val="Normal"/>
              <w:spacing w:before="120" w:after="120"/>
              <w:jc w:val="center"/>
              <w:rPr>
                <w:color w:val="0000FF"/>
                <w:sz w:val="24"/>
                <w:szCs w:val="24"/>
                <w:lang w:val="sv-SE"/>
              </w:rPr>
            </w:pPr>
            <w:r>
              <w:rPr>
                <w:color w:val="0000FF"/>
                <w:sz w:val="24"/>
                <w:szCs w:val="24"/>
                <w:lang w:val="sv-SE"/>
              </w:rPr>
              <w:t>12</w:t>
            </w:r>
          </w:p>
        </w:tc>
        <w:tc>
          <w:tcPr>
            <w:tcW w:w="2138"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pPr>
            <w:r>
              <w:rPr>
                <w:color w:val="0000FF"/>
                <w:sz w:val="24"/>
                <w:szCs w:val="24"/>
                <w:lang w:val="sv-SE"/>
              </w:rPr>
              <w:t>12 x H</w:t>
            </w:r>
            <w:r>
              <w:rPr>
                <w:color w:val="0000FF"/>
                <w:sz w:val="24"/>
                <w:szCs w:val="24"/>
                <w:vertAlign w:val="subscript"/>
                <w:lang w:val="sv-SE"/>
              </w:rPr>
              <w:t>k</w:t>
            </w:r>
            <w:r>
              <w:rPr>
                <w:color w:val="0000FF"/>
                <w:sz w:val="24"/>
                <w:szCs w:val="24"/>
                <w:lang w:val="sv-SE"/>
              </w:rPr>
              <w:t xml:space="preserve"> x L</w:t>
            </w:r>
            <w:r>
              <w:rPr>
                <w:color w:val="0000FF"/>
                <w:sz w:val="24"/>
                <w:szCs w:val="24"/>
                <w:vertAlign w:val="subscript"/>
                <w:lang w:val="sv-SE"/>
              </w:rPr>
              <w:t>min, k</w:t>
            </w:r>
          </w:p>
        </w:tc>
        <w:tc>
          <w:tcPr>
            <w:tcW w:w="1256"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lang w:val="sv-SE"/>
              </w:rPr>
            </w:pPr>
            <w:r>
              <w:rPr>
                <w:color w:val="0000FF"/>
                <w:sz w:val="24"/>
                <w:szCs w:val="24"/>
                <w:lang w:val="sv-SE"/>
              </w:rPr>
              <w:t>630.000</w:t>
            </w:r>
          </w:p>
        </w:tc>
        <w:tc>
          <w:tcPr>
            <w:tcW w:w="1257"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lang w:val="sv-SE"/>
              </w:rPr>
            </w:pPr>
            <w:r>
              <w:rPr>
                <w:color w:val="0000FF"/>
                <w:sz w:val="24"/>
                <w:szCs w:val="24"/>
                <w:lang w:val="sv-SE"/>
              </w:rPr>
              <w:t>810.000</w:t>
            </w:r>
          </w:p>
        </w:tc>
        <w:tc>
          <w:tcPr>
            <w:tcW w:w="1374"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lang w:val="sv-SE"/>
              </w:rPr>
            </w:pPr>
            <w:r>
              <w:rPr>
                <w:color w:val="0000FF"/>
                <w:sz w:val="24"/>
                <w:szCs w:val="24"/>
                <w:lang w:val="sv-SE"/>
              </w:rPr>
              <w:t>864.000</w:t>
            </w:r>
          </w:p>
        </w:tc>
        <w:tc>
          <w:tcPr>
            <w:tcW w:w="1340" w:type="dxa"/>
            <w:tcBorders>
              <w:top w:val="single" w:sz="4" w:space="0" w:color="000000"/>
              <w:left w:val="single" w:sz="4" w:space="0" w:color="000000"/>
              <w:bottom w:val="single" w:sz="4" w:space="0" w:color="000000"/>
              <w:right w:val="single" w:sz="4" w:space="0" w:color="000000"/>
            </w:tcBorders>
          </w:tcPr>
          <w:p>
            <w:pPr>
              <w:pStyle w:val="Normal"/>
              <w:spacing w:before="120" w:after="120"/>
              <w:jc w:val="both"/>
              <w:rPr>
                <w:color w:val="0000FF"/>
                <w:sz w:val="24"/>
                <w:szCs w:val="24"/>
                <w:lang w:val="sv-SE"/>
              </w:rPr>
            </w:pPr>
            <w:r>
              <w:rPr>
                <w:color w:val="0000FF"/>
                <w:sz w:val="24"/>
                <w:szCs w:val="24"/>
                <w:lang w:val="sv-SE"/>
              </w:rPr>
              <w:t>1.036.800</w:t>
            </w:r>
          </w:p>
        </w:tc>
      </w:tr>
    </w:tbl>
    <w:p>
      <w:pPr>
        <w:pStyle w:val="Normal"/>
        <w:spacing w:lineRule="auto" w:line="288" w:before="120" w:after="0"/>
        <w:ind w:firstLine="720"/>
        <w:jc w:val="both"/>
        <w:rPr>
          <w:color w:val="0000FF"/>
          <w:sz w:val="24"/>
          <w:szCs w:val="24"/>
          <w:lang w:val="nl-NL"/>
        </w:rPr>
      </w:pPr>
      <w:r>
        <w:rPr>
          <w:color w:val="0000FF"/>
          <w:sz w:val="24"/>
          <w:szCs w:val="24"/>
          <w:lang w:val="nl-NL"/>
        </w:rPr>
        <w:t>b) Trường hợp người lao động tham gia bảo hiểm xã hội nông dân Nghệ An đóng một lần cho nhiều năm sau đó thì căn cứ vào số tiền đã đóng và số thời gian đóng ghi trong sổ bảo hiểm xã hội nông dân Nghệ An cho lần đóng đó để tính mức tiền đóng bình quân của mỗi tháng, sau đó thực hiện việc chuyển đổi theo quy định tại khoản này.</w:t>
      </w:r>
    </w:p>
    <w:p>
      <w:pPr>
        <w:pStyle w:val="Normal"/>
        <w:spacing w:lineRule="auto" w:line="288" w:before="120" w:after="0"/>
        <w:ind w:firstLine="720"/>
        <w:jc w:val="both"/>
        <w:rPr>
          <w:color w:val="0000FF"/>
          <w:sz w:val="24"/>
          <w:szCs w:val="24"/>
          <w:lang w:val="nl-NL"/>
        </w:rPr>
      </w:pPr>
      <w:r>
        <w:rPr>
          <w:color w:val="0000FF"/>
          <w:sz w:val="24"/>
          <w:szCs w:val="24"/>
          <w:lang w:val="nl-NL"/>
        </w:rPr>
        <w:t>c) Thời gian đóng bảo hiểm xã hội tự nguyện tương ứng với một mức tiền lương tối thiểu chung sau khi được chuyển đổi nếu có số lẻ thì được làm tròn. Số lẻ từ 0,50 trở lên làm tròn là 1,00.</w:t>
      </w:r>
    </w:p>
    <w:p>
      <w:pPr>
        <w:pStyle w:val="Normal"/>
        <w:spacing w:lineRule="auto" w:line="288" w:before="240" w:after="120"/>
        <w:ind w:firstLine="720"/>
        <w:jc w:val="both"/>
        <w:rPr>
          <w:color w:val="0000FF"/>
          <w:sz w:val="24"/>
          <w:szCs w:val="24"/>
          <w:lang w:val="nl-NL"/>
        </w:rPr>
      </w:pPr>
      <w:r>
        <w:rPr>
          <w:b/>
          <w:bCs/>
          <w:color w:val="0000FF"/>
          <w:sz w:val="24"/>
          <w:szCs w:val="24"/>
          <w:lang w:val="nl-NL"/>
        </w:rPr>
        <w:t>Ví dụ 1:</w:t>
      </w:r>
      <w:r>
        <w:rPr>
          <w:color w:val="0000FF"/>
          <w:sz w:val="24"/>
          <w:szCs w:val="24"/>
          <w:lang w:val="nl-NL"/>
        </w:rPr>
        <w:t xml:space="preserve"> Ông A tham gia bảo hiểm xã hội nông dân Nghệ An có quá trình đóng bảo hiểm xã hội như sau:</w:t>
      </w:r>
    </w:p>
    <w:tbl>
      <w:tblPr>
        <w:tblW w:w="8620" w:type="dxa"/>
        <w:jc w:val="center"/>
        <w:tblInd w:w="0" w:type="dxa"/>
        <w:tblLayout w:type="fixed"/>
        <w:tblCellMar>
          <w:top w:w="0" w:type="dxa"/>
          <w:left w:w="108" w:type="dxa"/>
          <w:bottom w:w="0" w:type="dxa"/>
          <w:right w:w="108" w:type="dxa"/>
        </w:tblCellMar>
      </w:tblPr>
      <w:tblGrid>
        <w:gridCol w:w="1635"/>
        <w:gridCol w:w="2485"/>
        <w:gridCol w:w="2160"/>
        <w:gridCol w:w="2340"/>
      </w:tblGrid>
      <w:tr>
        <w:trPr/>
        <w:tc>
          <w:tcPr>
            <w:tcW w:w="1635"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jc w:val="center"/>
              <w:rPr>
                <w:b/>
                <w:b/>
                <w:bCs/>
                <w:color w:val="0000FF"/>
                <w:sz w:val="24"/>
                <w:szCs w:val="24"/>
              </w:rPr>
            </w:pPr>
            <w:r>
              <w:rPr>
                <w:b/>
                <w:bCs/>
                <w:color w:val="0000FF"/>
                <w:sz w:val="24"/>
                <w:szCs w:val="24"/>
              </w:rPr>
              <w:t>Năm</w:t>
            </w:r>
          </w:p>
        </w:tc>
        <w:tc>
          <w:tcPr>
            <w:tcW w:w="2485"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jc w:val="center"/>
              <w:rPr>
                <w:b/>
                <w:b/>
                <w:bCs/>
                <w:color w:val="0000FF"/>
                <w:sz w:val="24"/>
                <w:szCs w:val="24"/>
              </w:rPr>
            </w:pPr>
            <w:r>
              <w:rPr>
                <w:b/>
                <w:bCs/>
                <w:color w:val="0000FF"/>
                <w:sz w:val="24"/>
                <w:szCs w:val="24"/>
              </w:rPr>
              <w:t xml:space="preserve">Số tiền đóng hàng tháng </w:t>
            </w:r>
            <w:r>
              <w:rPr>
                <w:i/>
                <w:iCs/>
                <w:color w:val="0000FF"/>
                <w:sz w:val="24"/>
                <w:szCs w:val="24"/>
              </w:rPr>
              <w:t>(đồng/tháng)</w:t>
            </w:r>
          </w:p>
        </w:tc>
        <w:tc>
          <w:tcPr>
            <w:tcW w:w="2160"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jc w:val="center"/>
              <w:rPr>
                <w:b/>
                <w:b/>
                <w:bCs/>
                <w:color w:val="0000FF"/>
                <w:sz w:val="24"/>
                <w:szCs w:val="24"/>
              </w:rPr>
            </w:pPr>
            <w:r>
              <w:rPr>
                <w:b/>
                <w:bCs/>
                <w:color w:val="0000FF"/>
                <w:sz w:val="24"/>
                <w:szCs w:val="24"/>
              </w:rPr>
              <w:t>Số tháng đóng</w:t>
            </w:r>
          </w:p>
          <w:p>
            <w:pPr>
              <w:pStyle w:val="Normal"/>
              <w:spacing w:before="60" w:after="0"/>
              <w:jc w:val="center"/>
              <w:rPr>
                <w:b/>
                <w:b/>
                <w:bCs/>
                <w:color w:val="0000FF"/>
                <w:sz w:val="24"/>
                <w:szCs w:val="24"/>
              </w:rPr>
            </w:pPr>
            <w:r>
              <w:rPr>
                <w:i/>
                <w:iCs/>
                <w:color w:val="0000FF"/>
                <w:sz w:val="24"/>
                <w:szCs w:val="24"/>
              </w:rPr>
              <w:t>(tháng)</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b/>
                <w:b/>
                <w:bCs/>
                <w:color w:val="0000FF"/>
                <w:sz w:val="24"/>
                <w:szCs w:val="24"/>
              </w:rPr>
            </w:pPr>
            <w:r>
              <w:rPr>
                <w:b/>
                <w:bCs/>
                <w:color w:val="0000FF"/>
                <w:sz w:val="24"/>
                <w:szCs w:val="24"/>
              </w:rPr>
              <w:t xml:space="preserve">Tổng số tiền đóng </w:t>
            </w:r>
            <w:r>
              <w:rPr>
                <w:i/>
                <w:iCs/>
                <w:color w:val="0000FF"/>
                <w:sz w:val="24"/>
                <w:szCs w:val="24"/>
              </w:rPr>
              <w:t>(đồng)</w:t>
            </w:r>
          </w:p>
        </w:tc>
      </w:tr>
      <w:tr>
        <w:trPr/>
        <w:tc>
          <w:tcPr>
            <w:tcW w:w="1635"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center"/>
              <w:rPr>
                <w:color w:val="0000FF"/>
                <w:sz w:val="24"/>
                <w:szCs w:val="24"/>
              </w:rPr>
            </w:pPr>
            <w:r>
              <w:rPr>
                <w:color w:val="0000FF"/>
                <w:sz w:val="24"/>
                <w:szCs w:val="24"/>
              </w:rPr>
              <w:t>2003</w:t>
            </w:r>
          </w:p>
        </w:tc>
        <w:tc>
          <w:tcPr>
            <w:tcW w:w="2485"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center"/>
              <w:rPr>
                <w:color w:val="0000FF"/>
                <w:sz w:val="24"/>
                <w:szCs w:val="24"/>
              </w:rPr>
            </w:pPr>
            <w:r>
              <w:rPr>
                <w:color w:val="0000FF"/>
                <w:sz w:val="24"/>
                <w:szCs w:val="24"/>
              </w:rPr>
              <w:t>20.000</w:t>
            </w:r>
          </w:p>
        </w:tc>
        <w:tc>
          <w:tcPr>
            <w:tcW w:w="2160"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center"/>
              <w:rPr>
                <w:color w:val="0000FF"/>
                <w:sz w:val="24"/>
                <w:szCs w:val="24"/>
              </w:rPr>
            </w:pPr>
            <w:r>
              <w:rPr>
                <w:color w:val="0000FF"/>
                <w:sz w:val="24"/>
                <w:szCs w:val="24"/>
              </w:rPr>
              <w:t>12</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center"/>
              <w:rPr>
                <w:color w:val="0000FF"/>
                <w:sz w:val="24"/>
                <w:szCs w:val="24"/>
              </w:rPr>
            </w:pPr>
            <w:r>
              <w:rPr>
                <w:color w:val="0000FF"/>
                <w:sz w:val="24"/>
                <w:szCs w:val="24"/>
              </w:rPr>
              <w:t>240.000</w:t>
            </w:r>
          </w:p>
        </w:tc>
      </w:tr>
      <w:tr>
        <w:trPr/>
        <w:tc>
          <w:tcPr>
            <w:tcW w:w="1635"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center"/>
              <w:rPr>
                <w:color w:val="0000FF"/>
                <w:sz w:val="24"/>
                <w:szCs w:val="24"/>
              </w:rPr>
            </w:pPr>
            <w:r>
              <w:rPr>
                <w:color w:val="0000FF"/>
                <w:sz w:val="24"/>
                <w:szCs w:val="24"/>
              </w:rPr>
              <w:t>2004</w:t>
            </w:r>
          </w:p>
        </w:tc>
        <w:tc>
          <w:tcPr>
            <w:tcW w:w="2485"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center"/>
              <w:rPr>
                <w:color w:val="0000FF"/>
                <w:sz w:val="24"/>
                <w:szCs w:val="24"/>
              </w:rPr>
            </w:pPr>
            <w:r>
              <w:rPr>
                <w:color w:val="0000FF"/>
                <w:sz w:val="24"/>
                <w:szCs w:val="24"/>
              </w:rPr>
              <w:t>30.000</w:t>
            </w:r>
          </w:p>
        </w:tc>
        <w:tc>
          <w:tcPr>
            <w:tcW w:w="2160"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center"/>
              <w:rPr>
                <w:color w:val="0000FF"/>
                <w:sz w:val="24"/>
                <w:szCs w:val="24"/>
              </w:rPr>
            </w:pPr>
            <w:r>
              <w:rPr>
                <w:color w:val="0000FF"/>
                <w:sz w:val="24"/>
                <w:szCs w:val="24"/>
              </w:rPr>
              <w:t>12</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center"/>
              <w:rPr>
                <w:color w:val="0000FF"/>
                <w:sz w:val="24"/>
                <w:szCs w:val="24"/>
              </w:rPr>
            </w:pPr>
            <w:r>
              <w:rPr>
                <w:color w:val="0000FF"/>
                <w:sz w:val="24"/>
                <w:szCs w:val="24"/>
              </w:rPr>
              <w:t>360.000</w:t>
            </w:r>
          </w:p>
        </w:tc>
      </w:tr>
      <w:tr>
        <w:trPr/>
        <w:tc>
          <w:tcPr>
            <w:tcW w:w="1635"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center"/>
              <w:rPr>
                <w:color w:val="0000FF"/>
                <w:sz w:val="24"/>
                <w:szCs w:val="24"/>
              </w:rPr>
            </w:pPr>
            <w:r>
              <w:rPr>
                <w:color w:val="0000FF"/>
                <w:sz w:val="24"/>
                <w:szCs w:val="24"/>
              </w:rPr>
              <w:t>2005</w:t>
            </w:r>
          </w:p>
        </w:tc>
        <w:tc>
          <w:tcPr>
            <w:tcW w:w="2485"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center"/>
              <w:rPr>
                <w:color w:val="0000FF"/>
                <w:sz w:val="24"/>
                <w:szCs w:val="24"/>
              </w:rPr>
            </w:pPr>
            <w:r>
              <w:rPr>
                <w:color w:val="0000FF"/>
                <w:sz w:val="24"/>
                <w:szCs w:val="24"/>
              </w:rPr>
              <w:t>40.000</w:t>
            </w:r>
          </w:p>
        </w:tc>
        <w:tc>
          <w:tcPr>
            <w:tcW w:w="2160"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center"/>
              <w:rPr>
                <w:color w:val="0000FF"/>
                <w:sz w:val="24"/>
                <w:szCs w:val="24"/>
              </w:rPr>
            </w:pPr>
            <w:r>
              <w:rPr>
                <w:color w:val="0000FF"/>
                <w:sz w:val="24"/>
                <w:szCs w:val="24"/>
              </w:rPr>
              <w:t>6</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center"/>
              <w:rPr/>
            </w:pPr>
            <w:r>
              <w:rPr>
                <w:color w:val="0000FF"/>
                <w:sz w:val="24"/>
                <w:szCs w:val="24"/>
              </w:rPr>
              <w:t>240.000</w:t>
            </w:r>
          </w:p>
        </w:tc>
      </w:tr>
      <w:tr>
        <w:trPr/>
        <w:tc>
          <w:tcPr>
            <w:tcW w:w="1635"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center"/>
              <w:rPr>
                <w:color w:val="0000FF"/>
                <w:sz w:val="24"/>
                <w:szCs w:val="24"/>
              </w:rPr>
            </w:pPr>
            <w:r>
              <w:rPr>
                <w:color w:val="0000FF"/>
                <w:sz w:val="24"/>
                <w:szCs w:val="24"/>
              </w:rPr>
              <w:t>2005</w:t>
            </w:r>
          </w:p>
        </w:tc>
        <w:tc>
          <w:tcPr>
            <w:tcW w:w="2485"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center"/>
              <w:rPr>
                <w:color w:val="0000FF"/>
                <w:sz w:val="24"/>
                <w:szCs w:val="24"/>
              </w:rPr>
            </w:pPr>
            <w:r>
              <w:rPr>
                <w:color w:val="0000FF"/>
                <w:sz w:val="24"/>
                <w:szCs w:val="24"/>
              </w:rPr>
              <w:t>80.000</w:t>
            </w:r>
          </w:p>
        </w:tc>
        <w:tc>
          <w:tcPr>
            <w:tcW w:w="2160"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center"/>
              <w:rPr>
                <w:color w:val="0000FF"/>
                <w:sz w:val="24"/>
                <w:szCs w:val="24"/>
              </w:rPr>
            </w:pPr>
            <w:r>
              <w:rPr>
                <w:color w:val="0000FF"/>
                <w:sz w:val="24"/>
                <w:szCs w:val="24"/>
              </w:rPr>
              <w:t>6</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center"/>
              <w:rPr>
                <w:color w:val="0000FF"/>
                <w:sz w:val="24"/>
                <w:szCs w:val="24"/>
              </w:rPr>
            </w:pPr>
            <w:r>
              <w:rPr>
                <w:color w:val="0000FF"/>
                <w:sz w:val="24"/>
                <w:szCs w:val="24"/>
              </w:rPr>
              <w:t>480.000</w:t>
            </w:r>
          </w:p>
        </w:tc>
      </w:tr>
      <w:tr>
        <w:trPr/>
        <w:tc>
          <w:tcPr>
            <w:tcW w:w="1635"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center"/>
              <w:rPr>
                <w:color w:val="0000FF"/>
                <w:sz w:val="24"/>
                <w:szCs w:val="24"/>
              </w:rPr>
            </w:pPr>
            <w:r>
              <w:rPr>
                <w:color w:val="0000FF"/>
                <w:sz w:val="24"/>
                <w:szCs w:val="24"/>
              </w:rPr>
              <w:t>2006</w:t>
            </w:r>
          </w:p>
        </w:tc>
        <w:tc>
          <w:tcPr>
            <w:tcW w:w="2485"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center"/>
              <w:rPr/>
            </w:pPr>
            <w:r>
              <w:rPr>
                <w:color w:val="0000FF"/>
                <w:sz w:val="24"/>
                <w:szCs w:val="24"/>
              </w:rPr>
              <w:t>80.000</w:t>
            </w:r>
          </w:p>
        </w:tc>
        <w:tc>
          <w:tcPr>
            <w:tcW w:w="2160"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center"/>
              <w:rPr>
                <w:color w:val="0000FF"/>
                <w:sz w:val="24"/>
                <w:szCs w:val="24"/>
              </w:rPr>
            </w:pPr>
            <w:r>
              <w:rPr>
                <w:color w:val="0000FF"/>
                <w:sz w:val="24"/>
                <w:szCs w:val="24"/>
              </w:rPr>
              <w:t>12</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center"/>
              <w:rPr/>
            </w:pPr>
            <w:r>
              <w:rPr>
                <w:color w:val="0000FF"/>
                <w:sz w:val="24"/>
                <w:szCs w:val="24"/>
              </w:rPr>
              <w:t>960.000</w:t>
            </w:r>
          </w:p>
        </w:tc>
      </w:tr>
      <w:tr>
        <w:trPr/>
        <w:tc>
          <w:tcPr>
            <w:tcW w:w="4120"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360"/>
              <w:jc w:val="center"/>
              <w:rPr>
                <w:b/>
                <w:b/>
                <w:color w:val="0000FF"/>
                <w:sz w:val="24"/>
                <w:szCs w:val="24"/>
              </w:rPr>
            </w:pPr>
            <w:r>
              <w:rPr>
                <w:b/>
                <w:bCs/>
                <w:color w:val="0000FF"/>
                <w:sz w:val="24"/>
                <w:szCs w:val="24"/>
              </w:rPr>
              <w:t>Tổng:</w:t>
            </w:r>
          </w:p>
        </w:tc>
        <w:tc>
          <w:tcPr>
            <w:tcW w:w="2160"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center"/>
              <w:rPr>
                <w:color w:val="0000FF"/>
                <w:sz w:val="24"/>
                <w:szCs w:val="24"/>
              </w:rPr>
            </w:pPr>
            <w:r>
              <w:rPr>
                <w:color w:val="0000FF"/>
                <w:sz w:val="24"/>
                <w:szCs w:val="24"/>
              </w:rPr>
              <w:t>48</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lineRule="exact" w:line="360"/>
              <w:jc w:val="center"/>
              <w:rPr/>
            </w:pPr>
            <w:r>
              <w:rPr>
                <w:color w:val="0000FF"/>
                <w:sz w:val="24"/>
                <w:szCs w:val="24"/>
              </w:rPr>
              <w:t>2.280.000</w:t>
            </w:r>
          </w:p>
        </w:tc>
      </w:tr>
    </w:tbl>
    <w:p>
      <w:pPr>
        <w:pStyle w:val="Normal"/>
        <w:spacing w:lineRule="auto" w:line="288" w:before="240" w:after="0"/>
        <w:ind w:firstLine="720"/>
        <w:jc w:val="both"/>
        <w:rPr>
          <w:color w:val="0000FF"/>
          <w:sz w:val="24"/>
          <w:szCs w:val="24"/>
        </w:rPr>
      </w:pPr>
      <w:r>
        <w:rPr>
          <w:color w:val="0000FF"/>
          <w:sz w:val="24"/>
          <w:szCs w:val="24"/>
        </w:rPr>
        <w:t>Căn cứ vào Bảng 3 nêu trên, trong năm 2005 ông A có 6 tháng đóng bảo hiểm xã hội nông dân Nghệ An với tổng số tiền là 480.000 đồng lớn hơn mức đóng tối thiểu của bảo hiểm xã hội tự nguyện cho 6 tháng đóng trong năm 2005 (315.000 đồng) và trong năm 2006 ông A có 12 tháng đóng bảo hiểm xã hội nông dân Nghệ An với tổng số tiền là 960.000 đồng lớn hơn mức đóng tối thiểu của bảo hiểm xã hội tự nguyện cho 12 tháng đóng trong năm 2006 (810.000 đồng) nên không thực hiện chuyển đổi thời gian này. Mức thu nhập tháng đóng bảo hiểm xã hội tự nguyện của 6 tháng trong năm 2005 và 12 tháng năm 2006 tính theo quy định tại khoản 2 Điều 3 Thông tư này là 533.333 đồng/tháng.</w:t>
      </w:r>
    </w:p>
    <w:p>
      <w:pPr>
        <w:pStyle w:val="Normal"/>
        <w:spacing w:lineRule="auto" w:line="288" w:before="120" w:after="0"/>
        <w:ind w:firstLine="720"/>
        <w:jc w:val="both"/>
        <w:rPr/>
      </w:pPr>
      <w:r>
        <w:rPr/>
        <w:t>Số tháng đóng bảo hiểm xã hội nông dân Nghệ An chuyển đổi sang bảo hiểm xã hội tự nguyện được tính theo công thức tại khoản 1 nêu trên như sau:</w:t>
      </w:r>
    </w:p>
    <w:tbl>
      <w:tblPr>
        <w:tblW w:w="8924" w:type="dxa"/>
        <w:jc w:val="center"/>
        <w:tblInd w:w="0" w:type="dxa"/>
        <w:tblLayout w:type="fixed"/>
        <w:tblCellMar>
          <w:top w:w="0" w:type="dxa"/>
          <w:left w:w="108" w:type="dxa"/>
          <w:bottom w:w="0" w:type="dxa"/>
          <w:right w:w="108" w:type="dxa"/>
        </w:tblCellMar>
      </w:tblPr>
      <w:tblGrid>
        <w:gridCol w:w="687"/>
        <w:gridCol w:w="374"/>
        <w:gridCol w:w="1541"/>
        <w:gridCol w:w="374"/>
        <w:gridCol w:w="1553"/>
        <w:gridCol w:w="418"/>
        <w:gridCol w:w="1643"/>
        <w:gridCol w:w="2334"/>
      </w:tblGrid>
      <w:tr>
        <w:trPr>
          <w:trHeight w:val="565" w:hRule="atLeast"/>
        </w:trPr>
        <w:tc>
          <w:tcPr>
            <w:tcW w:w="687" w:type="dxa"/>
            <w:vMerge w:val="restart"/>
            <w:tcBorders/>
            <w:vAlign w:val="center"/>
          </w:tcPr>
          <w:p>
            <w:pPr>
              <w:pStyle w:val="Normal"/>
              <w:spacing w:lineRule="exact" w:line="360"/>
              <w:jc w:val="both"/>
              <w:rPr/>
            </w:pPr>
            <w:r>
              <w:rPr>
                <w:color w:val="0000FF"/>
                <w:sz w:val="24"/>
                <w:szCs w:val="24"/>
              </w:rPr>
              <w:t>T</w:t>
            </w:r>
            <w:r>
              <w:rPr>
                <w:color w:val="0000FF"/>
                <w:sz w:val="24"/>
                <w:szCs w:val="24"/>
                <w:vertAlign w:val="subscript"/>
              </w:rPr>
              <w:t>TNg</w:t>
            </w:r>
          </w:p>
        </w:tc>
        <w:tc>
          <w:tcPr>
            <w:tcW w:w="374" w:type="dxa"/>
            <w:vMerge w:val="restart"/>
            <w:tcBorders/>
            <w:vAlign w:val="center"/>
          </w:tcPr>
          <w:p>
            <w:pPr>
              <w:pStyle w:val="Normal"/>
              <w:spacing w:lineRule="exact" w:line="360" w:before="60" w:after="0"/>
              <w:jc w:val="both"/>
              <w:rPr>
                <w:color w:val="0000FF"/>
                <w:sz w:val="24"/>
                <w:szCs w:val="24"/>
              </w:rPr>
            </w:pPr>
            <w:r>
              <w:rPr>
                <w:color w:val="0000FF"/>
                <w:sz w:val="24"/>
                <w:szCs w:val="24"/>
              </w:rPr>
              <w:t>=</w:t>
            </w:r>
          </w:p>
        </w:tc>
        <w:tc>
          <w:tcPr>
            <w:tcW w:w="1541" w:type="dxa"/>
            <w:tcBorders>
              <w:bottom w:val="single" w:sz="4" w:space="0" w:color="000000"/>
            </w:tcBorders>
          </w:tcPr>
          <w:p>
            <w:pPr>
              <w:pStyle w:val="Normal"/>
              <w:spacing w:lineRule="exact" w:line="360" w:before="120" w:after="0"/>
              <w:jc w:val="center"/>
              <w:rPr>
                <w:color w:val="0000FF"/>
                <w:sz w:val="24"/>
                <w:szCs w:val="24"/>
              </w:rPr>
            </w:pPr>
            <w:r>
              <w:rPr>
                <w:color w:val="0000FF"/>
                <w:sz w:val="24"/>
                <w:szCs w:val="24"/>
              </w:rPr>
              <w:t>240.000</w:t>
            </w:r>
          </w:p>
        </w:tc>
        <w:tc>
          <w:tcPr>
            <w:tcW w:w="374" w:type="dxa"/>
            <w:vMerge w:val="restart"/>
            <w:tcBorders/>
            <w:vAlign w:val="center"/>
          </w:tcPr>
          <w:p>
            <w:pPr>
              <w:pStyle w:val="Normal"/>
              <w:spacing w:lineRule="exact" w:line="360" w:before="60" w:after="0"/>
              <w:jc w:val="center"/>
              <w:rPr>
                <w:color w:val="0000FF"/>
                <w:sz w:val="24"/>
                <w:szCs w:val="24"/>
              </w:rPr>
            </w:pPr>
            <w:r>
              <w:rPr>
                <w:color w:val="0000FF"/>
                <w:sz w:val="24"/>
                <w:szCs w:val="24"/>
              </w:rPr>
              <w:t>+</w:t>
            </w:r>
          </w:p>
        </w:tc>
        <w:tc>
          <w:tcPr>
            <w:tcW w:w="1553" w:type="dxa"/>
            <w:tcBorders>
              <w:bottom w:val="single" w:sz="4" w:space="0" w:color="000000"/>
            </w:tcBorders>
          </w:tcPr>
          <w:p>
            <w:pPr>
              <w:pStyle w:val="Normal"/>
              <w:spacing w:lineRule="exact" w:line="360" w:before="120" w:after="0"/>
              <w:jc w:val="center"/>
              <w:rPr>
                <w:color w:val="0000FF"/>
                <w:sz w:val="24"/>
                <w:szCs w:val="24"/>
              </w:rPr>
            </w:pPr>
            <w:r>
              <w:rPr>
                <w:color w:val="0000FF"/>
                <w:sz w:val="24"/>
                <w:szCs w:val="24"/>
              </w:rPr>
              <w:t>360.000</w:t>
            </w:r>
          </w:p>
        </w:tc>
        <w:tc>
          <w:tcPr>
            <w:tcW w:w="418" w:type="dxa"/>
            <w:vMerge w:val="restart"/>
            <w:tcBorders/>
            <w:vAlign w:val="center"/>
          </w:tcPr>
          <w:p>
            <w:pPr>
              <w:pStyle w:val="Normal"/>
              <w:spacing w:lineRule="exact" w:line="360" w:before="60" w:after="0"/>
              <w:jc w:val="center"/>
              <w:rPr>
                <w:color w:val="0000FF"/>
                <w:sz w:val="24"/>
                <w:szCs w:val="24"/>
              </w:rPr>
            </w:pPr>
            <w:r>
              <w:rPr>
                <w:color w:val="0000FF"/>
                <w:sz w:val="24"/>
                <w:szCs w:val="24"/>
              </w:rPr>
              <w:t>+</w:t>
            </w:r>
          </w:p>
        </w:tc>
        <w:tc>
          <w:tcPr>
            <w:tcW w:w="1643" w:type="dxa"/>
            <w:tcBorders>
              <w:bottom w:val="single" w:sz="4" w:space="0" w:color="000000"/>
            </w:tcBorders>
          </w:tcPr>
          <w:p>
            <w:pPr>
              <w:pStyle w:val="Normal"/>
              <w:spacing w:lineRule="exact" w:line="360" w:before="120" w:after="0"/>
              <w:jc w:val="center"/>
              <w:rPr/>
            </w:pPr>
            <w:r>
              <w:rPr>
                <w:color w:val="0000FF"/>
                <w:sz w:val="24"/>
                <w:szCs w:val="24"/>
              </w:rPr>
              <w:t>240.000</w:t>
            </w:r>
          </w:p>
        </w:tc>
        <w:tc>
          <w:tcPr>
            <w:tcW w:w="2334" w:type="dxa"/>
            <w:vMerge w:val="restart"/>
            <w:tcBorders/>
            <w:vAlign w:val="center"/>
          </w:tcPr>
          <w:p>
            <w:pPr>
              <w:pStyle w:val="Normal"/>
              <w:spacing w:lineRule="exact" w:line="360" w:before="60" w:after="0"/>
              <w:jc w:val="center"/>
              <w:rPr>
                <w:color w:val="0000FF"/>
                <w:sz w:val="24"/>
                <w:szCs w:val="24"/>
              </w:rPr>
            </w:pPr>
            <w:r>
              <w:rPr>
                <w:color w:val="0000FF"/>
                <w:sz w:val="24"/>
                <w:szCs w:val="24"/>
              </w:rPr>
              <w:t>+ 6  + 12 (tháng)</w:t>
            </w:r>
          </w:p>
        </w:tc>
      </w:tr>
      <w:tr>
        <w:trPr/>
        <w:tc>
          <w:tcPr>
            <w:tcW w:w="687" w:type="dxa"/>
            <w:vMerge w:val="continue"/>
            <w:tcBorders/>
            <w:vAlign w:val="center"/>
          </w:tcPr>
          <w:p>
            <w:pPr>
              <w:pStyle w:val="Normal"/>
              <w:snapToGrid w:val="false"/>
              <w:spacing w:lineRule="exact" w:line="360" w:before="120" w:after="0"/>
              <w:jc w:val="both"/>
              <w:rPr>
                <w:color w:val="0000FF"/>
                <w:sz w:val="24"/>
                <w:szCs w:val="24"/>
              </w:rPr>
            </w:pPr>
            <w:r>
              <w:rPr>
                <w:color w:val="0000FF"/>
                <w:sz w:val="24"/>
                <w:szCs w:val="24"/>
              </w:rPr>
            </w:r>
          </w:p>
        </w:tc>
        <w:tc>
          <w:tcPr>
            <w:tcW w:w="374" w:type="dxa"/>
            <w:vMerge w:val="continue"/>
            <w:tcBorders/>
            <w:vAlign w:val="center"/>
          </w:tcPr>
          <w:p>
            <w:pPr>
              <w:pStyle w:val="Normal"/>
              <w:snapToGrid w:val="false"/>
              <w:spacing w:lineRule="exact" w:line="360" w:before="120" w:after="0"/>
              <w:jc w:val="both"/>
              <w:rPr>
                <w:color w:val="0000FF"/>
                <w:sz w:val="24"/>
                <w:szCs w:val="24"/>
              </w:rPr>
            </w:pPr>
            <w:r>
              <w:rPr>
                <w:color w:val="0000FF"/>
                <w:sz w:val="24"/>
                <w:szCs w:val="24"/>
              </w:rPr>
            </w:r>
          </w:p>
        </w:tc>
        <w:tc>
          <w:tcPr>
            <w:tcW w:w="1541" w:type="dxa"/>
            <w:tcBorders>
              <w:top w:val="single" w:sz="4" w:space="0" w:color="000000"/>
            </w:tcBorders>
          </w:tcPr>
          <w:p>
            <w:pPr>
              <w:pStyle w:val="Normal"/>
              <w:spacing w:lineRule="exact" w:line="360"/>
              <w:jc w:val="center"/>
              <w:rPr/>
            </w:pPr>
            <w:r>
              <w:rPr>
                <w:color w:val="0000FF"/>
                <w:sz w:val="24"/>
                <w:szCs w:val="24"/>
              </w:rPr>
              <w:t>0,15 x 290.000</w:t>
            </w:r>
          </w:p>
        </w:tc>
        <w:tc>
          <w:tcPr>
            <w:tcW w:w="374" w:type="dxa"/>
            <w:vMerge w:val="continue"/>
            <w:tcBorders/>
            <w:vAlign w:val="center"/>
          </w:tcPr>
          <w:p>
            <w:pPr>
              <w:pStyle w:val="Normal"/>
              <w:snapToGrid w:val="false"/>
              <w:spacing w:lineRule="exact" w:line="360" w:before="120" w:after="0"/>
              <w:jc w:val="center"/>
              <w:rPr>
                <w:color w:val="0000FF"/>
                <w:sz w:val="24"/>
                <w:szCs w:val="24"/>
              </w:rPr>
            </w:pPr>
            <w:r>
              <w:rPr>
                <w:color w:val="0000FF"/>
                <w:sz w:val="24"/>
                <w:szCs w:val="24"/>
              </w:rPr>
            </w:r>
          </w:p>
        </w:tc>
        <w:tc>
          <w:tcPr>
            <w:tcW w:w="1553" w:type="dxa"/>
            <w:tcBorders>
              <w:top w:val="single" w:sz="4" w:space="0" w:color="000000"/>
            </w:tcBorders>
          </w:tcPr>
          <w:p>
            <w:pPr>
              <w:pStyle w:val="Normal"/>
              <w:spacing w:lineRule="exact" w:line="360"/>
              <w:jc w:val="center"/>
              <w:rPr>
                <w:color w:val="0000FF"/>
                <w:sz w:val="24"/>
                <w:szCs w:val="24"/>
              </w:rPr>
            </w:pPr>
            <w:r>
              <w:rPr>
                <w:color w:val="0000FF"/>
                <w:sz w:val="24"/>
                <w:szCs w:val="24"/>
              </w:rPr>
              <w:t>0,15 x 290.000</w:t>
            </w:r>
          </w:p>
        </w:tc>
        <w:tc>
          <w:tcPr>
            <w:tcW w:w="418" w:type="dxa"/>
            <w:vMerge w:val="continue"/>
            <w:tcBorders/>
            <w:vAlign w:val="center"/>
          </w:tcPr>
          <w:p>
            <w:pPr>
              <w:pStyle w:val="Normal"/>
              <w:snapToGrid w:val="false"/>
              <w:spacing w:lineRule="exact" w:line="360" w:before="120" w:after="0"/>
              <w:jc w:val="center"/>
              <w:rPr>
                <w:color w:val="0000FF"/>
                <w:sz w:val="24"/>
                <w:szCs w:val="24"/>
              </w:rPr>
            </w:pPr>
            <w:r>
              <w:rPr>
                <w:color w:val="0000FF"/>
                <w:sz w:val="24"/>
                <w:szCs w:val="24"/>
              </w:rPr>
            </w:r>
          </w:p>
        </w:tc>
        <w:tc>
          <w:tcPr>
            <w:tcW w:w="1643" w:type="dxa"/>
            <w:tcBorders>
              <w:top w:val="single" w:sz="4" w:space="0" w:color="000000"/>
            </w:tcBorders>
          </w:tcPr>
          <w:p>
            <w:pPr>
              <w:pStyle w:val="Normal"/>
              <w:spacing w:lineRule="exact" w:line="360"/>
              <w:jc w:val="center"/>
              <w:rPr>
                <w:color w:val="0000FF"/>
                <w:sz w:val="24"/>
                <w:szCs w:val="24"/>
              </w:rPr>
            </w:pPr>
            <w:r>
              <w:rPr>
                <w:color w:val="0000FF"/>
                <w:sz w:val="24"/>
                <w:szCs w:val="24"/>
              </w:rPr>
              <w:t>0,15 x 350.000</w:t>
            </w:r>
          </w:p>
        </w:tc>
        <w:tc>
          <w:tcPr>
            <w:tcW w:w="2334" w:type="dxa"/>
            <w:vMerge w:val="continue"/>
            <w:tcBorders/>
            <w:vAlign w:val="center"/>
          </w:tcPr>
          <w:p>
            <w:pPr>
              <w:pStyle w:val="Normal"/>
              <w:snapToGrid w:val="false"/>
              <w:spacing w:lineRule="exact" w:line="360" w:before="120" w:after="0"/>
              <w:jc w:val="center"/>
              <w:rPr>
                <w:color w:val="0000FF"/>
                <w:sz w:val="24"/>
                <w:szCs w:val="24"/>
              </w:rPr>
            </w:pPr>
            <w:r>
              <w:rPr>
                <w:color w:val="0000FF"/>
                <w:sz w:val="24"/>
                <w:szCs w:val="24"/>
              </w:rPr>
            </w:r>
          </w:p>
        </w:tc>
      </w:tr>
    </w:tbl>
    <w:p>
      <w:pPr>
        <w:pStyle w:val="Normal"/>
        <w:spacing w:lineRule="exact" w:line="360" w:before="120" w:after="0"/>
        <w:jc w:val="both"/>
        <w:rPr>
          <w:color w:val="0000FF"/>
          <w:sz w:val="24"/>
          <w:szCs w:val="24"/>
        </w:rPr>
      </w:pPr>
      <w:r>
        <w:rPr>
          <w:color w:val="0000FF"/>
          <w:sz w:val="24"/>
          <w:szCs w:val="24"/>
        </w:rPr>
        <w:t xml:space="preserve">                </w:t>
      </w:r>
      <w:r>
        <w:rPr>
          <w:color w:val="0000FF"/>
          <w:sz w:val="24"/>
          <w:szCs w:val="24"/>
        </w:rPr>
        <w:t xml:space="preserve">= 5,52 + 8,28 + 4,57 + 6 + 12 </w:t>
      </w:r>
    </w:p>
    <w:p>
      <w:pPr>
        <w:pStyle w:val="Normal"/>
        <w:spacing w:lineRule="auto" w:line="288" w:before="240" w:after="0"/>
        <w:jc w:val="both"/>
        <w:rPr>
          <w:color w:val="0000FF"/>
          <w:sz w:val="24"/>
          <w:szCs w:val="24"/>
        </w:rPr>
      </w:pPr>
      <w:r>
        <w:rPr>
          <w:color w:val="0000FF"/>
          <w:sz w:val="24"/>
          <w:szCs w:val="24"/>
        </w:rPr>
        <w:tab/>
        <w:t xml:space="preserve">Vì năm 2003 và năm 2004 mức tiền lương tối thiểu không đổi nên số tháng chuyển đổi được tính gộp như sau: </w:t>
      </w:r>
    </w:p>
    <w:p>
      <w:pPr>
        <w:pStyle w:val="Normal"/>
        <w:spacing w:lineRule="auto" w:line="288" w:before="120" w:after="0"/>
        <w:jc w:val="both"/>
        <w:rPr/>
      </w:pPr>
      <w:r>
        <w:rPr>
          <w:color w:val="0000FF"/>
          <w:sz w:val="24"/>
          <w:szCs w:val="24"/>
        </w:rPr>
        <w:tab/>
        <w:t xml:space="preserve">  13,8  +   4,57  +  6  +  12 = 14 + 5  + 18 = 37  (tháng)</w:t>
      </w:r>
    </w:p>
    <w:p>
      <w:pPr>
        <w:pStyle w:val="Normal"/>
        <w:spacing w:lineRule="auto" w:line="288" w:before="120" w:after="0"/>
        <w:ind w:firstLine="720"/>
        <w:jc w:val="both"/>
        <w:rPr>
          <w:color w:val="0000FF"/>
          <w:sz w:val="24"/>
          <w:szCs w:val="24"/>
        </w:rPr>
      </w:pPr>
      <w:r>
        <w:rPr>
          <w:color w:val="0000FF"/>
          <w:sz w:val="24"/>
          <w:szCs w:val="24"/>
        </w:rPr>
        <w:t>Như vậy, tổng số thời gian đóng bảo hiểm xã hội tự nguyện sau khi chuyển đổi của ông A là 37 tháng, với mức thu nhập tháng đóng bảo hiểm xã hội tự nguyện tương ứng với số tháng đóng như sau:</w:t>
      </w:r>
    </w:p>
    <w:tbl>
      <w:tblPr>
        <w:tblW w:w="9288" w:type="dxa"/>
        <w:jc w:val="left"/>
        <w:tblInd w:w="-113" w:type="dxa"/>
        <w:tblLayout w:type="fixed"/>
        <w:tblCellMar>
          <w:top w:w="0" w:type="dxa"/>
          <w:left w:w="108" w:type="dxa"/>
          <w:bottom w:w="0" w:type="dxa"/>
          <w:right w:w="108" w:type="dxa"/>
        </w:tblCellMar>
      </w:tblPr>
      <w:tblGrid>
        <w:gridCol w:w="4865"/>
        <w:gridCol w:w="4423"/>
      </w:tblGrid>
      <w:tr>
        <w:trPr/>
        <w:tc>
          <w:tcPr>
            <w:tcW w:w="486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color w:val="0000FF"/>
                <w:sz w:val="24"/>
                <w:szCs w:val="24"/>
              </w:rPr>
            </w:pPr>
            <w:r>
              <w:rPr>
                <w:color w:val="0000FF"/>
                <w:sz w:val="24"/>
                <w:szCs w:val="24"/>
              </w:rPr>
              <w:t>Số tháng đóng BHXH tự nguyện (tháng)</w:t>
            </w:r>
          </w:p>
        </w:tc>
        <w:tc>
          <w:tcPr>
            <w:tcW w:w="4423" w:type="dxa"/>
            <w:tcBorders>
              <w:top w:val="single" w:sz="4" w:space="0" w:color="000000"/>
              <w:left w:val="single" w:sz="4" w:space="0" w:color="000000"/>
              <w:bottom w:val="single" w:sz="4" w:space="0" w:color="000000"/>
              <w:right w:val="single" w:sz="4" w:space="0" w:color="000000"/>
            </w:tcBorders>
          </w:tcPr>
          <w:p>
            <w:pPr>
              <w:pStyle w:val="Normal"/>
              <w:spacing w:before="120" w:after="60"/>
              <w:jc w:val="center"/>
              <w:rPr>
                <w:color w:val="0000FF"/>
                <w:sz w:val="24"/>
                <w:szCs w:val="24"/>
              </w:rPr>
            </w:pPr>
            <w:r>
              <w:rPr>
                <w:color w:val="0000FF"/>
                <w:sz w:val="24"/>
                <w:szCs w:val="24"/>
              </w:rPr>
              <w:t>Mức thu nhập làm căn cứ đóng BHXH tự nguyện (đồng/tháng)</w:t>
            </w:r>
          </w:p>
        </w:tc>
      </w:tr>
      <w:tr>
        <w:trPr/>
        <w:tc>
          <w:tcPr>
            <w:tcW w:w="486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color w:val="0000FF"/>
                <w:sz w:val="24"/>
                <w:szCs w:val="24"/>
              </w:rPr>
            </w:pPr>
            <w:r>
              <w:rPr>
                <w:color w:val="0000FF"/>
                <w:sz w:val="24"/>
                <w:szCs w:val="24"/>
              </w:rPr>
              <w:t>14</w:t>
            </w:r>
          </w:p>
        </w:tc>
        <w:tc>
          <w:tcPr>
            <w:tcW w:w="44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color w:val="0000FF"/>
                <w:sz w:val="24"/>
                <w:szCs w:val="24"/>
              </w:rPr>
            </w:pPr>
            <w:r>
              <w:rPr>
                <w:color w:val="0000FF"/>
                <w:sz w:val="24"/>
                <w:szCs w:val="24"/>
              </w:rPr>
              <w:t>290.000</w:t>
            </w:r>
          </w:p>
        </w:tc>
      </w:tr>
      <w:tr>
        <w:trPr/>
        <w:tc>
          <w:tcPr>
            <w:tcW w:w="486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color w:val="0000FF"/>
                <w:sz w:val="24"/>
                <w:szCs w:val="24"/>
              </w:rPr>
            </w:pPr>
            <w:r>
              <w:rPr>
                <w:color w:val="0000FF"/>
                <w:sz w:val="24"/>
                <w:szCs w:val="24"/>
              </w:rPr>
              <w:t>5</w:t>
            </w:r>
          </w:p>
        </w:tc>
        <w:tc>
          <w:tcPr>
            <w:tcW w:w="44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color w:val="0000FF"/>
                <w:sz w:val="24"/>
                <w:szCs w:val="24"/>
              </w:rPr>
            </w:pPr>
            <w:r>
              <w:rPr>
                <w:color w:val="0000FF"/>
                <w:sz w:val="24"/>
                <w:szCs w:val="24"/>
              </w:rPr>
              <w:t>350.000</w:t>
            </w:r>
          </w:p>
        </w:tc>
      </w:tr>
      <w:tr>
        <w:trPr/>
        <w:tc>
          <w:tcPr>
            <w:tcW w:w="4865"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color w:val="0000FF"/>
                <w:sz w:val="24"/>
                <w:szCs w:val="24"/>
              </w:rPr>
            </w:pPr>
            <w:r>
              <w:rPr>
                <w:color w:val="0000FF"/>
                <w:sz w:val="24"/>
                <w:szCs w:val="24"/>
              </w:rPr>
              <w:t>18</w:t>
            </w:r>
          </w:p>
        </w:tc>
        <w:tc>
          <w:tcPr>
            <w:tcW w:w="4423" w:type="dxa"/>
            <w:tcBorders>
              <w:top w:val="single" w:sz="4" w:space="0" w:color="000000"/>
              <w:left w:val="single" w:sz="4" w:space="0" w:color="000000"/>
              <w:bottom w:val="single" w:sz="4" w:space="0" w:color="000000"/>
              <w:right w:val="single" w:sz="4" w:space="0" w:color="000000"/>
            </w:tcBorders>
            <w:vAlign w:val="center"/>
          </w:tcPr>
          <w:p>
            <w:pPr>
              <w:pStyle w:val="Normal"/>
              <w:spacing w:before="120" w:after="0"/>
              <w:jc w:val="center"/>
              <w:rPr>
                <w:color w:val="0000FF"/>
                <w:sz w:val="24"/>
                <w:szCs w:val="24"/>
              </w:rPr>
            </w:pPr>
            <w:r>
              <w:rPr>
                <w:color w:val="0000FF"/>
                <w:sz w:val="24"/>
                <w:szCs w:val="24"/>
              </w:rPr>
              <w:t>533.333</w:t>
            </w:r>
          </w:p>
        </w:tc>
      </w:tr>
    </w:tbl>
    <w:p>
      <w:pPr>
        <w:pStyle w:val="Normal"/>
        <w:spacing w:lineRule="auto" w:line="288" w:before="240" w:after="0"/>
        <w:ind w:firstLine="720"/>
        <w:jc w:val="both"/>
        <w:rPr/>
      </w:pPr>
      <w:r>
        <w:rPr>
          <w:b/>
          <w:bCs/>
          <w:color w:val="0000FF"/>
          <w:sz w:val="24"/>
          <w:szCs w:val="24"/>
        </w:rPr>
        <w:t>2.</w:t>
      </w:r>
      <w:r>
        <w:rPr>
          <w:color w:val="0000FF"/>
          <w:sz w:val="24"/>
          <w:szCs w:val="24"/>
        </w:rPr>
        <w:t xml:space="preserve"> Đóng bù cho thời gian còn thiếu do chuyển đổi và số tiền đóng bù quy định tại điểm b khoản 1 Điều 3 Quyết định số 41/2009/QĐ-TTg được hướng dẫn như sau:</w:t>
      </w:r>
    </w:p>
    <w:p>
      <w:pPr>
        <w:pStyle w:val="Normal"/>
        <w:spacing w:lineRule="auto" w:line="288" w:before="120" w:after="0"/>
        <w:ind w:firstLine="720"/>
        <w:jc w:val="both"/>
        <w:rPr/>
      </w:pPr>
      <w:r>
        <w:rPr>
          <w:color w:val="0000FF"/>
          <w:sz w:val="24"/>
          <w:szCs w:val="24"/>
        </w:rPr>
        <w:t>a) Thời gian tối đa được đóng bù do chuyển đổi:</w:t>
      </w:r>
    </w:p>
    <w:p>
      <w:pPr>
        <w:pStyle w:val="Normal"/>
        <w:spacing w:lineRule="auto" w:line="288" w:before="120" w:after="0"/>
        <w:ind w:firstLine="720"/>
        <w:jc w:val="both"/>
        <w:rPr>
          <w:color w:val="0000FF"/>
          <w:sz w:val="24"/>
          <w:szCs w:val="24"/>
        </w:rPr>
      </w:pPr>
      <w:r>
        <w:rPr>
          <w:color w:val="0000FF"/>
          <w:sz w:val="24"/>
          <w:szCs w:val="24"/>
        </w:rPr>
        <w:t>Thời gian đóng bảo hiểm xã hội tự nguyện sau khi chuyển đổi mà nhỏ hơn thời gian tham gia bảo hiểm xã hội nông dân Nghệ An thì người lao động được đóng bù cho thời gian còn thiếu. Thời gian đóng bù tính theo tháng, tối đa bằng khoảng thời gian chênh lệch giữa thời gian tham gia bảo hiểm xã hội nông dân Nghệ An và thời gian đóng bảo hiểm xã hội tự nguyện sau khi đã chuyển đổi.</w:t>
      </w:r>
    </w:p>
    <w:p>
      <w:pPr>
        <w:pStyle w:val="Normal"/>
        <w:spacing w:lineRule="auto" w:line="288" w:before="120" w:after="0"/>
        <w:ind w:firstLine="720"/>
        <w:jc w:val="both"/>
        <w:rPr>
          <w:color w:val="0000FF"/>
          <w:sz w:val="24"/>
          <w:szCs w:val="24"/>
        </w:rPr>
      </w:pPr>
      <w:r>
        <w:rPr>
          <w:color w:val="0000FF"/>
          <w:sz w:val="24"/>
          <w:szCs w:val="24"/>
        </w:rPr>
        <w:t>- Thời gian tối đa được đóng bù tính bằng công thức sau:</w:t>
      </w:r>
    </w:p>
    <w:p>
      <w:pPr>
        <w:pStyle w:val="TextBody"/>
        <w:spacing w:lineRule="auto" w:line="300" w:before="120" w:after="0"/>
        <w:ind w:firstLine="720"/>
        <w:rPr>
          <w:rFonts w:ascii="Times New Roman" w:hAnsi="Times New Roman" w:cs="Times New Roman"/>
          <w:i/>
          <w:i/>
          <w:color w:val="0000FF"/>
          <w:sz w:val="24"/>
          <w:szCs w:val="24"/>
        </w:rPr>
      </w:pPr>
      <w:r>
        <w:rPr>
          <w:rFonts w:cs="Times New Roman" w:ascii="Times New Roman" w:hAnsi="Times New Roman"/>
          <w:color w:val="0000FF"/>
          <w:sz w:val="24"/>
          <w:szCs w:val="24"/>
          <w:lang w:val="en-US" w:eastAsia="en-US"/>
        </w:rPr>
      </w:r>
      <w:r>
        <mc:AlternateContent>
          <mc:Choice Requires="wps">
            <w:drawing>
              <wp:inline distT="0" distB="0" distL="0" distR="0">
                <wp:extent cx="1151890" cy="466090"/>
                <wp:effectExtent l="0" t="0" r="0" b="0"/>
                <wp:docPr id="1" name="Frame1"/>
                <a:graphic xmlns:a="http://schemas.openxmlformats.org/drawingml/2006/main">
                  <a:graphicData uri="http://schemas.microsoft.com/office/word/2010/wordprocessingShape">
                    <wps:wsp>
                      <wps:cNvSpPr txBox="1"/>
                      <wps:spPr>
                        <a:xfrm>
                          <a:off x="0" y="0"/>
                          <a:ext cx="1151890" cy="466090"/>
                        </a:xfrm>
                        <a:prstGeom prst="rect"/>
                        <a:solidFill>
                          <a:srgbClr val="FFFFFF"/>
                        </a:solidFill>
                        <a:ln w="9525">
                          <a:solidFill>
                            <a:srgbClr val="000000"/>
                          </a:solidFill>
                        </a:ln>
                      </wps:spPr>
                      <wps:txbx>
                        <w:txbxContent>
                          <w:p>
                            <w:pPr>
                              <w:pStyle w:val="Normal"/>
                              <w:spacing w:lineRule="auto" w:line="300" w:before="120" w:after="0"/>
                              <w:jc w:val="both"/>
                              <w:rPr/>
                            </w:pPr>
                            <w:r>
                              <w:rPr>
                                <w:rFonts w:cs=".VnTime" w:ascii=".VnTime" w:hAnsi=".VnTime"/>
                                <w:color w:val="0000FF"/>
                                <w:sz w:val="28"/>
                                <w:szCs w:val="28"/>
                                <w:lang w:val="nl-NL"/>
                              </w:rPr>
                              <w:t>T = T</w:t>
                            </w:r>
                            <w:r>
                              <w:rPr>
                                <w:rFonts w:cs=".VnTime" w:ascii=".VnTime" w:hAnsi=".VnTime"/>
                                <w:color w:val="0000FF"/>
                                <w:sz w:val="28"/>
                                <w:szCs w:val="28"/>
                                <w:vertAlign w:val="subscript"/>
                                <w:lang w:val="nl-NL"/>
                              </w:rPr>
                              <w:t>nd</w:t>
                            </w:r>
                            <w:r>
                              <w:rPr>
                                <w:rFonts w:cs=".VnTime" w:ascii=".VnTime" w:hAnsi=".VnTime"/>
                                <w:color w:val="0000FF"/>
                                <w:sz w:val="28"/>
                                <w:szCs w:val="28"/>
                                <w:lang w:val="nl-NL"/>
                              </w:rPr>
                              <w:t xml:space="preserve"> - T</w:t>
                            </w:r>
                            <w:r>
                              <w:rPr>
                                <w:rFonts w:cs=".VnTime" w:ascii=".VnTime" w:hAnsi=".VnTime"/>
                                <w:color w:val="0000FF"/>
                                <w:sz w:val="28"/>
                                <w:szCs w:val="28"/>
                                <w:vertAlign w:val="subscript"/>
                                <w:lang w:val="nl-NL"/>
                              </w:rPr>
                              <w:t>tng</w:t>
                            </w:r>
                          </w:p>
                        </w:txbxContent>
                      </wps:txbx>
                      <wps:bodyPr anchor="t" lIns="91440" tIns="45720" rIns="91440" bIns="45720">
                        <a:noAutofit/>
                      </wps:bodyPr>
                    </wps:wsp>
                  </a:graphicData>
                </a:graphic>
              </wp:inline>
            </w:drawing>
          </mc:Choice>
          <mc:Fallback>
            <w:pict>
              <v:rect fillcolor="#FFFFFF" strokecolor="#000000" strokeweight="0pt" style="position:absolute;rotation:-0;width:90.7pt;height:36.7pt;mso-wrap-distance-left:0pt;mso-wrap-distance-right:0pt;mso-wrap-distance-top:0pt;mso-wrap-distance-bottom:0pt;margin-top:-0.35pt;mso-position-vertical-relative:text;margin-left:-0.35pt;mso-position-horizontal-relative:text">
                <v:textbox>
                  <w:txbxContent>
                    <w:p>
                      <w:pPr>
                        <w:pStyle w:val="Normal"/>
                        <w:spacing w:lineRule="auto" w:line="300" w:before="120" w:after="0"/>
                        <w:jc w:val="both"/>
                        <w:rPr/>
                      </w:pPr>
                      <w:r>
                        <w:rPr>
                          <w:rFonts w:cs=".VnTime" w:ascii=".VnTime" w:hAnsi=".VnTime"/>
                          <w:color w:val="0000FF"/>
                          <w:sz w:val="28"/>
                          <w:szCs w:val="28"/>
                          <w:lang w:val="nl-NL"/>
                        </w:rPr>
                        <w:t>T = T</w:t>
                      </w:r>
                      <w:r>
                        <w:rPr>
                          <w:rFonts w:cs=".VnTime" w:ascii=".VnTime" w:hAnsi=".VnTime"/>
                          <w:color w:val="0000FF"/>
                          <w:sz w:val="28"/>
                          <w:szCs w:val="28"/>
                          <w:vertAlign w:val="subscript"/>
                          <w:lang w:val="nl-NL"/>
                        </w:rPr>
                        <w:t>nd</w:t>
                      </w:r>
                      <w:r>
                        <w:rPr>
                          <w:rFonts w:cs=".VnTime" w:ascii=".VnTime" w:hAnsi=".VnTime"/>
                          <w:color w:val="0000FF"/>
                          <w:sz w:val="28"/>
                          <w:szCs w:val="28"/>
                          <w:lang w:val="nl-NL"/>
                        </w:rPr>
                        <w:t xml:space="preserve"> - T</w:t>
                      </w:r>
                      <w:r>
                        <w:rPr>
                          <w:rFonts w:cs=".VnTime" w:ascii=".VnTime" w:hAnsi=".VnTime"/>
                          <w:color w:val="0000FF"/>
                          <w:sz w:val="28"/>
                          <w:szCs w:val="28"/>
                          <w:vertAlign w:val="subscript"/>
                          <w:lang w:val="nl-NL"/>
                        </w:rPr>
                        <w:t>tng</w:t>
                      </w:r>
                    </w:p>
                  </w:txbxContent>
                </v:textbox>
                <w10:wrap type="none"/>
              </v:rect>
            </w:pict>
          </mc:Fallback>
        </mc:AlternateContent>
      </w:r>
    </w:p>
    <w:p>
      <w:pPr>
        <w:pStyle w:val="TextBody"/>
        <w:spacing w:lineRule="auto" w:line="288" w:before="120" w:after="0"/>
        <w:ind w:firstLine="720"/>
        <w:rPr>
          <w:rFonts w:ascii="Times New Roman" w:hAnsi="Times New Roman" w:cs="Times New Roman"/>
          <w:i/>
          <w:i/>
          <w:iCs/>
          <w:color w:val="0000FF"/>
          <w:sz w:val="24"/>
          <w:szCs w:val="24"/>
        </w:rPr>
      </w:pPr>
      <w:r>
        <w:rPr>
          <w:rFonts w:cs="Times New Roman" w:ascii="Times New Roman" w:hAnsi="Times New Roman"/>
          <w:i/>
          <w:iCs/>
          <w:color w:val="0000FF"/>
          <w:sz w:val="24"/>
          <w:szCs w:val="24"/>
        </w:rPr>
        <w:t>Trong đó:</w:t>
      </w:r>
    </w:p>
    <w:p>
      <w:pPr>
        <w:pStyle w:val="TextBody"/>
        <w:spacing w:lineRule="auto" w:line="288" w:before="120" w:after="0"/>
        <w:ind w:firstLine="720"/>
        <w:rPr/>
      </w:pPr>
      <w:r>
        <w:rPr>
          <w:rFonts w:cs="Times New Roman" w:ascii="Times New Roman" w:hAnsi="Times New Roman"/>
          <w:color w:val="0000FF"/>
          <w:sz w:val="24"/>
          <w:szCs w:val="24"/>
        </w:rPr>
        <w:t>T</w:t>
      </w:r>
      <w:r>
        <w:rPr>
          <w:rFonts w:cs="Times New Roman" w:ascii="Times New Roman" w:hAnsi="Times New Roman"/>
          <w:color w:val="0000FF"/>
          <w:sz w:val="24"/>
          <w:szCs w:val="24"/>
          <w:vertAlign w:val="subscript"/>
        </w:rPr>
        <w:t>nd</w:t>
      </w:r>
      <w:r>
        <w:rPr>
          <w:rFonts w:cs="Times New Roman" w:ascii="Times New Roman" w:hAnsi="Times New Roman"/>
          <w:color w:val="0000FF"/>
          <w:sz w:val="24"/>
          <w:szCs w:val="24"/>
        </w:rPr>
        <w:t xml:space="preserve">   : Thời gian tham gia bảo hiểm nông dân Nghệ An;</w:t>
      </w:r>
    </w:p>
    <w:p>
      <w:pPr>
        <w:pStyle w:val="TextBody"/>
        <w:spacing w:lineRule="auto" w:line="288" w:before="120" w:after="0"/>
        <w:ind w:firstLine="720"/>
        <w:rPr/>
      </w:pPr>
      <w:r>
        <w:rPr>
          <w:rFonts w:cs="Times New Roman" w:ascii="Times New Roman" w:hAnsi="Times New Roman"/>
          <w:color w:val="0000FF"/>
          <w:sz w:val="24"/>
          <w:szCs w:val="24"/>
          <w:lang w:val="pt-BR"/>
        </w:rPr>
        <w:t>T</w:t>
      </w:r>
      <w:r>
        <w:rPr>
          <w:rFonts w:cs="Times New Roman" w:ascii="Times New Roman" w:hAnsi="Times New Roman"/>
          <w:color w:val="0000FF"/>
          <w:sz w:val="24"/>
          <w:szCs w:val="24"/>
          <w:vertAlign w:val="subscript"/>
          <w:lang w:val="pt-BR"/>
        </w:rPr>
        <w:t>TNg</w:t>
      </w:r>
      <w:r>
        <w:rPr>
          <w:rFonts w:cs="Times New Roman" w:ascii="Times New Roman" w:hAnsi="Times New Roman"/>
          <w:color w:val="0000FF"/>
          <w:sz w:val="24"/>
          <w:szCs w:val="24"/>
          <w:lang w:val="pt-BR"/>
        </w:rPr>
        <w:t xml:space="preserve"> : Thời gian tham gia bảo hiểm xã hội tự nguyện được chuyển đổi từ thời gian tham gia bảo hiểm xã hội nông dân Nghệ An;</w:t>
      </w:r>
    </w:p>
    <w:p>
      <w:pPr>
        <w:pStyle w:val="TextBody"/>
        <w:spacing w:lineRule="auto" w:line="288" w:before="120" w:after="0"/>
        <w:ind w:firstLine="720"/>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T    : Thời gian tối đa được đóng bù do chuyển đổi.</w:t>
      </w:r>
    </w:p>
    <w:p>
      <w:pPr>
        <w:pStyle w:val="Normal"/>
        <w:spacing w:lineRule="auto" w:line="288" w:before="240" w:after="120"/>
        <w:ind w:firstLine="720"/>
        <w:jc w:val="both"/>
        <w:rPr>
          <w:color w:val="0000FF"/>
          <w:sz w:val="24"/>
          <w:szCs w:val="24"/>
          <w:lang w:val="pt-BR"/>
        </w:rPr>
      </w:pPr>
      <w:r>
        <w:rPr>
          <w:color w:val="0000FF"/>
          <w:sz w:val="24"/>
          <w:szCs w:val="24"/>
          <w:lang w:val="pt-BR"/>
        </w:rPr>
        <w:t>b) Số tiền đóng bù tối thiểu cho mỗi tháng thực hiện trong năm 2009 được tính bằng 16% x 540.000 đồng/tháng = 86.400 đồng/tháng.</w:t>
      </w:r>
    </w:p>
    <w:p>
      <w:pPr>
        <w:pStyle w:val="Normal"/>
        <w:spacing w:lineRule="auto" w:line="288" w:before="120" w:after="0"/>
        <w:ind w:firstLine="720"/>
        <w:jc w:val="both"/>
        <w:rPr>
          <w:color w:val="0000FF"/>
          <w:sz w:val="24"/>
          <w:szCs w:val="24"/>
          <w:lang w:val="pt-BR"/>
        </w:rPr>
      </w:pPr>
      <w:r>
        <w:rPr>
          <w:color w:val="0000FF"/>
          <w:sz w:val="24"/>
          <w:szCs w:val="24"/>
          <w:lang w:val="pt-BR"/>
        </w:rPr>
        <w:t>- Trường hợp số tiền đóng bù cho mỗi tháng bằng 86.400 đồng thì mức thu nhập tháng đóng bảo hiểm xã hội là 540.000 đồng/tháng.</w:t>
      </w:r>
    </w:p>
    <w:p>
      <w:pPr>
        <w:pStyle w:val="Normal"/>
        <w:spacing w:lineRule="auto" w:line="288" w:before="120" w:after="0"/>
        <w:ind w:firstLine="720"/>
        <w:jc w:val="both"/>
        <w:rPr>
          <w:color w:val="0000FF"/>
          <w:sz w:val="24"/>
          <w:szCs w:val="24"/>
          <w:lang w:val="pt-BR"/>
        </w:rPr>
      </w:pPr>
      <w:r>
        <w:rPr>
          <w:color w:val="0000FF"/>
          <w:sz w:val="24"/>
          <w:szCs w:val="24"/>
          <w:lang w:val="pt-BR"/>
        </w:rPr>
        <w:t>- Trường hợp số tiền đóng bù cho mỗi tháng cao hơn 86.400 đồng thì mức thu nhập tháng đóng bảo hiểm xã hội được tính theo quy định tại khoản 2 Điều 3 Thông tư này.</w:t>
      </w:r>
    </w:p>
    <w:p>
      <w:pPr>
        <w:pStyle w:val="Normal"/>
        <w:spacing w:lineRule="auto" w:line="288" w:before="240" w:after="0"/>
        <w:ind w:firstLine="720"/>
        <w:jc w:val="both"/>
        <w:rPr/>
      </w:pPr>
      <w:r>
        <w:rPr>
          <w:b/>
          <w:bCs/>
          <w:color w:val="0000FF"/>
          <w:sz w:val="24"/>
          <w:szCs w:val="24"/>
          <w:lang w:val="pt-BR"/>
        </w:rPr>
        <w:t>Ví dụ 2:</w:t>
      </w:r>
      <w:r>
        <w:rPr>
          <w:color w:val="0000FF"/>
          <w:sz w:val="24"/>
          <w:szCs w:val="24"/>
          <w:lang w:val="pt-BR"/>
        </w:rPr>
        <w:t xml:space="preserve"> Trường hợp ông A ở Ví dụ 1, có tổng số tháng đã đóng bảo hiểm xã hội nông dân Nghệ An là 48 tháng, số tháng sau khi chuyển đổi sang bảo hiểm xã hội tự nguyện là 37 tháng. </w:t>
      </w:r>
      <w:r>
        <w:rPr>
          <w:color w:val="0000FF"/>
          <w:sz w:val="24"/>
          <w:szCs w:val="24"/>
        </w:rPr>
        <w:t>Vậy số tháng ông A được đóng bù tối đa là:</w:t>
      </w:r>
    </w:p>
    <w:p>
      <w:pPr>
        <w:pStyle w:val="Normal"/>
        <w:spacing w:lineRule="auto" w:line="288" w:before="120" w:after="0"/>
        <w:ind w:firstLine="720"/>
        <w:jc w:val="both"/>
        <w:rPr>
          <w:color w:val="0000FF"/>
          <w:sz w:val="24"/>
          <w:szCs w:val="24"/>
        </w:rPr>
      </w:pPr>
      <w:r>
        <w:rPr>
          <w:color w:val="0000FF"/>
          <w:sz w:val="24"/>
          <w:szCs w:val="24"/>
        </w:rPr>
        <w:t>48 tháng – 37 tháng = 11 tháng</w:t>
      </w:r>
    </w:p>
    <w:p>
      <w:pPr>
        <w:pStyle w:val="TextBody"/>
        <w:spacing w:lineRule="auto" w:line="288" w:before="120" w:after="0"/>
        <w:ind w:firstLine="720"/>
        <w:rPr>
          <w:rFonts w:ascii="Times New Roman" w:hAnsi="Times New Roman" w:cs="Times New Roman"/>
          <w:color w:val="0000FF"/>
          <w:sz w:val="24"/>
          <w:szCs w:val="24"/>
        </w:rPr>
      </w:pPr>
      <w:r>
        <w:rPr>
          <w:rFonts w:cs="Times New Roman" w:ascii="Times New Roman" w:hAnsi="Times New Roman"/>
          <w:color w:val="0000FF"/>
          <w:sz w:val="24"/>
          <w:szCs w:val="24"/>
        </w:rPr>
        <w:t>a) Giả thiết ông A lựa chọn đóng bù cho cả 11 tháng với mức đóng bù bằng 86.400 đồng/tháng. Số tiền đóng bù của ông A được tính như sau:</w:t>
      </w:r>
    </w:p>
    <w:p>
      <w:pPr>
        <w:pStyle w:val="TextBody"/>
        <w:spacing w:lineRule="auto" w:line="288" w:before="120" w:after="0"/>
        <w:ind w:firstLine="720"/>
        <w:rPr>
          <w:rFonts w:ascii="Times New Roman" w:hAnsi="Times New Roman" w:cs="Times New Roman"/>
          <w:color w:val="0000FF"/>
          <w:sz w:val="24"/>
          <w:szCs w:val="24"/>
        </w:rPr>
      </w:pPr>
      <w:r>
        <w:rPr>
          <w:rFonts w:cs="Times New Roman" w:ascii="Times New Roman" w:hAnsi="Times New Roman"/>
          <w:color w:val="0000FF"/>
          <w:sz w:val="24"/>
          <w:szCs w:val="24"/>
        </w:rPr>
        <w:t>86.400 đồng/tháng  x  11 tháng = 950.400 đồng</w:t>
      </w:r>
    </w:p>
    <w:p>
      <w:pPr>
        <w:pStyle w:val="TextBody"/>
        <w:spacing w:lineRule="auto" w:line="288" w:before="240" w:after="0"/>
        <w:ind w:firstLine="720"/>
        <w:rPr>
          <w:rFonts w:ascii="Times New Roman" w:hAnsi="Times New Roman" w:cs="Times New Roman"/>
          <w:color w:val="0000FF"/>
          <w:sz w:val="24"/>
          <w:szCs w:val="24"/>
        </w:rPr>
      </w:pPr>
      <w:r>
        <w:rPr>
          <w:rFonts w:cs="Times New Roman" w:ascii="Times New Roman" w:hAnsi="Times New Roman"/>
          <w:color w:val="0000FF"/>
          <w:sz w:val="24"/>
          <w:szCs w:val="24"/>
        </w:rPr>
        <w:t>Như vậy, sau khi thực hiện việc đóng bù, thời gian đóng bảo hiểm xã hội tự nguyện của ông A là 48 tháng. Trong đó, mức thu nhập tháng đóng bảo hiểm xã hội tự nguyện của 11 tháng đóng bù là 540.000 đồng/tháng.</w:t>
      </w:r>
    </w:p>
    <w:p>
      <w:pPr>
        <w:pStyle w:val="TextBody"/>
        <w:spacing w:lineRule="auto" w:line="288" w:before="120" w:after="0"/>
        <w:ind w:firstLine="720"/>
        <w:rPr>
          <w:rFonts w:ascii="Times New Roman" w:hAnsi="Times New Roman" w:cs="Times New Roman"/>
          <w:color w:val="0000FF"/>
          <w:sz w:val="24"/>
          <w:szCs w:val="24"/>
        </w:rPr>
      </w:pPr>
      <w:r>
        <w:rPr>
          <w:rFonts w:cs="Times New Roman" w:ascii="Times New Roman" w:hAnsi="Times New Roman"/>
          <w:color w:val="0000FF"/>
          <w:sz w:val="24"/>
          <w:szCs w:val="24"/>
        </w:rPr>
        <w:t>b) Hoặc ông A chỉ lựa chọn đóng bù 10 tháng với mức đóng bù bằng 86.400 đồng/tháng. Số tiền đóng bù của ông A được tính như sau:</w:t>
      </w:r>
    </w:p>
    <w:p>
      <w:pPr>
        <w:pStyle w:val="TextBody"/>
        <w:spacing w:lineRule="auto" w:line="288" w:before="120" w:after="0"/>
        <w:ind w:firstLine="720"/>
        <w:rPr>
          <w:rFonts w:ascii="Times New Roman" w:hAnsi="Times New Roman" w:cs="Times New Roman"/>
          <w:color w:val="0000FF"/>
          <w:sz w:val="24"/>
          <w:szCs w:val="24"/>
        </w:rPr>
      </w:pPr>
      <w:r>
        <w:rPr>
          <w:rFonts w:cs="Times New Roman" w:ascii="Times New Roman" w:hAnsi="Times New Roman"/>
          <w:color w:val="0000FF"/>
          <w:sz w:val="24"/>
          <w:szCs w:val="24"/>
        </w:rPr>
        <w:t>86.400 đồng/tháng x 10 tháng = 864.000 đồng.</w:t>
      </w:r>
    </w:p>
    <w:p>
      <w:pPr>
        <w:pStyle w:val="TextBody"/>
        <w:spacing w:lineRule="auto" w:line="288" w:before="240" w:after="0"/>
        <w:ind w:firstLine="720"/>
        <w:rPr>
          <w:rFonts w:ascii="Times New Roman" w:hAnsi="Times New Roman" w:cs="Times New Roman"/>
          <w:color w:val="0000FF"/>
          <w:sz w:val="24"/>
          <w:szCs w:val="24"/>
        </w:rPr>
      </w:pPr>
      <w:r>
        <w:rPr>
          <w:rFonts w:cs="Times New Roman" w:ascii="Times New Roman" w:hAnsi="Times New Roman"/>
          <w:color w:val="0000FF"/>
          <w:sz w:val="24"/>
          <w:szCs w:val="24"/>
        </w:rPr>
        <w:t>Như vậy, sau khi thực hiện việc đóng bù, thời gian đóng bảo hiểm xã hội tự nguyện của ông A là 47 tháng. Trong đó, mức thu nhập tháng đóng bảo hiểm xã hội tự nguyện của 10 tháng đóng bù là 540.000 đồng/tháng.</w:t>
      </w:r>
    </w:p>
    <w:p>
      <w:pPr>
        <w:pStyle w:val="TextBody"/>
        <w:spacing w:lineRule="auto" w:line="288" w:before="120" w:after="0"/>
        <w:ind w:firstLine="720"/>
        <w:rPr>
          <w:rFonts w:ascii="Times New Roman" w:hAnsi="Times New Roman" w:cs="Times New Roman"/>
          <w:color w:val="0000FF"/>
          <w:sz w:val="24"/>
          <w:szCs w:val="24"/>
        </w:rPr>
      </w:pPr>
      <w:r>
        <w:rPr>
          <w:rFonts w:cs="Times New Roman" w:ascii="Times New Roman" w:hAnsi="Times New Roman"/>
          <w:color w:val="0000FF"/>
          <w:sz w:val="24"/>
          <w:szCs w:val="24"/>
        </w:rPr>
        <w:t>c) Hoặc ông A không thực hiện việc đóng bù, thì thời gian đóng bảo hiểm xã hội tự nguyện của ông A là 37 tháng.</w:t>
      </w:r>
    </w:p>
    <w:p>
      <w:pPr>
        <w:pStyle w:val="TextBody"/>
        <w:spacing w:lineRule="auto" w:line="288" w:before="240" w:after="0"/>
        <w:ind w:firstLine="720"/>
        <w:rPr/>
      </w:pPr>
      <w:r>
        <w:rPr>
          <w:rFonts w:cs="Times New Roman" w:ascii="Times New Roman" w:hAnsi="Times New Roman"/>
          <w:b/>
          <w:bCs/>
          <w:color w:val="0000FF"/>
          <w:sz w:val="24"/>
          <w:szCs w:val="24"/>
        </w:rPr>
        <w:t>Điều 3.</w:t>
      </w:r>
      <w:r>
        <w:rPr>
          <w:rFonts w:cs="Times New Roman" w:ascii="Times New Roman" w:hAnsi="Times New Roman"/>
          <w:color w:val="0000FF"/>
          <w:sz w:val="24"/>
          <w:szCs w:val="24"/>
        </w:rPr>
        <w:t xml:space="preserve"> Người lao động không thực hiện việc chuyển đổi thì thời gian đã tham gia bảo hiểm xã hội nông dân Nghệ An được bảo lưu là thời gian tham gia bảo hiểm xã hội tự nguyện quy định tại khoản 2 Điều 3 Quyết định số 41/2009/QĐ-TTg được hướng dẫn như sau:</w:t>
      </w:r>
    </w:p>
    <w:p>
      <w:pPr>
        <w:pStyle w:val="TextBody"/>
        <w:spacing w:lineRule="auto" w:line="288" w:before="120" w:after="0"/>
        <w:ind w:firstLine="720"/>
        <w:rPr/>
      </w:pPr>
      <w:r>
        <w:rPr>
          <w:rFonts w:cs="Times New Roman" w:ascii="Times New Roman" w:hAnsi="Times New Roman"/>
          <w:b/>
          <w:bCs/>
          <w:color w:val="0000FF"/>
          <w:sz w:val="24"/>
          <w:szCs w:val="24"/>
        </w:rPr>
        <w:t>1.</w:t>
      </w:r>
      <w:r>
        <w:rPr>
          <w:rFonts w:cs="Times New Roman" w:ascii="Times New Roman" w:hAnsi="Times New Roman"/>
          <w:color w:val="0000FF"/>
          <w:sz w:val="24"/>
          <w:szCs w:val="24"/>
        </w:rPr>
        <w:t xml:space="preserve"> Thời gian tham gia bảo hiểm xã hội nông dân Nghệ An được tính là thời gian đóng bảo hiểm xã hội tự nguyện.</w:t>
      </w:r>
    </w:p>
    <w:p>
      <w:pPr>
        <w:pStyle w:val="TextBody"/>
        <w:spacing w:lineRule="auto" w:line="288" w:before="120" w:after="0"/>
        <w:ind w:firstLine="720"/>
        <w:rPr/>
      </w:pPr>
      <w:r>
        <w:rPr>
          <w:rFonts w:cs="Times New Roman" w:ascii="Times New Roman" w:hAnsi="Times New Roman"/>
          <w:b/>
          <w:bCs/>
          <w:color w:val="0000FF"/>
          <w:sz w:val="24"/>
          <w:szCs w:val="24"/>
        </w:rPr>
        <w:t>2.</w:t>
      </w:r>
      <w:r>
        <w:rPr>
          <w:rFonts w:cs="Times New Roman" w:ascii="Times New Roman" w:hAnsi="Times New Roman"/>
          <w:color w:val="0000FF"/>
          <w:sz w:val="24"/>
          <w:szCs w:val="24"/>
        </w:rPr>
        <w:t xml:space="preserve"> Mức thu nhập tháng đóng bảo hiểm xã hội tự nguyện được tính căn cứ vào số tiền hàng tháng đóng bảo hiểm nông dân Nghệ An, công thức tính như sau:</w:t>
      </w:r>
    </w:p>
    <w:p>
      <w:pPr>
        <w:pStyle w:val="TextBody"/>
        <w:spacing w:lineRule="auto" w:line="312" w:before="120" w:after="0"/>
        <w:ind w:firstLine="720"/>
        <w:rPr>
          <w:rFonts w:ascii="Times New Roman" w:hAnsi="Times New Roman" w:cs="Times New Roman"/>
          <w:color w:val="0000FF"/>
          <w:sz w:val="24"/>
          <w:szCs w:val="24"/>
          <w:lang w:val="en-US" w:eastAsia="en-US"/>
        </w:rPr>
      </w:pPr>
      <w:r>
        <w:rPr>
          <w:rFonts w:cs="Times New Roman" w:ascii="Times New Roman" w:hAnsi="Times New Roman"/>
          <w:color w:val="0000FF"/>
          <w:sz w:val="24"/>
          <w:szCs w:val="24"/>
          <w:lang w:val="en-US" w:eastAsia="en-US"/>
        </w:rPr>
        <mc:AlternateContent>
          <mc:Choice Requires="wpg">
            <w:drawing>
              <wp:anchor behindDoc="0" distT="0" distB="0" distL="114935" distR="114935" simplePos="0" locked="0" layoutInCell="0" allowOverlap="1" relativeHeight="10">
                <wp:simplePos x="0" y="0"/>
                <wp:positionH relativeFrom="column">
                  <wp:posOffset>1038225</wp:posOffset>
                </wp:positionH>
                <wp:positionV relativeFrom="paragraph">
                  <wp:posOffset>50165</wp:posOffset>
                </wp:positionV>
                <wp:extent cx="3419475" cy="838200"/>
                <wp:effectExtent l="0" t="0" r="0" b="0"/>
                <wp:wrapNone/>
                <wp:docPr id="2" name=""/>
                <a:graphic xmlns:a="http://schemas.openxmlformats.org/drawingml/2006/main">
                  <a:graphicData uri="http://schemas.microsoft.com/office/word/2010/wordprocessingGroup">
                    <wpg:wgp>
                      <wpg:cNvGrpSpPr/>
                      <wpg:grpSpPr>
                        <a:xfrm>
                          <a:off x="0" y="0"/>
                          <a:ext cx="3419640" cy="838080"/>
                          <a:chOff x="0" y="0"/>
                          <a:chExt cx="3419640" cy="838080"/>
                        </a:xfrm>
                      </wpg:grpSpPr>
                      <wps:wsp>
                        <wps:cNvSpPr txBox="1"/>
                        <wps:spPr>
                          <a:xfrm>
                            <a:off x="0" y="123120"/>
                            <a:ext cx="1371600" cy="657360"/>
                          </a:xfrm>
                          <a:prstGeom prst="rect">
                            <a:avLst/>
                          </a:prstGeom>
                          <a:solidFill>
                            <a:srgbClr val="ffffff"/>
                          </a:solidFill>
                          <a:ln w="0">
                            <a:noFill/>
                          </a:ln>
                        </wps:spPr>
                        <wps:txbx>
                          <w:txbxContent>
                            <w:p>
                              <w:pPr>
                                <w:overflowPunct w:val="false"/>
                                <w:bidi w:val="0"/>
                                <w:jc w:val="center"/>
                                <w:rPr/>
                              </w:pPr>
                              <w:r>
                                <w:rPr>
                                  <w:kern w:val="2"/>
                                  <w:sz w:val="24"/>
                                  <w:szCs w:val="24"/>
                                  <w:rFonts w:ascii="Times New Roman" w:hAnsi="Times New Roman" w:eastAsia="Times New Roman" w:cs="Times New Roman"/>
                                  <w:color w:val="0000FF"/>
                                  <w:lang w:val="en-US" w:bidi="ar-SA"/>
                                </w:rPr>
                                <w:t>Mức thu nhập tháng đóng BHXH tự nguyện</w:t>
                              </w:r>
                            </w:p>
                            <w:p>
                              <w:pPr>
                                <w:overflowPunct w:val="false"/>
                                <w:bidi w:val="0"/>
                                <w:rPr/>
                              </w:pPr>
                              <w:r>
                                <w:rPr>
                                  <w:sz w:val="24"/>
                                  <w:kern w:val="2"/>
                                  <w:szCs w:val="24"/>
                                  <w:rFonts w:ascii="Liberation Serif" w:hAnsi="Liberation Serif" w:eastAsia="DejaVu Sans" w:cs="Noto Sans Devanagari"/>
                                  <w:lang w:bidi="hi-IN"/>
                                </w:rPr>
                              </w:r>
                            </w:p>
                          </w:txbxContent>
                        </wps:txbx>
                        <wps:bodyPr wrap="square" anchor="t">
                          <a:noAutofit/>
                        </wps:bodyPr>
                      </wps:wsp>
                      <wps:wsp>
                        <wps:cNvSpPr txBox="1"/>
                        <wps:spPr>
                          <a:xfrm>
                            <a:off x="1371600" y="162000"/>
                            <a:ext cx="228600" cy="571680"/>
                          </a:xfrm>
                          <a:prstGeom prst="rect">
                            <a:avLst/>
                          </a:prstGeom>
                          <a:solidFill>
                            <a:srgbClr val="ffffff"/>
                          </a:solidFill>
                          <a:ln w="0">
                            <a:noFill/>
                          </a:ln>
                        </wps:spPr>
                        <wps:txbx>
                          <w:txbxContent>
                            <w:p>
                              <w:pPr>
                                <w:overflowPunct w:val="false"/>
                                <w:bidi w:val="0"/>
                                <w:jc w:val="center"/>
                                <w:rPr/>
                              </w:pPr>
                              <w:r>
                                <w:rPr>
                                  <w:sz w:val="24"/>
                                  <w:kern w:val="2"/>
                                  <w:szCs w:val="24"/>
                                  <w:rFonts w:ascii="Liberation Serif" w:hAnsi="Liberation Serif" w:eastAsia="DejaVu Sans" w:cs="Noto Sans Devanagari"/>
                                  <w:lang w:bidi="hi-IN"/>
                                </w:rPr>
                              </w:r>
                            </w:p>
                            <w:p>
                              <w:pPr>
                                <w:overflowPunct w:val="false"/>
                                <w:bidi w:val="0"/>
                                <w:jc w:val="center"/>
                                <w:rPr/>
                              </w:pPr>
                              <w:r>
                                <w:rPr>
                                  <w:kern w:val="2"/>
                                  <w:sz w:val="24"/>
                                  <w:szCs w:val="24"/>
                                  <w:rFonts w:ascii=".VnTime" w:hAnsi=".VnTime" w:eastAsia="Times New Roman" w:cs=".VnTime"/>
                                  <w:color w:val="auto"/>
                                  <w:lang w:val="en-US" w:bidi="ar-SA"/>
                                </w:rPr>
                                <w:t>=</w:t>
                              </w:r>
                            </w:p>
                          </w:txbxContent>
                        </wps:txbx>
                        <wps:bodyPr wrap="square" anchor="t">
                          <a:noAutofit/>
                        </wps:bodyPr>
                      </wps:wsp>
                      <wps:wsp>
                        <wps:cNvSpPr txBox="1"/>
                        <wps:spPr>
                          <a:xfrm>
                            <a:off x="1590840" y="0"/>
                            <a:ext cx="1828800" cy="457200"/>
                          </a:xfrm>
                          <a:prstGeom prst="rect">
                            <a:avLst/>
                          </a:prstGeom>
                          <a:solidFill>
                            <a:srgbClr val="ffffff"/>
                          </a:solidFill>
                          <a:ln w="0">
                            <a:noFill/>
                          </a:ln>
                        </wps:spPr>
                        <wps:txbx>
                          <w:txbxContent>
                            <w:p>
                              <w:pPr>
                                <w:overflowPunct w:val="false"/>
                                <w:bidi w:val="0"/>
                                <w:jc w:val="center"/>
                                <w:rPr/>
                              </w:pPr>
                              <w:r>
                                <w:rPr>
                                  <w:kern w:val="2"/>
                                  <w:sz w:val="24"/>
                                  <w:szCs w:val="24"/>
                                  <w:rFonts w:ascii="Times New Roman" w:hAnsi="Times New Roman" w:eastAsia="Times New Roman" w:cs="Times New Roman"/>
                                  <w:color w:val="0000FF"/>
                                  <w:lang w:val="en-US" w:bidi="ar-SA"/>
                                </w:rPr>
                                <w:t>Số tiền đóng BHXH nông dân Nghệ An một tháng</w:t>
                              </w:r>
                            </w:p>
                            <w:p>
                              <w:pPr>
                                <w:overflowPunct w:val="false"/>
                                <w:bidi w:val="0"/>
                                <w:rPr/>
                              </w:pPr>
                              <w:r>
                                <w:rPr>
                                  <w:sz w:val="24"/>
                                  <w:kern w:val="2"/>
                                  <w:szCs w:val="24"/>
                                  <w:rFonts w:ascii="Liberation Serif" w:hAnsi="Liberation Serif" w:eastAsia="DejaVu Sans" w:cs="Noto Sans Devanagari"/>
                                  <w:lang w:bidi="hi-IN"/>
                                </w:rPr>
                              </w:r>
                            </w:p>
                          </w:txbxContent>
                        </wps:txbx>
                        <wps:bodyPr wrap="square" anchor="t">
                          <a:noAutofit/>
                        </wps:bodyPr>
                      </wps:wsp>
                      <wps:wsp>
                        <wps:cNvSpPr txBox="1"/>
                        <wps:spPr>
                          <a:xfrm>
                            <a:off x="1714680" y="495360"/>
                            <a:ext cx="1486080" cy="343080"/>
                          </a:xfrm>
                          <a:prstGeom prst="rect">
                            <a:avLst/>
                          </a:prstGeom>
                          <a:solidFill>
                            <a:srgbClr val="ffffff"/>
                          </a:solidFill>
                          <a:ln w="0">
                            <a:noFill/>
                          </a:ln>
                        </wps:spPr>
                        <wps:txbx>
                          <w:txbxContent>
                            <w:p>
                              <w:pPr>
                                <w:overflowPunct w:val="false"/>
                                <w:bidi w:val="0"/>
                                <w:jc w:val="center"/>
                                <w:rPr/>
                              </w:pPr>
                              <w:r>
                                <w:rPr>
                                  <w:kern w:val="2"/>
                                  <w:sz w:val="24"/>
                                  <w:szCs w:val="24"/>
                                  <w:rFonts w:ascii=".VnTime" w:hAnsi=".VnTime" w:eastAsia="Times New Roman" w:cs=".VnTime"/>
                                  <w:color w:val="0000FF"/>
                                  <w:lang w:val="en-US" w:bidi="ar-SA"/>
                                </w:rPr>
                                <w:t>H</w:t>
                              </w:r>
                              <w:r>
                                <w:rPr>
                                  <w:kern w:val="2"/>
                                  <w:sz w:val="24"/>
                                  <w:szCs w:val="24"/>
                                  <w:vertAlign w:val="subscript"/>
                                  <w:rFonts w:ascii=".VnTime" w:hAnsi=".VnTime" w:eastAsia="Times New Roman" w:cs=".VnTime"/>
                                  <w:color w:val="0000FF"/>
                                  <w:lang w:val="en-US" w:bidi="ar-SA"/>
                                </w:rPr>
                                <w:t>k</w:t>
                              </w:r>
                            </w:p>
                          </w:txbxContent>
                        </wps:txbx>
                        <wps:bodyPr wrap="square" anchor="t">
                          <a:noAutofit/>
                        </wps:bodyPr>
                      </wps:wsp>
                      <wps:wsp>
                        <wps:cNvSpPr/>
                        <wps:spPr>
                          <a:xfrm>
                            <a:off x="1819440" y="457200"/>
                            <a:ext cx="1371600" cy="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81.75pt;margin-top:3.95pt;width:269.25pt;height:66pt" coordorigin="1635,79" coordsize="5385,1320">
                <v:shapetype id="_x0000_t202" coordsize="21600,21600" o:spt="202" path="m,l,21600l21600,21600l21600,xe">
                  <v:stroke joinstyle="miter"/>
                  <v:path gradientshapeok="t" o:connecttype="rect"/>
                </v:shapetype>
                <v:shape id="shape_0" fillcolor="white" stroked="f" o:allowincell="f" style="position:absolute;left:1635;top:273;width:2159;height:1034;mso-wrap-style:square;v-text-anchor:top" type="_x0000_t202">
                  <v:textbox>
                    <w:txbxContent>
                      <w:p>
                        <w:pPr>
                          <w:overflowPunct w:val="false"/>
                          <w:bidi w:val="0"/>
                          <w:jc w:val="center"/>
                          <w:rPr/>
                        </w:pPr>
                        <w:r>
                          <w:rPr>
                            <w:kern w:val="2"/>
                            <w:sz w:val="24"/>
                            <w:szCs w:val="24"/>
                            <w:rFonts w:ascii="Times New Roman" w:hAnsi="Times New Roman" w:eastAsia="Times New Roman" w:cs="Times New Roman"/>
                            <w:color w:val="0000FF"/>
                            <w:lang w:val="en-US" w:bidi="ar-SA"/>
                          </w:rPr>
                          <w:t>Mức thu nhập tháng đóng BHXH tự nguyện</w:t>
                        </w:r>
                      </w:p>
                      <w:p>
                        <w:pPr>
                          <w:overflowPunct w:val="false"/>
                          <w:bidi w:val="0"/>
                          <w:rPr/>
                        </w:pPr>
                        <w:r>
                          <w:rPr>
                            <w:sz w:val="24"/>
                            <w:kern w:val="2"/>
                            <w:szCs w:val="24"/>
                            <w:rFonts w:ascii="Liberation Serif" w:hAnsi="Liberation Serif" w:eastAsia="DejaVu Sans" w:cs="Noto Sans Devanagari"/>
                            <w:lang w:bidi="hi-IN"/>
                          </w:rPr>
                        </w:r>
                      </w:p>
                    </w:txbxContent>
                  </v:textbox>
                  <v:fill o:detectmouseclick="t" type="solid" color2="black"/>
                  <v:stroke color="#3465a4" joinstyle="round" endcap="flat"/>
                  <w10:wrap type="none"/>
                </v:shape>
                <v:shape id="shape_0" fillcolor="white" stroked="f" o:allowincell="f" style="position:absolute;left:3795;top:334;width:359;height:899;mso-wrap-style:square;v-text-anchor:top" type="_x0000_t202">
                  <v:textbox>
                    <w:txbxContent>
                      <w:p>
                        <w:pPr>
                          <w:overflowPunct w:val="false"/>
                          <w:bidi w:val="0"/>
                          <w:jc w:val="center"/>
                          <w:rPr/>
                        </w:pPr>
                        <w:r>
                          <w:rPr>
                            <w:sz w:val="24"/>
                            <w:kern w:val="2"/>
                            <w:szCs w:val="24"/>
                            <w:rFonts w:ascii="Liberation Serif" w:hAnsi="Liberation Serif" w:eastAsia="DejaVu Sans" w:cs="Noto Sans Devanagari"/>
                            <w:lang w:bidi="hi-IN"/>
                          </w:rPr>
                        </w:r>
                      </w:p>
                      <w:p>
                        <w:pPr>
                          <w:overflowPunct w:val="false"/>
                          <w:bidi w:val="0"/>
                          <w:jc w:val="center"/>
                          <w:rPr/>
                        </w:pPr>
                        <w:r>
                          <w:rPr>
                            <w:kern w:val="2"/>
                            <w:sz w:val="24"/>
                            <w:szCs w:val="24"/>
                            <w:rFonts w:ascii=".VnTime" w:hAnsi=".VnTime" w:eastAsia="Times New Roman" w:cs=".VnTime"/>
                            <w:color w:val="auto"/>
                            <w:lang w:val="en-US" w:bidi="ar-SA"/>
                          </w:rPr>
                          <w:t>=</w:t>
                        </w:r>
                      </w:p>
                    </w:txbxContent>
                  </v:textbox>
                  <v:fill o:detectmouseclick="t" type="solid" color2="black"/>
                  <v:stroke color="#3465a4" joinstyle="round" endcap="flat"/>
                  <w10:wrap type="none"/>
                </v:shape>
                <v:shape id="shape_0" fillcolor="white" stroked="f" o:allowincell="f" style="position:absolute;left:4140;top:79;width:2879;height:719;mso-wrap-style:square;v-text-anchor:top" type="_x0000_t202">
                  <v:textbox>
                    <w:txbxContent>
                      <w:p>
                        <w:pPr>
                          <w:overflowPunct w:val="false"/>
                          <w:bidi w:val="0"/>
                          <w:jc w:val="center"/>
                          <w:rPr/>
                        </w:pPr>
                        <w:r>
                          <w:rPr>
                            <w:kern w:val="2"/>
                            <w:sz w:val="24"/>
                            <w:szCs w:val="24"/>
                            <w:rFonts w:ascii="Times New Roman" w:hAnsi="Times New Roman" w:eastAsia="Times New Roman" w:cs="Times New Roman"/>
                            <w:color w:val="0000FF"/>
                            <w:lang w:val="en-US" w:bidi="ar-SA"/>
                          </w:rPr>
                          <w:t>Số tiền đóng BHXH nông dân Nghệ An một tháng</w:t>
                        </w:r>
                      </w:p>
                      <w:p>
                        <w:pPr>
                          <w:overflowPunct w:val="false"/>
                          <w:bidi w:val="0"/>
                          <w:rPr/>
                        </w:pPr>
                        <w:r>
                          <w:rPr>
                            <w:sz w:val="24"/>
                            <w:kern w:val="2"/>
                            <w:szCs w:val="24"/>
                            <w:rFonts w:ascii="Liberation Serif" w:hAnsi="Liberation Serif" w:eastAsia="DejaVu Sans" w:cs="Noto Sans Devanagari"/>
                            <w:lang w:bidi="hi-IN"/>
                          </w:rPr>
                        </w:r>
                      </w:p>
                    </w:txbxContent>
                  </v:textbox>
                  <v:fill o:detectmouseclick="t" type="solid" color2="black"/>
                  <v:stroke color="#3465a4" joinstyle="round" endcap="flat"/>
                  <w10:wrap type="none"/>
                </v:shape>
                <v:shape id="shape_0" fillcolor="white" stroked="f" o:allowincell="f" style="position:absolute;left:4335;top:859;width:2339;height:539;mso-wrap-style:square;v-text-anchor:top" type="_x0000_t202">
                  <v:textbox>
                    <w:txbxContent>
                      <w:p>
                        <w:pPr>
                          <w:overflowPunct w:val="false"/>
                          <w:bidi w:val="0"/>
                          <w:jc w:val="center"/>
                          <w:rPr/>
                        </w:pPr>
                        <w:r>
                          <w:rPr>
                            <w:kern w:val="2"/>
                            <w:sz w:val="24"/>
                            <w:szCs w:val="24"/>
                            <w:rFonts w:ascii=".VnTime" w:hAnsi=".VnTime" w:eastAsia="Times New Roman" w:cs=".VnTime"/>
                            <w:color w:val="0000FF"/>
                            <w:lang w:val="en-US" w:bidi="ar-SA"/>
                          </w:rPr>
                          <w:t>H</w:t>
                        </w:r>
                        <w:r>
                          <w:rPr>
                            <w:kern w:val="2"/>
                            <w:sz w:val="24"/>
                            <w:szCs w:val="24"/>
                            <w:vertAlign w:val="subscript"/>
                            <w:rFonts w:ascii=".VnTime" w:hAnsi=".VnTime" w:eastAsia="Times New Roman" w:cs=".VnTime"/>
                            <w:color w:val="0000FF"/>
                            <w:lang w:val="en-US" w:bidi="ar-SA"/>
                          </w:rPr>
                          <w:t>k</w:t>
                        </w:r>
                      </w:p>
                    </w:txbxContent>
                  </v:textbox>
                  <v:fill o:detectmouseclick="t" type="solid" color2="black"/>
                  <v:stroke color="#3465a4" joinstyle="round" endcap="flat"/>
                  <w10:wrap type="none"/>
                </v:shape>
                <v:line id="shape_0" from="4500,799" to="6659,799" stroked="t" o:allowincell="f" style="position:absolute">
                  <v:stroke color="black" weight="9360" joinstyle="miter" endcap="flat"/>
                  <v:fill o:detectmouseclick="t" on="false"/>
                  <w10:wrap type="none"/>
                </v:line>
              </v:group>
            </w:pict>
          </mc:Fallback>
        </mc:AlternateContent>
      </w:r>
    </w:p>
    <w:p>
      <w:pPr>
        <w:pStyle w:val="TextBody"/>
        <w:spacing w:lineRule="auto" w:line="300" w:before="120" w:after="0"/>
        <w:ind w:firstLine="720"/>
        <w:rPr>
          <w:rFonts w:ascii="Times New Roman" w:hAnsi="Times New Roman" w:cs="Times New Roman"/>
          <w:color w:val="0000FF"/>
          <w:sz w:val="24"/>
          <w:szCs w:val="24"/>
        </w:rPr>
      </w:pPr>
      <w:r>
        <w:rPr>
          <w:rFonts w:cs="Times New Roman" w:ascii="Times New Roman" w:hAnsi="Times New Roman"/>
          <w:color w:val="0000FF"/>
          <w:sz w:val="24"/>
          <w:szCs w:val="24"/>
        </w:rPr>
      </w:r>
    </w:p>
    <w:p>
      <w:pPr>
        <w:pStyle w:val="TextBody"/>
        <w:spacing w:lineRule="auto" w:line="288" w:before="240" w:after="0"/>
        <w:ind w:firstLine="720"/>
        <w:rPr>
          <w:rFonts w:ascii="Times New Roman" w:hAnsi="Times New Roman" w:cs="Times New Roman"/>
          <w:b/>
          <w:b/>
          <w:bCs/>
          <w:color w:val="0000FF"/>
          <w:sz w:val="24"/>
          <w:szCs w:val="24"/>
        </w:rPr>
      </w:pPr>
      <w:r>
        <w:rPr>
          <w:rFonts w:cs="Times New Roman" w:ascii="Times New Roman" w:hAnsi="Times New Roman"/>
          <w:b/>
          <w:bCs/>
          <w:color w:val="0000FF"/>
          <w:sz w:val="24"/>
          <w:szCs w:val="24"/>
        </w:rPr>
      </w:r>
    </w:p>
    <w:p>
      <w:pPr>
        <w:pStyle w:val="TextBody"/>
        <w:spacing w:lineRule="auto" w:line="288" w:before="240" w:after="0"/>
        <w:ind w:firstLine="720"/>
        <w:rPr/>
      </w:pPr>
      <w:r>
        <w:rPr>
          <w:rFonts w:cs="Times New Roman" w:ascii="Times New Roman" w:hAnsi="Times New Roman"/>
          <w:b/>
          <w:bCs/>
          <w:color w:val="0000FF"/>
          <w:sz w:val="24"/>
          <w:szCs w:val="24"/>
        </w:rPr>
        <w:t>Ví dụ 3:</w:t>
      </w:r>
      <w:r>
        <w:rPr>
          <w:rFonts w:cs="Times New Roman" w:ascii="Times New Roman" w:hAnsi="Times New Roman"/>
          <w:color w:val="0000FF"/>
          <w:sz w:val="24"/>
          <w:szCs w:val="24"/>
        </w:rPr>
        <w:t xml:space="preserve"> Trường hợp ông A ở Ví dụ 1 không thực hiện việc chuyển đổi theo quy định tại Điều 2 Thông tư này, thì:</w:t>
      </w:r>
    </w:p>
    <w:p>
      <w:pPr>
        <w:pStyle w:val="TextBody"/>
        <w:spacing w:lineRule="auto" w:line="288" w:before="120" w:after="0"/>
        <w:ind w:firstLine="720"/>
        <w:rPr>
          <w:rFonts w:ascii="Times New Roman" w:hAnsi="Times New Roman" w:cs="Times New Roman"/>
          <w:color w:val="0000FF"/>
          <w:sz w:val="24"/>
          <w:szCs w:val="24"/>
        </w:rPr>
      </w:pPr>
      <w:r>
        <w:rPr>
          <w:rFonts w:cs="Times New Roman" w:ascii="Times New Roman" w:hAnsi="Times New Roman"/>
          <w:color w:val="0000FF"/>
          <w:sz w:val="24"/>
          <w:szCs w:val="24"/>
        </w:rPr>
        <w:t>a) Thời gian đóng bảo hiểm xã hội tự nguyện được tính bằng thời gian tham gia bảo hiểm xã hội nông dân Nghệ An là 48 tháng.</w:t>
      </w:r>
    </w:p>
    <w:p>
      <w:pPr>
        <w:pStyle w:val="TextBody"/>
        <w:spacing w:lineRule="auto" w:line="288" w:before="120" w:after="120"/>
        <w:ind w:firstLine="720"/>
        <w:rPr>
          <w:rFonts w:ascii="Times New Roman" w:hAnsi="Times New Roman" w:cs="Times New Roman"/>
          <w:color w:val="0000FF"/>
          <w:sz w:val="24"/>
          <w:szCs w:val="24"/>
        </w:rPr>
      </w:pPr>
      <w:r>
        <w:rPr>
          <w:rFonts w:cs="Times New Roman" w:ascii="Times New Roman" w:hAnsi="Times New Roman"/>
          <w:color w:val="0000FF"/>
          <w:sz w:val="24"/>
          <w:szCs w:val="24"/>
        </w:rPr>
        <w:t>b) Mức thu nhập tháng đóng bảo hiểm xã hội tự nguyện của ông A được tính như sau:</w:t>
      </w:r>
    </w:p>
    <w:tbl>
      <w:tblPr>
        <w:tblW w:w="8563" w:type="dxa"/>
        <w:jc w:val="center"/>
        <w:tblInd w:w="0" w:type="dxa"/>
        <w:tblLayout w:type="fixed"/>
        <w:tblCellMar>
          <w:top w:w="0" w:type="dxa"/>
          <w:left w:w="108" w:type="dxa"/>
          <w:bottom w:w="0" w:type="dxa"/>
          <w:right w:w="108" w:type="dxa"/>
        </w:tblCellMar>
      </w:tblPr>
      <w:tblGrid>
        <w:gridCol w:w="864"/>
        <w:gridCol w:w="1825"/>
        <w:gridCol w:w="1426"/>
        <w:gridCol w:w="1336"/>
        <w:gridCol w:w="3112"/>
      </w:tblGrid>
      <w:tr>
        <w:trPr/>
        <w:tc>
          <w:tcPr>
            <w:tcW w:w="864"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jc w:val="center"/>
              <w:rPr>
                <w:b/>
                <w:b/>
                <w:bCs/>
                <w:color w:val="0000FF"/>
                <w:sz w:val="24"/>
                <w:szCs w:val="24"/>
              </w:rPr>
            </w:pPr>
            <w:r>
              <w:rPr>
                <w:b/>
                <w:bCs/>
                <w:color w:val="0000FF"/>
                <w:sz w:val="24"/>
                <w:szCs w:val="24"/>
              </w:rPr>
              <w:t>Năm</w:t>
            </w:r>
          </w:p>
        </w:tc>
        <w:tc>
          <w:tcPr>
            <w:tcW w:w="1825"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jc w:val="center"/>
              <w:rPr>
                <w:b/>
                <w:b/>
                <w:bCs/>
                <w:color w:val="0000FF"/>
                <w:sz w:val="24"/>
                <w:szCs w:val="24"/>
              </w:rPr>
            </w:pPr>
            <w:r>
              <w:rPr>
                <w:b/>
                <w:bCs/>
                <w:color w:val="0000FF"/>
                <w:sz w:val="24"/>
                <w:szCs w:val="24"/>
              </w:rPr>
              <w:t xml:space="preserve">Số tiền đóng hàng tháng </w:t>
            </w:r>
            <w:r>
              <w:rPr>
                <w:i/>
                <w:iCs/>
                <w:color w:val="0000FF"/>
                <w:sz w:val="24"/>
                <w:szCs w:val="24"/>
              </w:rPr>
              <w:t>(đồng/tháng)</w:t>
            </w:r>
          </w:p>
        </w:tc>
        <w:tc>
          <w:tcPr>
            <w:tcW w:w="1426"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jc w:val="center"/>
              <w:rPr>
                <w:b/>
                <w:b/>
                <w:bCs/>
                <w:color w:val="0000FF"/>
                <w:sz w:val="24"/>
                <w:szCs w:val="24"/>
              </w:rPr>
            </w:pPr>
            <w:r>
              <w:rPr>
                <w:b/>
                <w:bCs/>
                <w:color w:val="0000FF"/>
                <w:sz w:val="24"/>
                <w:szCs w:val="24"/>
              </w:rPr>
              <w:t>Số tháng đóng</w:t>
            </w:r>
          </w:p>
          <w:p>
            <w:pPr>
              <w:pStyle w:val="Normal"/>
              <w:spacing w:before="60" w:after="0"/>
              <w:jc w:val="center"/>
              <w:rPr>
                <w:b/>
                <w:b/>
                <w:bCs/>
                <w:color w:val="0000FF"/>
                <w:sz w:val="24"/>
                <w:szCs w:val="24"/>
              </w:rPr>
            </w:pPr>
            <w:r>
              <w:rPr>
                <w:i/>
                <w:iCs/>
                <w:color w:val="0000FF"/>
                <w:sz w:val="24"/>
                <w:szCs w:val="24"/>
              </w:rPr>
              <w:t>(tháng)</w:t>
            </w:r>
          </w:p>
        </w:tc>
        <w:tc>
          <w:tcPr>
            <w:tcW w:w="1336"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b/>
                <w:b/>
                <w:bCs/>
                <w:color w:val="0000FF"/>
                <w:sz w:val="24"/>
                <w:szCs w:val="24"/>
              </w:rPr>
            </w:pPr>
            <w:r>
              <w:rPr>
                <w:b/>
                <w:bCs/>
                <w:color w:val="0000FF"/>
                <w:sz w:val="24"/>
                <w:szCs w:val="24"/>
              </w:rPr>
              <w:t>Tỷ lệ</w:t>
            </w:r>
          </w:p>
          <w:p>
            <w:pPr>
              <w:pStyle w:val="Normal"/>
              <w:spacing w:before="60" w:after="0"/>
              <w:jc w:val="center"/>
              <w:rPr>
                <w:b/>
                <w:b/>
                <w:bCs/>
                <w:color w:val="0000FF"/>
                <w:sz w:val="24"/>
                <w:szCs w:val="24"/>
              </w:rPr>
            </w:pPr>
            <w:r>
              <w:rPr>
                <w:b/>
                <w:bCs/>
                <w:color w:val="0000FF"/>
                <w:sz w:val="24"/>
                <w:szCs w:val="24"/>
              </w:rPr>
              <w:t>đóng</w:t>
            </w:r>
          </w:p>
        </w:tc>
        <w:tc>
          <w:tcPr>
            <w:tcW w:w="3112" w:type="dxa"/>
            <w:tcBorders>
              <w:top w:val="single" w:sz="4" w:space="0" w:color="000000"/>
              <w:left w:val="single" w:sz="4" w:space="0" w:color="000000"/>
              <w:bottom w:val="single" w:sz="4" w:space="0" w:color="000000"/>
              <w:right w:val="single" w:sz="4" w:space="0" w:color="000000"/>
            </w:tcBorders>
          </w:tcPr>
          <w:p>
            <w:pPr>
              <w:pStyle w:val="Normal"/>
              <w:spacing w:before="60" w:after="0"/>
              <w:jc w:val="center"/>
              <w:rPr>
                <w:b/>
                <w:b/>
                <w:bCs/>
                <w:color w:val="0000FF"/>
                <w:sz w:val="24"/>
                <w:szCs w:val="24"/>
              </w:rPr>
            </w:pPr>
            <w:r>
              <w:rPr>
                <w:b/>
                <w:bCs/>
                <w:color w:val="0000FF"/>
                <w:sz w:val="24"/>
                <w:szCs w:val="24"/>
              </w:rPr>
              <w:t xml:space="preserve">Mức thu nhập tháng đóng BHXH tự nguyện </w:t>
            </w:r>
            <w:r>
              <w:rPr>
                <w:i/>
                <w:iCs/>
                <w:color w:val="0000FF"/>
                <w:sz w:val="24"/>
                <w:szCs w:val="24"/>
              </w:rPr>
              <w:t>(đồng/tháng)</w:t>
            </w:r>
          </w:p>
        </w:tc>
      </w:tr>
      <w:tr>
        <w:trPr/>
        <w:tc>
          <w:tcPr>
            <w:tcW w:w="864"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jc w:val="center"/>
              <w:rPr>
                <w:b/>
                <w:b/>
                <w:i/>
                <w:i/>
                <w:color w:val="0000FF"/>
                <w:sz w:val="24"/>
                <w:szCs w:val="24"/>
              </w:rPr>
            </w:pPr>
            <w:r>
              <w:rPr>
                <w:b/>
                <w:i/>
                <w:color w:val="0000FF"/>
                <w:sz w:val="24"/>
                <w:szCs w:val="24"/>
              </w:rPr>
              <w:t>(1)</w:t>
            </w:r>
          </w:p>
        </w:tc>
        <w:tc>
          <w:tcPr>
            <w:tcW w:w="1825"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jc w:val="center"/>
              <w:rPr>
                <w:b/>
                <w:b/>
                <w:i/>
                <w:i/>
                <w:color w:val="0000FF"/>
                <w:sz w:val="24"/>
                <w:szCs w:val="24"/>
              </w:rPr>
            </w:pPr>
            <w:r>
              <w:rPr>
                <w:b/>
                <w:i/>
                <w:color w:val="0000FF"/>
                <w:sz w:val="24"/>
                <w:szCs w:val="24"/>
              </w:rPr>
              <w:t>(2)</w:t>
            </w:r>
          </w:p>
        </w:tc>
        <w:tc>
          <w:tcPr>
            <w:tcW w:w="1426"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jc w:val="center"/>
              <w:rPr>
                <w:b/>
                <w:b/>
                <w:i/>
                <w:i/>
                <w:color w:val="0000FF"/>
                <w:sz w:val="24"/>
                <w:szCs w:val="24"/>
              </w:rPr>
            </w:pPr>
            <w:r>
              <w:rPr>
                <w:b/>
                <w:i/>
                <w:color w:val="0000FF"/>
                <w:sz w:val="24"/>
                <w:szCs w:val="24"/>
              </w:rPr>
              <w:t>(3)</w:t>
            </w:r>
          </w:p>
        </w:tc>
        <w:tc>
          <w:tcPr>
            <w:tcW w:w="1336"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jc w:val="center"/>
              <w:rPr>
                <w:b/>
                <w:b/>
                <w:i/>
                <w:i/>
                <w:color w:val="0000FF"/>
                <w:sz w:val="24"/>
                <w:szCs w:val="24"/>
              </w:rPr>
            </w:pPr>
            <w:r>
              <w:rPr>
                <w:b/>
                <w:i/>
                <w:color w:val="0000FF"/>
                <w:sz w:val="24"/>
                <w:szCs w:val="24"/>
              </w:rPr>
              <w:t>(4)</w:t>
            </w:r>
          </w:p>
        </w:tc>
        <w:tc>
          <w:tcPr>
            <w:tcW w:w="3112" w:type="dxa"/>
            <w:tcBorders>
              <w:top w:val="single" w:sz="4" w:space="0" w:color="000000"/>
              <w:left w:val="single" w:sz="4" w:space="0" w:color="000000"/>
              <w:bottom w:val="single" w:sz="4" w:space="0" w:color="000000"/>
              <w:right w:val="single" w:sz="4" w:space="0" w:color="000000"/>
            </w:tcBorders>
            <w:vAlign w:val="center"/>
          </w:tcPr>
          <w:p>
            <w:pPr>
              <w:pStyle w:val="Normal"/>
              <w:spacing w:before="60" w:after="0"/>
              <w:jc w:val="center"/>
              <w:rPr>
                <w:b/>
                <w:b/>
                <w:i/>
                <w:i/>
                <w:color w:val="0000FF"/>
                <w:sz w:val="24"/>
                <w:szCs w:val="24"/>
              </w:rPr>
            </w:pPr>
            <w:r>
              <w:rPr>
                <w:b/>
                <w:i/>
                <w:color w:val="0000FF"/>
                <w:sz w:val="24"/>
                <w:szCs w:val="24"/>
              </w:rPr>
              <w:t>(5)=(2)/(4)</w:t>
            </w:r>
          </w:p>
        </w:tc>
      </w:tr>
      <w:tr>
        <w:trPr/>
        <w:tc>
          <w:tcPr>
            <w:tcW w:w="864" w:type="dxa"/>
            <w:tcBorders>
              <w:top w:val="single" w:sz="4" w:space="0" w:color="000000"/>
              <w:left w:val="single" w:sz="4" w:space="0" w:color="000000"/>
              <w:bottom w:val="single" w:sz="4" w:space="0" w:color="000000"/>
              <w:right w:val="single" w:sz="4" w:space="0" w:color="000000"/>
            </w:tcBorders>
          </w:tcPr>
          <w:p>
            <w:pPr>
              <w:pStyle w:val="Normal"/>
              <w:spacing w:lineRule="exact" w:line="360" w:before="60" w:after="60"/>
              <w:jc w:val="center"/>
              <w:rPr>
                <w:color w:val="0000FF"/>
                <w:sz w:val="24"/>
                <w:szCs w:val="24"/>
              </w:rPr>
            </w:pPr>
            <w:r>
              <w:rPr>
                <w:color w:val="0000FF"/>
                <w:sz w:val="24"/>
                <w:szCs w:val="24"/>
              </w:rPr>
              <w:t>2003</w:t>
            </w:r>
          </w:p>
        </w:tc>
        <w:tc>
          <w:tcPr>
            <w:tcW w:w="1825" w:type="dxa"/>
            <w:tcBorders>
              <w:top w:val="single" w:sz="4" w:space="0" w:color="000000"/>
              <w:left w:val="single" w:sz="4" w:space="0" w:color="000000"/>
              <w:bottom w:val="single" w:sz="4" w:space="0" w:color="000000"/>
              <w:right w:val="single" w:sz="4" w:space="0" w:color="000000"/>
            </w:tcBorders>
          </w:tcPr>
          <w:p>
            <w:pPr>
              <w:pStyle w:val="Normal"/>
              <w:spacing w:lineRule="exact" w:line="360" w:before="60" w:after="60"/>
              <w:jc w:val="center"/>
              <w:rPr>
                <w:color w:val="0000FF"/>
                <w:sz w:val="24"/>
                <w:szCs w:val="24"/>
              </w:rPr>
            </w:pPr>
            <w:r>
              <w:rPr>
                <w:color w:val="0000FF"/>
                <w:sz w:val="24"/>
                <w:szCs w:val="24"/>
              </w:rPr>
              <w:t>20.000</w:t>
            </w:r>
          </w:p>
        </w:tc>
        <w:tc>
          <w:tcPr>
            <w:tcW w:w="1426" w:type="dxa"/>
            <w:tcBorders>
              <w:top w:val="single" w:sz="4" w:space="0" w:color="000000"/>
              <w:left w:val="single" w:sz="4" w:space="0" w:color="000000"/>
              <w:bottom w:val="single" w:sz="4" w:space="0" w:color="000000"/>
              <w:right w:val="single" w:sz="4" w:space="0" w:color="000000"/>
            </w:tcBorders>
          </w:tcPr>
          <w:p>
            <w:pPr>
              <w:pStyle w:val="Normal"/>
              <w:spacing w:lineRule="exact" w:line="360" w:before="60" w:after="60"/>
              <w:jc w:val="center"/>
              <w:rPr>
                <w:color w:val="0000FF"/>
                <w:sz w:val="24"/>
                <w:szCs w:val="24"/>
              </w:rPr>
            </w:pPr>
            <w:r>
              <w:rPr>
                <w:color w:val="0000FF"/>
                <w:sz w:val="24"/>
                <w:szCs w:val="24"/>
              </w:rPr>
              <w:t>12</w:t>
            </w:r>
          </w:p>
        </w:tc>
        <w:tc>
          <w:tcPr>
            <w:tcW w:w="1336" w:type="dxa"/>
            <w:tcBorders>
              <w:top w:val="single" w:sz="4" w:space="0" w:color="000000"/>
              <w:left w:val="single" w:sz="4" w:space="0" w:color="000000"/>
              <w:bottom w:val="single" w:sz="4" w:space="0" w:color="000000"/>
              <w:right w:val="single" w:sz="4" w:space="0" w:color="000000"/>
            </w:tcBorders>
          </w:tcPr>
          <w:p>
            <w:pPr>
              <w:pStyle w:val="Normal"/>
              <w:spacing w:lineRule="exact" w:line="360" w:before="60" w:after="60"/>
              <w:jc w:val="center"/>
              <w:rPr>
                <w:color w:val="0000FF"/>
                <w:sz w:val="24"/>
                <w:szCs w:val="24"/>
              </w:rPr>
            </w:pPr>
            <w:r>
              <w:rPr>
                <w:color w:val="0000FF"/>
                <w:sz w:val="24"/>
                <w:szCs w:val="24"/>
              </w:rPr>
              <w:t>15%</w:t>
            </w:r>
          </w:p>
        </w:tc>
        <w:tc>
          <w:tcPr>
            <w:tcW w:w="3112" w:type="dxa"/>
            <w:tcBorders>
              <w:top w:val="single" w:sz="4" w:space="0" w:color="000000"/>
              <w:left w:val="single" w:sz="4" w:space="0" w:color="000000"/>
              <w:bottom w:val="single" w:sz="4" w:space="0" w:color="000000"/>
              <w:right w:val="single" w:sz="4" w:space="0" w:color="000000"/>
            </w:tcBorders>
          </w:tcPr>
          <w:p>
            <w:pPr>
              <w:pStyle w:val="Normal"/>
              <w:spacing w:lineRule="exact" w:line="360" w:before="60" w:after="60"/>
              <w:jc w:val="center"/>
              <w:rPr>
                <w:color w:val="0000FF"/>
                <w:sz w:val="24"/>
                <w:szCs w:val="24"/>
              </w:rPr>
            </w:pPr>
            <w:r>
              <w:rPr>
                <w:color w:val="0000FF"/>
                <w:sz w:val="24"/>
                <w:szCs w:val="24"/>
              </w:rPr>
              <w:t>133.333</w:t>
            </w:r>
          </w:p>
        </w:tc>
      </w:tr>
      <w:tr>
        <w:trPr/>
        <w:tc>
          <w:tcPr>
            <w:tcW w:w="864" w:type="dxa"/>
            <w:tcBorders>
              <w:top w:val="single" w:sz="4" w:space="0" w:color="000000"/>
              <w:left w:val="single" w:sz="4" w:space="0" w:color="000000"/>
              <w:bottom w:val="single" w:sz="4" w:space="0" w:color="000000"/>
              <w:right w:val="single" w:sz="4" w:space="0" w:color="000000"/>
            </w:tcBorders>
          </w:tcPr>
          <w:p>
            <w:pPr>
              <w:pStyle w:val="Normal"/>
              <w:spacing w:lineRule="exact" w:line="360" w:before="60" w:after="60"/>
              <w:jc w:val="center"/>
              <w:rPr>
                <w:color w:val="0000FF"/>
                <w:sz w:val="24"/>
                <w:szCs w:val="24"/>
              </w:rPr>
            </w:pPr>
            <w:r>
              <w:rPr>
                <w:color w:val="0000FF"/>
                <w:sz w:val="24"/>
                <w:szCs w:val="24"/>
              </w:rPr>
              <w:t>2004</w:t>
            </w:r>
          </w:p>
        </w:tc>
        <w:tc>
          <w:tcPr>
            <w:tcW w:w="1825" w:type="dxa"/>
            <w:tcBorders>
              <w:top w:val="single" w:sz="4" w:space="0" w:color="000000"/>
              <w:left w:val="single" w:sz="4" w:space="0" w:color="000000"/>
              <w:bottom w:val="single" w:sz="4" w:space="0" w:color="000000"/>
              <w:right w:val="single" w:sz="4" w:space="0" w:color="000000"/>
            </w:tcBorders>
          </w:tcPr>
          <w:p>
            <w:pPr>
              <w:pStyle w:val="Normal"/>
              <w:spacing w:lineRule="exact" w:line="360" w:before="60" w:after="60"/>
              <w:jc w:val="center"/>
              <w:rPr>
                <w:color w:val="0000FF"/>
                <w:sz w:val="24"/>
                <w:szCs w:val="24"/>
              </w:rPr>
            </w:pPr>
            <w:r>
              <w:rPr>
                <w:color w:val="0000FF"/>
                <w:sz w:val="24"/>
                <w:szCs w:val="24"/>
              </w:rPr>
              <w:t>30.000</w:t>
            </w:r>
          </w:p>
        </w:tc>
        <w:tc>
          <w:tcPr>
            <w:tcW w:w="1426" w:type="dxa"/>
            <w:tcBorders>
              <w:top w:val="single" w:sz="4" w:space="0" w:color="000000"/>
              <w:left w:val="single" w:sz="4" w:space="0" w:color="000000"/>
              <w:bottom w:val="single" w:sz="4" w:space="0" w:color="000000"/>
              <w:right w:val="single" w:sz="4" w:space="0" w:color="000000"/>
            </w:tcBorders>
          </w:tcPr>
          <w:p>
            <w:pPr>
              <w:pStyle w:val="Normal"/>
              <w:spacing w:lineRule="exact" w:line="360" w:before="60" w:after="60"/>
              <w:jc w:val="center"/>
              <w:rPr>
                <w:color w:val="0000FF"/>
                <w:sz w:val="24"/>
                <w:szCs w:val="24"/>
              </w:rPr>
            </w:pPr>
            <w:r>
              <w:rPr>
                <w:color w:val="0000FF"/>
                <w:sz w:val="24"/>
                <w:szCs w:val="24"/>
              </w:rPr>
              <w:t>12</w:t>
            </w:r>
          </w:p>
        </w:tc>
        <w:tc>
          <w:tcPr>
            <w:tcW w:w="1336" w:type="dxa"/>
            <w:tcBorders>
              <w:top w:val="single" w:sz="4" w:space="0" w:color="000000"/>
              <w:left w:val="single" w:sz="4" w:space="0" w:color="000000"/>
              <w:bottom w:val="single" w:sz="4" w:space="0" w:color="000000"/>
              <w:right w:val="single" w:sz="4" w:space="0" w:color="000000"/>
            </w:tcBorders>
          </w:tcPr>
          <w:p>
            <w:pPr>
              <w:pStyle w:val="Normal"/>
              <w:spacing w:lineRule="exact" w:line="360" w:before="60" w:after="60"/>
              <w:jc w:val="center"/>
              <w:rPr>
                <w:color w:val="0000FF"/>
                <w:sz w:val="24"/>
                <w:szCs w:val="24"/>
              </w:rPr>
            </w:pPr>
            <w:r>
              <w:rPr>
                <w:color w:val="0000FF"/>
                <w:sz w:val="24"/>
                <w:szCs w:val="24"/>
              </w:rPr>
              <w:t>15%</w:t>
            </w:r>
          </w:p>
        </w:tc>
        <w:tc>
          <w:tcPr>
            <w:tcW w:w="3112" w:type="dxa"/>
            <w:tcBorders>
              <w:top w:val="single" w:sz="4" w:space="0" w:color="000000"/>
              <w:left w:val="single" w:sz="4" w:space="0" w:color="000000"/>
              <w:bottom w:val="single" w:sz="4" w:space="0" w:color="000000"/>
              <w:right w:val="single" w:sz="4" w:space="0" w:color="000000"/>
            </w:tcBorders>
          </w:tcPr>
          <w:p>
            <w:pPr>
              <w:pStyle w:val="Normal"/>
              <w:spacing w:lineRule="exact" w:line="360" w:before="60" w:after="60"/>
              <w:jc w:val="center"/>
              <w:rPr>
                <w:color w:val="0000FF"/>
                <w:sz w:val="24"/>
                <w:szCs w:val="24"/>
              </w:rPr>
            </w:pPr>
            <w:r>
              <w:rPr>
                <w:color w:val="0000FF"/>
                <w:sz w:val="24"/>
                <w:szCs w:val="24"/>
              </w:rPr>
              <w:t>200.000</w:t>
            </w:r>
          </w:p>
        </w:tc>
      </w:tr>
      <w:tr>
        <w:trPr/>
        <w:tc>
          <w:tcPr>
            <w:tcW w:w="864" w:type="dxa"/>
            <w:tcBorders>
              <w:top w:val="single" w:sz="4" w:space="0" w:color="000000"/>
              <w:left w:val="single" w:sz="4" w:space="0" w:color="000000"/>
              <w:bottom w:val="single" w:sz="4" w:space="0" w:color="000000"/>
              <w:right w:val="single" w:sz="4" w:space="0" w:color="000000"/>
            </w:tcBorders>
          </w:tcPr>
          <w:p>
            <w:pPr>
              <w:pStyle w:val="Normal"/>
              <w:spacing w:lineRule="exact" w:line="360" w:before="60" w:after="60"/>
              <w:jc w:val="center"/>
              <w:rPr>
                <w:color w:val="0000FF"/>
                <w:sz w:val="24"/>
                <w:szCs w:val="24"/>
              </w:rPr>
            </w:pPr>
            <w:r>
              <w:rPr>
                <w:color w:val="0000FF"/>
                <w:sz w:val="24"/>
                <w:szCs w:val="24"/>
              </w:rPr>
              <w:t>2005</w:t>
            </w:r>
          </w:p>
        </w:tc>
        <w:tc>
          <w:tcPr>
            <w:tcW w:w="1825" w:type="dxa"/>
            <w:tcBorders>
              <w:top w:val="single" w:sz="4" w:space="0" w:color="000000"/>
              <w:left w:val="single" w:sz="4" w:space="0" w:color="000000"/>
              <w:bottom w:val="single" w:sz="4" w:space="0" w:color="000000"/>
              <w:right w:val="single" w:sz="4" w:space="0" w:color="000000"/>
            </w:tcBorders>
          </w:tcPr>
          <w:p>
            <w:pPr>
              <w:pStyle w:val="Normal"/>
              <w:spacing w:lineRule="exact" w:line="360" w:before="60" w:after="60"/>
              <w:jc w:val="center"/>
              <w:rPr>
                <w:color w:val="0000FF"/>
                <w:sz w:val="24"/>
                <w:szCs w:val="24"/>
              </w:rPr>
            </w:pPr>
            <w:r>
              <w:rPr>
                <w:color w:val="0000FF"/>
                <w:sz w:val="24"/>
                <w:szCs w:val="24"/>
              </w:rPr>
              <w:t>40.000</w:t>
            </w:r>
          </w:p>
        </w:tc>
        <w:tc>
          <w:tcPr>
            <w:tcW w:w="1426" w:type="dxa"/>
            <w:tcBorders>
              <w:top w:val="single" w:sz="4" w:space="0" w:color="000000"/>
              <w:left w:val="single" w:sz="4" w:space="0" w:color="000000"/>
              <w:bottom w:val="single" w:sz="4" w:space="0" w:color="000000"/>
              <w:right w:val="single" w:sz="4" w:space="0" w:color="000000"/>
            </w:tcBorders>
          </w:tcPr>
          <w:p>
            <w:pPr>
              <w:pStyle w:val="Normal"/>
              <w:spacing w:lineRule="exact" w:line="360" w:before="60" w:after="60"/>
              <w:jc w:val="center"/>
              <w:rPr>
                <w:color w:val="0000FF"/>
                <w:sz w:val="24"/>
                <w:szCs w:val="24"/>
              </w:rPr>
            </w:pPr>
            <w:r>
              <w:rPr>
                <w:color w:val="0000FF"/>
                <w:sz w:val="24"/>
                <w:szCs w:val="24"/>
              </w:rPr>
              <w:t>6</w:t>
            </w:r>
          </w:p>
        </w:tc>
        <w:tc>
          <w:tcPr>
            <w:tcW w:w="1336" w:type="dxa"/>
            <w:tcBorders>
              <w:top w:val="single" w:sz="4" w:space="0" w:color="000000"/>
              <w:left w:val="single" w:sz="4" w:space="0" w:color="000000"/>
              <w:bottom w:val="single" w:sz="4" w:space="0" w:color="000000"/>
              <w:right w:val="single" w:sz="4" w:space="0" w:color="000000"/>
            </w:tcBorders>
          </w:tcPr>
          <w:p>
            <w:pPr>
              <w:pStyle w:val="Normal"/>
              <w:spacing w:lineRule="exact" w:line="360" w:before="60" w:after="60"/>
              <w:jc w:val="center"/>
              <w:rPr>
                <w:color w:val="0000FF"/>
                <w:sz w:val="24"/>
                <w:szCs w:val="24"/>
              </w:rPr>
            </w:pPr>
            <w:r>
              <w:rPr>
                <w:color w:val="0000FF"/>
                <w:sz w:val="24"/>
                <w:szCs w:val="24"/>
              </w:rPr>
              <w:t>15%</w:t>
            </w:r>
          </w:p>
        </w:tc>
        <w:tc>
          <w:tcPr>
            <w:tcW w:w="3112" w:type="dxa"/>
            <w:tcBorders>
              <w:top w:val="single" w:sz="4" w:space="0" w:color="000000"/>
              <w:left w:val="single" w:sz="4" w:space="0" w:color="000000"/>
              <w:bottom w:val="single" w:sz="4" w:space="0" w:color="000000"/>
              <w:right w:val="single" w:sz="4" w:space="0" w:color="000000"/>
            </w:tcBorders>
          </w:tcPr>
          <w:p>
            <w:pPr>
              <w:pStyle w:val="Normal"/>
              <w:spacing w:lineRule="exact" w:line="360" w:before="60" w:after="60"/>
              <w:jc w:val="center"/>
              <w:rPr>
                <w:color w:val="0000FF"/>
                <w:sz w:val="24"/>
                <w:szCs w:val="24"/>
              </w:rPr>
            </w:pPr>
            <w:r>
              <w:rPr>
                <w:color w:val="0000FF"/>
                <w:sz w:val="24"/>
                <w:szCs w:val="24"/>
              </w:rPr>
              <w:t>266.667</w:t>
            </w:r>
          </w:p>
        </w:tc>
      </w:tr>
      <w:tr>
        <w:trPr/>
        <w:tc>
          <w:tcPr>
            <w:tcW w:w="864" w:type="dxa"/>
            <w:tcBorders>
              <w:top w:val="single" w:sz="4" w:space="0" w:color="000000"/>
              <w:left w:val="single" w:sz="4" w:space="0" w:color="000000"/>
              <w:bottom w:val="single" w:sz="4" w:space="0" w:color="000000"/>
              <w:right w:val="single" w:sz="4" w:space="0" w:color="000000"/>
            </w:tcBorders>
          </w:tcPr>
          <w:p>
            <w:pPr>
              <w:pStyle w:val="Normal"/>
              <w:spacing w:lineRule="exact" w:line="360" w:before="60" w:after="60"/>
              <w:jc w:val="center"/>
              <w:rPr>
                <w:color w:val="0000FF"/>
                <w:sz w:val="24"/>
                <w:szCs w:val="24"/>
              </w:rPr>
            </w:pPr>
            <w:r>
              <w:rPr>
                <w:color w:val="0000FF"/>
                <w:sz w:val="24"/>
                <w:szCs w:val="24"/>
              </w:rPr>
              <w:t>2005</w:t>
            </w:r>
          </w:p>
        </w:tc>
        <w:tc>
          <w:tcPr>
            <w:tcW w:w="1825" w:type="dxa"/>
            <w:tcBorders>
              <w:top w:val="single" w:sz="4" w:space="0" w:color="000000"/>
              <w:left w:val="single" w:sz="4" w:space="0" w:color="000000"/>
              <w:bottom w:val="single" w:sz="4" w:space="0" w:color="000000"/>
              <w:right w:val="single" w:sz="4" w:space="0" w:color="000000"/>
            </w:tcBorders>
          </w:tcPr>
          <w:p>
            <w:pPr>
              <w:pStyle w:val="Normal"/>
              <w:spacing w:lineRule="exact" w:line="360" w:before="60" w:after="60"/>
              <w:jc w:val="center"/>
              <w:rPr>
                <w:color w:val="0000FF"/>
                <w:sz w:val="24"/>
                <w:szCs w:val="24"/>
              </w:rPr>
            </w:pPr>
            <w:r>
              <w:rPr>
                <w:color w:val="0000FF"/>
                <w:sz w:val="24"/>
                <w:szCs w:val="24"/>
              </w:rPr>
              <w:t>80.000</w:t>
            </w:r>
          </w:p>
        </w:tc>
        <w:tc>
          <w:tcPr>
            <w:tcW w:w="1426" w:type="dxa"/>
            <w:tcBorders>
              <w:top w:val="single" w:sz="4" w:space="0" w:color="000000"/>
              <w:left w:val="single" w:sz="4" w:space="0" w:color="000000"/>
              <w:bottom w:val="single" w:sz="4" w:space="0" w:color="000000"/>
              <w:right w:val="single" w:sz="4" w:space="0" w:color="000000"/>
            </w:tcBorders>
          </w:tcPr>
          <w:p>
            <w:pPr>
              <w:pStyle w:val="Normal"/>
              <w:spacing w:lineRule="exact" w:line="360" w:before="60" w:after="60"/>
              <w:jc w:val="center"/>
              <w:rPr>
                <w:color w:val="0000FF"/>
                <w:sz w:val="24"/>
                <w:szCs w:val="24"/>
              </w:rPr>
            </w:pPr>
            <w:r>
              <w:rPr>
                <w:color w:val="0000FF"/>
                <w:sz w:val="24"/>
                <w:szCs w:val="24"/>
              </w:rPr>
              <w:t>6</w:t>
            </w:r>
          </w:p>
        </w:tc>
        <w:tc>
          <w:tcPr>
            <w:tcW w:w="1336" w:type="dxa"/>
            <w:tcBorders>
              <w:top w:val="single" w:sz="4" w:space="0" w:color="000000"/>
              <w:left w:val="single" w:sz="4" w:space="0" w:color="000000"/>
              <w:bottom w:val="single" w:sz="4" w:space="0" w:color="000000"/>
              <w:right w:val="single" w:sz="4" w:space="0" w:color="000000"/>
            </w:tcBorders>
          </w:tcPr>
          <w:p>
            <w:pPr>
              <w:pStyle w:val="Normal"/>
              <w:spacing w:lineRule="exact" w:line="360" w:before="60" w:after="60"/>
              <w:jc w:val="center"/>
              <w:rPr>
                <w:color w:val="0000FF"/>
                <w:sz w:val="24"/>
                <w:szCs w:val="24"/>
              </w:rPr>
            </w:pPr>
            <w:r>
              <w:rPr>
                <w:color w:val="0000FF"/>
                <w:sz w:val="24"/>
                <w:szCs w:val="24"/>
              </w:rPr>
              <w:t>15%</w:t>
            </w:r>
          </w:p>
        </w:tc>
        <w:tc>
          <w:tcPr>
            <w:tcW w:w="3112" w:type="dxa"/>
            <w:tcBorders>
              <w:top w:val="single" w:sz="4" w:space="0" w:color="000000"/>
              <w:left w:val="single" w:sz="4" w:space="0" w:color="000000"/>
              <w:bottom w:val="single" w:sz="4" w:space="0" w:color="000000"/>
              <w:right w:val="single" w:sz="4" w:space="0" w:color="000000"/>
            </w:tcBorders>
          </w:tcPr>
          <w:p>
            <w:pPr>
              <w:pStyle w:val="Normal"/>
              <w:spacing w:lineRule="exact" w:line="360" w:before="60" w:after="60"/>
              <w:jc w:val="center"/>
              <w:rPr>
                <w:color w:val="0000FF"/>
                <w:sz w:val="24"/>
                <w:szCs w:val="24"/>
              </w:rPr>
            </w:pPr>
            <w:r>
              <w:rPr>
                <w:color w:val="0000FF"/>
                <w:sz w:val="24"/>
                <w:szCs w:val="24"/>
              </w:rPr>
              <w:t>533.333</w:t>
            </w:r>
          </w:p>
        </w:tc>
      </w:tr>
      <w:tr>
        <w:trPr/>
        <w:tc>
          <w:tcPr>
            <w:tcW w:w="864" w:type="dxa"/>
            <w:tcBorders>
              <w:top w:val="single" w:sz="4" w:space="0" w:color="000000"/>
              <w:left w:val="single" w:sz="4" w:space="0" w:color="000000"/>
              <w:bottom w:val="single" w:sz="4" w:space="0" w:color="000000"/>
              <w:right w:val="single" w:sz="4" w:space="0" w:color="000000"/>
            </w:tcBorders>
          </w:tcPr>
          <w:p>
            <w:pPr>
              <w:pStyle w:val="Normal"/>
              <w:spacing w:lineRule="exact" w:line="360" w:before="60" w:after="60"/>
              <w:jc w:val="center"/>
              <w:rPr>
                <w:color w:val="0000FF"/>
                <w:sz w:val="24"/>
                <w:szCs w:val="24"/>
              </w:rPr>
            </w:pPr>
            <w:r>
              <w:rPr>
                <w:color w:val="0000FF"/>
                <w:sz w:val="24"/>
                <w:szCs w:val="24"/>
              </w:rPr>
              <w:t>2006</w:t>
            </w:r>
          </w:p>
        </w:tc>
        <w:tc>
          <w:tcPr>
            <w:tcW w:w="1825" w:type="dxa"/>
            <w:tcBorders>
              <w:top w:val="single" w:sz="4" w:space="0" w:color="000000"/>
              <w:left w:val="single" w:sz="4" w:space="0" w:color="000000"/>
              <w:bottom w:val="single" w:sz="4" w:space="0" w:color="000000"/>
              <w:right w:val="single" w:sz="4" w:space="0" w:color="000000"/>
            </w:tcBorders>
          </w:tcPr>
          <w:p>
            <w:pPr>
              <w:pStyle w:val="Normal"/>
              <w:spacing w:lineRule="exact" w:line="360" w:before="60" w:after="60"/>
              <w:jc w:val="center"/>
              <w:rPr>
                <w:color w:val="0000FF"/>
                <w:sz w:val="24"/>
                <w:szCs w:val="24"/>
              </w:rPr>
            </w:pPr>
            <w:r>
              <w:rPr>
                <w:color w:val="0000FF"/>
                <w:sz w:val="24"/>
                <w:szCs w:val="24"/>
              </w:rPr>
              <w:t>80.000</w:t>
            </w:r>
          </w:p>
        </w:tc>
        <w:tc>
          <w:tcPr>
            <w:tcW w:w="1426" w:type="dxa"/>
            <w:tcBorders>
              <w:top w:val="single" w:sz="4" w:space="0" w:color="000000"/>
              <w:left w:val="single" w:sz="4" w:space="0" w:color="000000"/>
              <w:bottom w:val="single" w:sz="4" w:space="0" w:color="000000"/>
              <w:right w:val="single" w:sz="4" w:space="0" w:color="000000"/>
            </w:tcBorders>
          </w:tcPr>
          <w:p>
            <w:pPr>
              <w:pStyle w:val="Normal"/>
              <w:spacing w:lineRule="exact" w:line="360" w:before="60" w:after="60"/>
              <w:jc w:val="center"/>
              <w:rPr>
                <w:color w:val="0000FF"/>
                <w:sz w:val="24"/>
                <w:szCs w:val="24"/>
              </w:rPr>
            </w:pPr>
            <w:r>
              <w:rPr>
                <w:color w:val="0000FF"/>
                <w:sz w:val="24"/>
                <w:szCs w:val="24"/>
              </w:rPr>
              <w:t>12</w:t>
            </w:r>
          </w:p>
        </w:tc>
        <w:tc>
          <w:tcPr>
            <w:tcW w:w="1336" w:type="dxa"/>
            <w:tcBorders>
              <w:top w:val="single" w:sz="4" w:space="0" w:color="000000"/>
              <w:left w:val="single" w:sz="4" w:space="0" w:color="000000"/>
              <w:bottom w:val="single" w:sz="4" w:space="0" w:color="000000"/>
              <w:right w:val="single" w:sz="4" w:space="0" w:color="000000"/>
            </w:tcBorders>
          </w:tcPr>
          <w:p>
            <w:pPr>
              <w:pStyle w:val="Normal"/>
              <w:spacing w:lineRule="exact" w:line="360" w:before="60" w:after="60"/>
              <w:jc w:val="center"/>
              <w:rPr>
                <w:color w:val="0000FF"/>
                <w:sz w:val="24"/>
                <w:szCs w:val="24"/>
              </w:rPr>
            </w:pPr>
            <w:r>
              <w:rPr>
                <w:color w:val="0000FF"/>
                <w:sz w:val="24"/>
                <w:szCs w:val="24"/>
              </w:rPr>
              <w:t>15%</w:t>
            </w:r>
          </w:p>
        </w:tc>
        <w:tc>
          <w:tcPr>
            <w:tcW w:w="3112" w:type="dxa"/>
            <w:tcBorders>
              <w:top w:val="single" w:sz="4" w:space="0" w:color="000000"/>
              <w:left w:val="single" w:sz="4" w:space="0" w:color="000000"/>
              <w:bottom w:val="single" w:sz="4" w:space="0" w:color="000000"/>
              <w:right w:val="single" w:sz="4" w:space="0" w:color="000000"/>
            </w:tcBorders>
          </w:tcPr>
          <w:p>
            <w:pPr>
              <w:pStyle w:val="Normal"/>
              <w:spacing w:lineRule="exact" w:line="360" w:before="60" w:after="60"/>
              <w:jc w:val="center"/>
              <w:rPr>
                <w:color w:val="0000FF"/>
                <w:sz w:val="24"/>
                <w:szCs w:val="24"/>
              </w:rPr>
            </w:pPr>
            <w:r>
              <w:rPr>
                <w:color w:val="0000FF"/>
                <w:sz w:val="24"/>
                <w:szCs w:val="24"/>
              </w:rPr>
              <w:t>533.333</w:t>
            </w:r>
          </w:p>
        </w:tc>
      </w:tr>
    </w:tbl>
    <w:p>
      <w:pPr>
        <w:pStyle w:val="TextBody"/>
        <w:spacing w:lineRule="auto" w:line="288" w:before="120" w:after="0"/>
        <w:ind w:firstLine="720"/>
        <w:rPr>
          <w:rFonts w:ascii="Times New Roman" w:hAnsi="Times New Roman" w:cs="Times New Roman"/>
          <w:b/>
          <w:b/>
          <w:color w:val="0000FF"/>
          <w:sz w:val="24"/>
          <w:szCs w:val="24"/>
        </w:rPr>
      </w:pPr>
      <w:r>
        <w:rPr>
          <w:rFonts w:cs="Times New Roman" w:ascii="Times New Roman" w:hAnsi="Times New Roman"/>
          <w:b/>
          <w:color w:val="0000FF"/>
          <w:sz w:val="24"/>
          <w:szCs w:val="24"/>
        </w:rPr>
      </w:r>
    </w:p>
    <w:p>
      <w:pPr>
        <w:pStyle w:val="TextBody"/>
        <w:spacing w:lineRule="auto" w:line="288" w:before="120" w:after="0"/>
        <w:ind w:firstLine="720"/>
        <w:rPr/>
      </w:pPr>
      <w:r>
        <w:rPr>
          <w:rFonts w:cs="Times New Roman" w:ascii="Times New Roman" w:hAnsi="Times New Roman"/>
          <w:b/>
          <w:bCs/>
          <w:color w:val="0000FF"/>
          <w:sz w:val="24"/>
          <w:szCs w:val="24"/>
        </w:rPr>
        <w:t xml:space="preserve">Điều 4. </w:t>
      </w:r>
      <w:r>
        <w:rPr>
          <w:rFonts w:cs="Times New Roman" w:ascii="Times New Roman" w:hAnsi="Times New Roman"/>
          <w:color w:val="0000FF"/>
          <w:sz w:val="24"/>
          <w:szCs w:val="24"/>
        </w:rPr>
        <w:t>Mức thu nhập tháng đóng bảo hiểm xã hội tự nguyện</w:t>
      </w:r>
    </w:p>
    <w:p>
      <w:pPr>
        <w:pStyle w:val="TextBody"/>
        <w:spacing w:lineRule="auto" w:line="288" w:before="120" w:after="0"/>
        <w:ind w:firstLine="720"/>
        <w:rPr>
          <w:rFonts w:ascii="Times New Roman" w:hAnsi="Times New Roman" w:cs="Times New Roman"/>
          <w:color w:val="0000FF"/>
          <w:sz w:val="24"/>
          <w:szCs w:val="24"/>
        </w:rPr>
      </w:pPr>
      <w:r>
        <w:rPr>
          <w:rFonts w:cs="Times New Roman" w:ascii="Times New Roman" w:hAnsi="Times New Roman"/>
          <w:color w:val="0000FF"/>
          <w:sz w:val="24"/>
          <w:szCs w:val="24"/>
        </w:rPr>
        <w:t>Mức thu nhập tháng đóng bảo hiểm xã hội tự nguyện của người lao động quy định tại Điều 2 và Điều 3 Thông tư này được điều chỉnh trên cơ sở chỉ số giá sinh hoạt từng thời kỳ theo quy định tại Nghị định số 134/2008/NĐ-CP ngày 31 tháng 12 năm 2008 của Chính phủ, khi người lao động hưởng lương hưu, bảo hiểm xã hội một lần hoặc hưởng chế độ tuất theo quy định của pháp luật về bảo hiểm xã hội tự nguyện. Trong đó, mức điều chỉnh thu nhập tháng đã đóng bảo hiểm xã hội sau khi thực hiện chuyển đổi của các năm trước năm 2009 đối với đối tượng quy định tại Điều 2 và mức thu nhập tháng không thực hiện chuyển đổi của các năm trước năm 2009 đối với đối tượng quy định tại Điều 3 Thông tư này được áp dụng mức quy định của Bảng số 3 tiết b2 điểm b khoản 1 mục II Thông tư số 02/2009/TT-BLĐTBXH ngày 15 tháng 01 năm 2009 của Bộ Lao động- Thương binh và Xã hội.</w:t>
      </w:r>
    </w:p>
    <w:p>
      <w:pPr>
        <w:pStyle w:val="TextBody"/>
        <w:spacing w:lineRule="auto" w:line="288" w:before="120" w:after="0"/>
        <w:ind w:firstLine="720"/>
        <w:rPr/>
      </w:pPr>
      <w:r>
        <w:rPr>
          <w:rFonts w:cs="Times New Roman" w:ascii="Times New Roman" w:hAnsi="Times New Roman"/>
          <w:b/>
          <w:bCs/>
          <w:color w:val="0000FF"/>
          <w:sz w:val="24"/>
          <w:szCs w:val="24"/>
          <w:lang w:val="nl-NL"/>
        </w:rPr>
        <w:t>Điều 5.</w:t>
      </w:r>
      <w:r>
        <w:rPr>
          <w:rFonts w:cs="Times New Roman" w:ascii="Times New Roman" w:hAnsi="Times New Roman"/>
          <w:color w:val="0000FF"/>
          <w:sz w:val="24"/>
          <w:szCs w:val="24"/>
          <w:lang w:val="nl-NL"/>
        </w:rPr>
        <w:t xml:space="preserve"> Trợ cấp một lần đối với người lao động không tiếp tục tham gia bảo hiểm xã hội tự nguyện</w:t>
      </w:r>
    </w:p>
    <w:p>
      <w:pPr>
        <w:pStyle w:val="TextBody"/>
        <w:spacing w:lineRule="auto" w:line="288" w:before="120" w:after="0"/>
        <w:ind w:firstLine="720"/>
        <w:rPr>
          <w:rFonts w:ascii="Times New Roman" w:hAnsi="Times New Roman" w:cs="Times New Roman"/>
          <w:color w:val="0000FF"/>
          <w:sz w:val="24"/>
          <w:szCs w:val="24"/>
          <w:lang w:val="nl-NL"/>
        </w:rPr>
      </w:pPr>
      <w:r>
        <w:rPr>
          <w:rFonts w:cs="Times New Roman" w:ascii="Times New Roman" w:hAnsi="Times New Roman"/>
          <w:color w:val="0000FF"/>
          <w:sz w:val="24"/>
          <w:szCs w:val="24"/>
          <w:lang w:val="nl-NL"/>
        </w:rPr>
        <w:t>Trợ cấp một lần đối với người lao động không tiếp tục tham gia bảo hiểm xã hội tự nguyện quy định tại Điều 4 Quyết định số 41/2009/QĐ-TTg được  thực hiện theo quy định tại Khoản 2 Điều 14 của Điều lệ bảo hiểm xã hội nông dân Nghệ An ban hành kèm theo Quyết định số 32/2001/QĐ.UB ngày 10 tháng 4 năm 2001 của Uỷ ban nhân dân tỉnh Nghệ An (sau đây gọi tắt là Điều lệ bảo hiểm xã hội nông dân Nghệ An).</w:t>
      </w:r>
    </w:p>
    <w:p>
      <w:pPr>
        <w:pStyle w:val="TextBody"/>
        <w:spacing w:lineRule="auto" w:line="288" w:before="120" w:after="0"/>
        <w:ind w:firstLine="720"/>
        <w:rPr/>
      </w:pPr>
      <w:r>
        <w:rPr>
          <w:rFonts w:cs="Times New Roman" w:ascii="Times New Roman" w:hAnsi="Times New Roman"/>
          <w:b/>
          <w:bCs/>
          <w:color w:val="0000FF"/>
          <w:sz w:val="24"/>
          <w:szCs w:val="24"/>
          <w:lang w:val="nl-NL"/>
        </w:rPr>
        <w:t xml:space="preserve">Điều 6. </w:t>
      </w:r>
      <w:r>
        <w:rPr>
          <w:rFonts w:cs="Times New Roman" w:ascii="Times New Roman" w:hAnsi="Times New Roman"/>
          <w:color w:val="0000FF"/>
          <w:sz w:val="24"/>
          <w:szCs w:val="24"/>
          <w:lang w:val="nl-NL"/>
        </w:rPr>
        <w:t>Người nghỉ hưu đang hưởng chế độ hưu từ quỹ bảo hiểm xã hội nông dân Nghệ An quy định tại Điều 5 Quyết định số 41/2009/QĐ-TTg được hướng dẫn như sau:</w:t>
      </w:r>
    </w:p>
    <w:p>
      <w:pPr>
        <w:pStyle w:val="TextBody"/>
        <w:spacing w:lineRule="auto" w:line="288" w:before="120" w:after="0"/>
        <w:ind w:firstLine="720"/>
        <w:rPr/>
      </w:pPr>
      <w:r>
        <w:rPr>
          <w:rFonts w:cs="Times New Roman" w:ascii="Times New Roman" w:hAnsi="Times New Roman"/>
          <w:b/>
          <w:bCs/>
          <w:color w:val="0000FF"/>
          <w:sz w:val="24"/>
          <w:szCs w:val="24"/>
          <w:lang w:val="nl-NL"/>
        </w:rPr>
        <w:t>1.</w:t>
      </w:r>
      <w:r>
        <w:rPr>
          <w:rFonts w:cs="Times New Roman" w:ascii="Times New Roman" w:hAnsi="Times New Roman"/>
          <w:color w:val="0000FF"/>
          <w:sz w:val="24"/>
          <w:szCs w:val="24"/>
          <w:lang w:val="nl-NL"/>
        </w:rPr>
        <w:t xml:space="preserve"> Được tiếp tục hưởng trợ cấp hàng tháng theo mức hiện hưởng.</w:t>
      </w:r>
      <w:r>
        <w:rPr>
          <w:rFonts w:cs="Times New Roman" w:ascii="Times New Roman" w:hAnsi="Times New Roman"/>
          <w:i/>
          <w:iCs/>
          <w:color w:val="0000FF"/>
          <w:sz w:val="24"/>
          <w:szCs w:val="24"/>
          <w:lang w:val="nl-NL"/>
        </w:rPr>
        <w:t xml:space="preserve"> </w:t>
      </w:r>
    </w:p>
    <w:p>
      <w:pPr>
        <w:pStyle w:val="TextBody"/>
        <w:spacing w:lineRule="auto" w:line="288" w:before="120" w:after="0"/>
        <w:ind w:firstLine="720"/>
        <w:rPr>
          <w:rFonts w:ascii="Times New Roman" w:hAnsi="Times New Roman" w:cs="Times New Roman"/>
          <w:color w:val="0000FF"/>
          <w:sz w:val="24"/>
          <w:szCs w:val="24"/>
          <w:lang w:val="nl-NL"/>
        </w:rPr>
      </w:pPr>
      <w:r>
        <w:rPr>
          <w:rFonts w:cs="Times New Roman" w:ascii="Times New Roman" w:hAnsi="Times New Roman"/>
          <w:color w:val="0000FF"/>
          <w:sz w:val="24"/>
          <w:szCs w:val="24"/>
          <w:lang w:val="nl-NL"/>
        </w:rPr>
        <w:t>Mức trợ cấp hàng tháng được điều chỉnh theo quy định của pháp luật bảo hiểm xã hội hiện hành.</w:t>
      </w:r>
    </w:p>
    <w:p>
      <w:pPr>
        <w:pStyle w:val="TextBody"/>
        <w:spacing w:lineRule="auto" w:line="288" w:before="120" w:after="0"/>
        <w:ind w:firstLine="720"/>
        <w:rPr/>
      </w:pPr>
      <w:r>
        <w:rPr>
          <w:rFonts w:cs="Times New Roman" w:ascii="Times New Roman" w:hAnsi="Times New Roman"/>
          <w:b/>
          <w:bCs/>
          <w:color w:val="0000FF"/>
          <w:sz w:val="24"/>
          <w:szCs w:val="24"/>
          <w:lang w:val="nl-NL"/>
        </w:rPr>
        <w:t xml:space="preserve">2. </w:t>
      </w:r>
      <w:r>
        <w:rPr>
          <w:rFonts w:cs="Times New Roman" w:ascii="Times New Roman" w:hAnsi="Times New Roman"/>
          <w:color w:val="0000FF"/>
          <w:sz w:val="24"/>
          <w:szCs w:val="24"/>
          <w:lang w:val="nl-NL"/>
        </w:rPr>
        <w:t xml:space="preserve"> </w:t>
      </w:r>
      <w:r>
        <w:rPr>
          <w:rFonts w:cs="Times New Roman" w:ascii="Times New Roman" w:hAnsi="Times New Roman"/>
          <w:color w:val="0000FF"/>
          <w:sz w:val="24"/>
          <w:szCs w:val="24"/>
          <w:lang w:val="pt-BR"/>
        </w:rPr>
        <w:t>Được bảo hiểm y tế do quỹ bảo hiểm xã hội tự nguyện đảm bảo.</w:t>
      </w:r>
    </w:p>
    <w:p>
      <w:pPr>
        <w:pStyle w:val="TextBody"/>
        <w:spacing w:lineRule="auto" w:line="288" w:before="120" w:after="0"/>
        <w:ind w:firstLine="720"/>
        <w:rPr/>
      </w:pPr>
      <w:r>
        <w:rPr>
          <w:rFonts w:cs="Times New Roman" w:ascii="Times New Roman" w:hAnsi="Times New Roman"/>
          <w:b/>
          <w:bCs/>
          <w:color w:val="0000FF"/>
          <w:sz w:val="24"/>
          <w:szCs w:val="24"/>
          <w:lang w:val="nl-NL"/>
        </w:rPr>
        <w:t>3.</w:t>
      </w:r>
      <w:r>
        <w:rPr>
          <w:rFonts w:cs="Times New Roman" w:ascii="Times New Roman" w:hAnsi="Times New Roman"/>
          <w:color w:val="0000FF"/>
          <w:sz w:val="24"/>
          <w:szCs w:val="24"/>
          <w:lang w:val="nl-NL"/>
        </w:rPr>
        <w:t xml:space="preserve"> Trường hợp người đang hưởng trợ cấp hàng tháng nêu tại khoản 1 Điều này bị chết thì thân nhân được hưởng trợ cấp tuất một lần theo mức quy định tại các khoản 1, 2 và 3 Điều 15 của Điều lệ bảo hiểm xã hội nông dân Nghệ An.</w:t>
      </w:r>
    </w:p>
    <w:p>
      <w:pPr>
        <w:pStyle w:val="BodyText2"/>
        <w:spacing w:lineRule="auto" w:line="288" w:before="120" w:after="0"/>
        <w:ind w:firstLine="720"/>
        <w:jc w:val="both"/>
        <w:rPr/>
      </w:pPr>
      <w:r>
        <w:rPr>
          <w:rFonts w:cs="Times New Roman" w:ascii="Times New Roman" w:hAnsi="Times New Roman"/>
          <w:b/>
          <w:bCs/>
          <w:color w:val="0000FF"/>
          <w:sz w:val="24"/>
          <w:szCs w:val="24"/>
          <w:lang w:val="pt-BR"/>
        </w:rPr>
        <w:t xml:space="preserve">Điều 7. </w:t>
      </w:r>
      <w:r>
        <w:rPr>
          <w:rFonts w:cs="Times New Roman" w:ascii="Times New Roman" w:hAnsi="Times New Roman"/>
          <w:color w:val="0000FF"/>
          <w:sz w:val="24"/>
          <w:szCs w:val="24"/>
          <w:lang w:val="pt-BR"/>
        </w:rPr>
        <w:t>Điều khoản thi hành</w:t>
      </w:r>
    </w:p>
    <w:p>
      <w:pPr>
        <w:pStyle w:val="BodyText2"/>
        <w:spacing w:lineRule="auto" w:line="288" w:before="120" w:after="0"/>
        <w:ind w:firstLine="720"/>
        <w:jc w:val="both"/>
        <w:rPr/>
      </w:pPr>
      <w:r>
        <w:rPr>
          <w:rFonts w:cs="Times New Roman" w:ascii="Times New Roman" w:hAnsi="Times New Roman"/>
          <w:b/>
          <w:bCs/>
          <w:color w:val="0000FF"/>
          <w:sz w:val="24"/>
          <w:szCs w:val="24"/>
          <w:lang w:val="pt-BR"/>
        </w:rPr>
        <w:t xml:space="preserve">1. </w:t>
      </w:r>
      <w:r>
        <w:rPr>
          <w:rFonts w:cs="Times New Roman" w:ascii="Times New Roman" w:hAnsi="Times New Roman"/>
          <w:color w:val="0000FF"/>
          <w:sz w:val="24"/>
          <w:szCs w:val="24"/>
          <w:lang w:val="pt-BR"/>
        </w:rPr>
        <w:t>Uỷ ban nhân dân tỉnh Nghệ An chỉ đạo Bảo hiểm xã hội nông dân Nghệ An bàn giao toàn bộ tài liệu, hồ sơ của người tham gia bảo hiểm xã hội nông dân Nghệ An sang Bảo hiểm xã hội tỉnh Nghệ An quản lý; chỉ đạo Sở Lao động- Thương binh và Xã hội và các cơ quan chức năng có liên quan kiểm tra, đôn đốc việc thực hiện các quy định tại Thông tư này.</w:t>
      </w:r>
    </w:p>
    <w:p>
      <w:pPr>
        <w:pStyle w:val="BodyText2"/>
        <w:spacing w:lineRule="auto" w:line="288" w:before="120" w:after="0"/>
        <w:ind w:firstLine="720"/>
        <w:jc w:val="both"/>
        <w:rPr/>
      </w:pPr>
      <w:r>
        <w:rPr>
          <w:rFonts w:cs="Times New Roman" w:ascii="Times New Roman" w:hAnsi="Times New Roman"/>
          <w:b/>
          <w:bCs/>
          <w:color w:val="0000FF"/>
          <w:sz w:val="24"/>
          <w:szCs w:val="24"/>
          <w:lang w:val="pt-BR"/>
        </w:rPr>
        <w:t xml:space="preserve">2. </w:t>
      </w:r>
      <w:r>
        <w:rPr>
          <w:rFonts w:cs="Times New Roman" w:ascii="Times New Roman" w:hAnsi="Times New Roman"/>
          <w:color w:val="0000FF"/>
          <w:sz w:val="24"/>
          <w:szCs w:val="24"/>
          <w:lang w:val="pt-BR"/>
        </w:rPr>
        <w:t>Bảo hiểm xã hội Việt Nam có trách nhiệm chỉ đạo, hướng dẫn Bảo hiểm xã hội tỉnh Nghệ An tiếp nhận, quản lý tài liệu bàn giao, cấp và ghi sổ bảo hiểm xã hội, thực hiện chế độ đối với các đối tượng tham gia bảo hiểm xã hội nông dân Nghệ An theo quy định tại Quyết định số 41/2009/QĐ-TTg và hướng dẫn tại Thông tư này, cụ thể:</w:t>
      </w:r>
    </w:p>
    <w:p>
      <w:pPr>
        <w:pStyle w:val="BodyText2"/>
        <w:spacing w:lineRule="auto" w:line="288" w:before="120" w:after="0"/>
        <w:ind w:firstLine="720"/>
        <w:jc w:val="both"/>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a) Tiếp nhận, quản lý hồ sơ của người lao động tham gia bảo hiểm xã hội từ Bảo hiểm xã hội nông dân Nghệ An;</w:t>
      </w:r>
    </w:p>
    <w:p>
      <w:pPr>
        <w:pStyle w:val="BodyText2"/>
        <w:spacing w:lineRule="auto" w:line="288" w:before="120" w:after="0"/>
        <w:ind w:firstLine="720"/>
        <w:jc w:val="both"/>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b) Thực hiện việc cấp và ghi Sổ bảo hiểm xã hội cho người lao động quy định tại khoản 1 Điều 1 Thông tư này;</w:t>
      </w:r>
    </w:p>
    <w:p>
      <w:pPr>
        <w:pStyle w:val="BodyText2"/>
        <w:spacing w:lineRule="auto" w:line="288" w:before="120" w:after="0"/>
        <w:ind w:firstLine="720"/>
        <w:jc w:val="both"/>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c) Thực hiện trả trợ cấp một lần cho đối tượng quy định tại khoản 2 Điều 1 Thông tư này;</w:t>
      </w:r>
    </w:p>
    <w:p>
      <w:pPr>
        <w:pStyle w:val="BodyText2"/>
        <w:spacing w:lineRule="auto" w:line="288" w:before="120" w:after="0"/>
        <w:ind w:firstLine="720"/>
        <w:jc w:val="both"/>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d) Thực hiện chi trả trợ cấp hàng tháng, bảo hiểm y tế cho đối tượng quy định tại khoản 3 Điều 1 Thông tư này; thực hiện chế độ tử tuất khi người đang hưởng trợ cấp hàng tháng chết.</w:t>
      </w:r>
    </w:p>
    <w:p>
      <w:pPr>
        <w:pStyle w:val="BodyText2"/>
        <w:spacing w:lineRule="auto" w:line="288" w:before="120" w:after="0"/>
        <w:ind w:firstLine="720"/>
        <w:jc w:val="both"/>
        <w:rPr/>
      </w:pPr>
      <w:r>
        <w:rPr>
          <w:rFonts w:cs="Times New Roman" w:ascii="Times New Roman" w:hAnsi="Times New Roman"/>
          <w:b/>
          <w:bCs/>
          <w:color w:val="0000FF"/>
          <w:sz w:val="24"/>
          <w:szCs w:val="24"/>
          <w:lang w:val="pt-BR"/>
        </w:rPr>
        <w:t xml:space="preserve">3. </w:t>
      </w:r>
      <w:r>
        <w:rPr>
          <w:rFonts w:cs="Times New Roman" w:ascii="Times New Roman" w:hAnsi="Times New Roman"/>
          <w:color w:val="0000FF"/>
          <w:sz w:val="24"/>
          <w:szCs w:val="24"/>
          <w:lang w:val="pt-BR"/>
        </w:rPr>
        <w:t>Thông tư này có hiệu lực thi hành sau 45 ngày kể từ ngày ký ban hành.</w:t>
      </w:r>
    </w:p>
    <w:p>
      <w:pPr>
        <w:pStyle w:val="BodyText2"/>
        <w:spacing w:lineRule="auto" w:line="288" w:before="240" w:after="0"/>
        <w:ind w:firstLine="720"/>
        <w:jc w:val="both"/>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Trong quá trình thực hiện nếu có vướng mắc, đề nghị phản ánh về Bộ Lao động- Thương binh và Xã hội để kịp thời nghiên cứu, giải quyết./.</w:t>
      </w:r>
    </w:p>
    <w:p>
      <w:pPr>
        <w:pStyle w:val="BodyText2"/>
        <w:spacing w:lineRule="auto" w:line="288" w:before="240" w:after="0"/>
        <w:ind w:firstLine="720"/>
        <w:jc w:val="both"/>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r>
    </w:p>
    <w:p>
      <w:pPr>
        <w:pStyle w:val="BodyText2"/>
        <w:ind w:firstLine="3969"/>
        <w:jc w:val="center"/>
        <w:rPr>
          <w:rFonts w:ascii="Times New Roman" w:hAnsi="Times New Roman" w:cs="Times New Roman"/>
          <w:b/>
          <w:b/>
          <w:bCs/>
          <w:color w:val="0000FF"/>
          <w:sz w:val="24"/>
          <w:szCs w:val="24"/>
          <w:lang w:val="nl-NL"/>
        </w:rPr>
      </w:pPr>
      <w:r>
        <w:rPr>
          <w:rFonts w:cs="Times New Roman" w:ascii="Times New Roman" w:hAnsi="Times New Roman"/>
          <w:b/>
          <w:bCs/>
          <w:color w:val="0000FF"/>
          <w:sz w:val="24"/>
          <w:szCs w:val="24"/>
          <w:lang w:val="nl-NL"/>
        </w:rPr>
        <w:t>KT. BỘ TRƯỞNG</w:t>
      </w:r>
    </w:p>
    <w:p>
      <w:pPr>
        <w:pStyle w:val="BodyText2"/>
        <w:ind w:firstLine="3969"/>
        <w:jc w:val="center"/>
        <w:rPr>
          <w:rFonts w:ascii="Times New Roman" w:hAnsi="Times New Roman" w:cs="Times New Roman"/>
          <w:b/>
          <w:b/>
          <w:bCs/>
          <w:color w:val="0000FF"/>
          <w:sz w:val="24"/>
          <w:szCs w:val="24"/>
          <w:lang w:val="nl-NL"/>
        </w:rPr>
      </w:pPr>
      <w:r>
        <w:rPr>
          <w:rFonts w:cs="Times New Roman" w:ascii="Times New Roman" w:hAnsi="Times New Roman"/>
          <w:b/>
          <w:bCs/>
          <w:color w:val="0000FF"/>
          <w:sz w:val="24"/>
          <w:szCs w:val="24"/>
          <w:lang w:val="nl-NL"/>
        </w:rPr>
        <w:t>THỨ TRƯỞNG</w:t>
      </w:r>
    </w:p>
    <w:p>
      <w:pPr>
        <w:pStyle w:val="BodyText2"/>
        <w:ind w:firstLine="3969"/>
        <w:jc w:val="center"/>
        <w:rPr>
          <w:rFonts w:ascii="Times New Roman" w:hAnsi="Times New Roman" w:cs="Times New Roman"/>
          <w:color w:val="0000FF"/>
          <w:sz w:val="24"/>
          <w:szCs w:val="24"/>
          <w:lang w:val="pt-BR"/>
        </w:rPr>
      </w:pPr>
      <w:r>
        <w:rPr>
          <w:rFonts w:cs="Times New Roman" w:ascii="Times New Roman" w:hAnsi="Times New Roman"/>
          <w:b/>
          <w:bCs/>
          <w:color w:val="0000FF"/>
          <w:sz w:val="24"/>
          <w:szCs w:val="24"/>
          <w:lang w:val="pt-BR"/>
        </w:rPr>
        <w:t>Phạm Minh Huân</w:t>
      </w:r>
    </w:p>
    <w:p>
      <w:pPr>
        <w:pStyle w:val="Normal"/>
        <w:ind w:firstLine="3969"/>
        <w:jc w:val="center"/>
        <w:rPr>
          <w:rFonts w:ascii="Times New Roman" w:hAnsi="Times New Roman" w:cs="Times New Roman"/>
          <w:b/>
          <w:b/>
          <w:bCs/>
          <w:color w:val="0000FF"/>
          <w:sz w:val="24"/>
          <w:szCs w:val="24"/>
          <w:lang w:val="pt-BR"/>
        </w:rPr>
      </w:pPr>
      <w:r>
        <w:rPr>
          <w:rFonts w:cs="Times New Roman"/>
          <w:b/>
          <w:bCs/>
          <w:color w:val="0000FF"/>
          <w:sz w:val="24"/>
          <w:szCs w:val="24"/>
          <w:lang w:val="pt-BR"/>
        </w:rPr>
      </w:r>
    </w:p>
    <w:p>
      <w:pPr>
        <w:pStyle w:val="BodyText2"/>
        <w:spacing w:lineRule="auto" w:line="264"/>
        <w:ind w:firstLine="562"/>
        <w:rPr>
          <w:rFonts w:ascii="Times New Roman" w:hAnsi="Times New Roman" w:cs="Times New Roman"/>
          <w:b/>
          <w:b/>
          <w:bCs/>
          <w:color w:val="0000FF"/>
          <w:sz w:val="24"/>
          <w:szCs w:val="24"/>
          <w:lang w:val="pt-BR"/>
        </w:rPr>
      </w:pPr>
      <w:r>
        <w:rPr>
          <w:rFonts w:cs="Times New Roman" w:ascii="Times New Roman" w:hAnsi="Times New Roman"/>
          <w:b/>
          <w:bCs/>
          <w:color w:val="0000FF"/>
          <w:sz w:val="24"/>
          <w:szCs w:val="24"/>
          <w:lang w:val="pt-BR"/>
        </w:rPr>
      </w:r>
    </w:p>
    <w:p>
      <w:pPr>
        <w:pStyle w:val="Normal"/>
        <w:spacing w:lineRule="auto" w:line="264"/>
        <w:rPr>
          <w:rFonts w:ascii="Times New Roman" w:hAnsi="Times New Roman" w:cs="Times New Roman"/>
          <w:color w:val="0000FF"/>
          <w:sz w:val="24"/>
          <w:szCs w:val="24"/>
          <w:lang w:val="nl-NL"/>
        </w:rPr>
      </w:pPr>
      <w:r>
        <w:rPr>
          <w:rFonts w:cs="Times New Roman"/>
          <w:color w:val="0000FF"/>
          <w:sz w:val="24"/>
          <w:szCs w:val="24"/>
          <w:lang w:val="nl-NL"/>
        </w:rPr>
      </w:r>
    </w:p>
    <w:sectPr>
      <w:footerReference w:type="default" r:id="rId2"/>
      <w:footerReference w:type="first" r:id="rId3"/>
      <w:type w:val="nextPage"/>
      <w:pgSz w:w="11906" w:h="16838"/>
      <w:pgMar w:left="1701" w:right="1134" w:gutter="0" w:header="0" w:top="1134" w:footer="612" w:bottom="1134"/>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8">
              <wp:simplePos x="0" y="0"/>
              <wp:positionH relativeFrom="margin">
                <wp:align>right</wp:align>
              </wp:positionH>
              <wp:positionV relativeFrom="paragraph">
                <wp:posOffset>635</wp:posOffset>
              </wp:positionV>
              <wp:extent cx="64135" cy="146685"/>
              <wp:effectExtent l="0" t="0" r="0" b="0"/>
              <wp:wrapSquare wrapText="largest"/>
              <wp:docPr id="3" name="Frame2"/>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448.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square" side="largest"/>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outlineLvl w:val="0"/>
    </w:pPr>
    <w:rPr>
      <w:rFonts w:ascii=".VnTime" w:hAnsi=".VnTime" w:cs=".VnTime"/>
      <w:sz w:val="28"/>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jc w:val="both"/>
    </w:pPr>
    <w:rPr>
      <w:rFonts w:ascii=".VnTime" w:hAnsi=".VnTime" w:cs=".VnTime"/>
      <w:sz w:val="28"/>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
    <w:name w:val="Body Text 2"/>
    <w:basedOn w:val="Normal"/>
    <w:qFormat/>
    <w:pPr/>
    <w:rPr>
      <w:rFonts w:ascii=".VnTime" w:hAnsi=".VnTime" w:cs=".VnTime"/>
      <w:sz w:val="2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TextBodyIndent">
    <w:name w:val="Body Text Indent"/>
    <w:basedOn w:val="Normal"/>
    <w:pPr>
      <w:spacing w:before="0" w:after="120"/>
      <w:ind w:left="360" w:hanging="0"/>
    </w:pPr>
    <w:rPr/>
  </w:style>
  <w:style w:type="paragraph" w:styleId="Header">
    <w:name w:val="Header"/>
    <w:basedOn w:val="Normal"/>
    <w:pPr>
      <w:tabs>
        <w:tab w:val="clear" w:pos="720"/>
        <w:tab w:val="center" w:pos="4320" w:leader="none"/>
        <w:tab w:val="right" w:pos="8640" w:leader="none"/>
      </w:tabs>
    </w:pPr>
    <w:rPr/>
  </w:style>
  <w:style w:type="paragraph" w:styleId="BodyText3">
    <w:name w:val="Body Text 3"/>
    <w:basedOn w:val="Normal"/>
    <w:qFormat/>
    <w:pPr>
      <w:jc w:val="center"/>
    </w:pPr>
    <w:rPr>
      <w:rFonts w:ascii=".VnTime" w:hAnsi=".VnTime" w:cs=".VnTime"/>
      <w:sz w:val="28"/>
    </w:rPr>
  </w:style>
  <w:style w:type="paragraph" w:styleId="Contents1">
    <w:name w:val="TOC 1"/>
    <w:basedOn w:val="Normal"/>
    <w:next w:val="Normal"/>
    <w:pPr>
      <w:pBdr/>
      <w:spacing w:before="120" w:after="120"/>
      <w:jc w:val="center"/>
    </w:pPr>
    <w:rPr>
      <w:rFonts w:ascii=".VnTime" w:hAnsi=".VnTime" w:cs=".VnTime"/>
      <w:b/>
      <w:bCs/>
      <w:i/>
      <w:iCs/>
      <w:sz w:val="24"/>
      <w:szCs w:val="28"/>
    </w:rPr>
  </w:style>
  <w:style w:type="paragraph" w:styleId="NormalWeb">
    <w:name w:val="Normal (Web)"/>
    <w:basedOn w:val="Normal"/>
    <w:qFormat/>
    <w:pPr>
      <w:spacing w:before="280" w:after="280"/>
    </w:pPr>
    <w:rPr>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56</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2009-04-28T08:27:00Z</dcterms:created>
  <dc:creator/>
  <dc:description/>
  <cp:keywords/>
  <dc:language>en-US</dc:language>
  <cp:lastModifiedBy>ThaiNN</cp:lastModifiedBy>
  <cp:lastPrinted>2009-04-28T16:07:00Z</cp:lastPrinted>
  <dcterms:modified xsi:type="dcterms:W3CDTF">2009-05-06T07:54:00Z</dcterms:modified>
  <cp:revision>6</cp:revision>
  <dc:subject/>
  <dc:title/>
</cp:coreProperties>
</file>