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911" w:type="dxa"/>
        <w:jc w:val="left"/>
        <w:tblInd w:w="140" w:type="dxa"/>
        <w:tblLayout w:type="fixed"/>
        <w:tblCellMar>
          <w:top w:w="0" w:type="dxa"/>
          <w:left w:w="108" w:type="dxa"/>
          <w:bottom w:w="0" w:type="dxa"/>
          <w:right w:w="108" w:type="dxa"/>
        </w:tblCellMar>
      </w:tblPr>
      <w:tblGrid>
        <w:gridCol w:w="3198"/>
        <w:gridCol w:w="5713"/>
      </w:tblGrid>
      <w:tr>
        <w:trPr/>
        <w:tc>
          <w:tcPr>
            <w:tcW w:w="3198" w:type="dxa"/>
            <w:tcBorders/>
          </w:tcPr>
          <w:p>
            <w:pPr>
              <w:pStyle w:val="Normal"/>
              <w:widowControl w:val="false"/>
              <w:ind w:left="-140" w:hanging="0"/>
              <w:jc w:val="center"/>
              <w:rPr>
                <w:b/>
                <w:b/>
                <w:bCs/>
                <w:color w:val="0000FF"/>
                <w:lang w:val="nl-NL"/>
              </w:rPr>
            </w:pPr>
            <w:r>
              <w:rPr>
                <w:b/>
                <w:bCs/>
                <w:color w:val="0000FF"/>
                <w:lang w:val="nl-NL"/>
              </w:rPr>
              <w:t>BỘ TÀI CHÍNH</w:t>
            </w:r>
          </w:p>
        </w:tc>
        <w:tc>
          <w:tcPr>
            <w:tcW w:w="5713" w:type="dxa"/>
            <w:tcBorders/>
          </w:tcPr>
          <w:p>
            <w:pPr>
              <w:pStyle w:val="Normal"/>
              <w:widowControl w:val="false"/>
              <w:jc w:val="center"/>
              <w:rPr>
                <w:b/>
                <w:b/>
                <w:bCs/>
                <w:color w:val="0000FF"/>
                <w:lang w:val="nl-NL"/>
              </w:rPr>
            </w:pPr>
            <w:r>
              <w:rPr>
                <w:b/>
                <w:bCs/>
                <w:color w:val="0000FF"/>
                <w:lang w:val="nl-NL"/>
              </w:rPr>
              <w:t>CỘNG HOÀ XÃ HỘI CHỦ NGHĨA VIỆT NAM</w:t>
            </w:r>
          </w:p>
        </w:tc>
      </w:tr>
      <w:tr>
        <w:trPr/>
        <w:tc>
          <w:tcPr>
            <w:tcW w:w="3198" w:type="dxa"/>
            <w:tcBorders/>
          </w:tcPr>
          <w:p>
            <w:pPr>
              <w:pStyle w:val="Normal"/>
              <w:widowControl w:val="false"/>
              <w:jc w:val="center"/>
              <w:rPr>
                <w:b/>
                <w:b/>
                <w:bCs/>
                <w:color w:val="0000FF"/>
                <w:lang w:val="nl-NL"/>
              </w:rPr>
            </w:pPr>
            <w:r>
              <w:rPr>
                <w:b/>
                <w:bCs/>
                <w:color w:val="0000FF"/>
                <w:lang w:val="nl-NL"/>
              </w:rPr>
              <w:t>---------</w:t>
            </w:r>
          </w:p>
        </w:tc>
        <w:tc>
          <w:tcPr>
            <w:tcW w:w="5713" w:type="dxa"/>
            <w:tcBorders/>
          </w:tcPr>
          <w:p>
            <w:pPr>
              <w:pStyle w:val="Normal"/>
              <w:widowControl w:val="false"/>
              <w:jc w:val="center"/>
              <w:rPr/>
            </w:pPr>
            <w:r>
              <w:rPr>
                <w:b/>
                <w:bCs/>
                <w:color w:val="0000FF"/>
                <w:lang w:val="nl-NL"/>
              </w:rPr>
              <w:t xml:space="preserve">Độc lập </w:t>
            </w:r>
            <w:r>
              <w:rPr>
                <w:bCs/>
                <w:color w:val="0000FF"/>
                <w:lang w:val="nl-NL"/>
              </w:rPr>
              <w:t>–</w:t>
            </w:r>
            <w:r>
              <w:rPr>
                <w:b/>
                <w:bCs/>
                <w:color w:val="0000FF"/>
                <w:lang w:val="nl-NL"/>
              </w:rPr>
              <w:t xml:space="preserve"> Tự do </w:t>
            </w:r>
            <w:r>
              <w:rPr>
                <w:bCs/>
                <w:color w:val="0000FF"/>
                <w:lang w:val="nl-NL"/>
              </w:rPr>
              <w:t>–</w:t>
            </w:r>
            <w:r>
              <w:rPr>
                <w:b/>
                <w:bCs/>
                <w:color w:val="0000FF"/>
                <w:lang w:val="nl-NL"/>
              </w:rPr>
              <w:t xml:space="preserve"> Hạnh phúc</w:t>
            </w:r>
          </w:p>
        </w:tc>
      </w:tr>
      <w:tr>
        <w:trPr/>
        <w:tc>
          <w:tcPr>
            <w:tcW w:w="3198" w:type="dxa"/>
            <w:tcBorders/>
          </w:tcPr>
          <w:p>
            <w:pPr>
              <w:pStyle w:val="Normal"/>
              <w:widowControl w:val="false"/>
              <w:jc w:val="center"/>
              <w:rPr/>
            </w:pPr>
            <w:r>
              <w:rPr>
                <w:color w:val="0000FF"/>
                <w:lang w:val="nl-NL"/>
              </w:rPr>
              <w:t>Số:  12/2009</w:t>
            </w:r>
            <w:r>
              <w:rPr>
                <w:b/>
                <w:color w:val="0000FF"/>
                <w:lang w:val="nl-NL"/>
              </w:rPr>
              <w:t>/</w:t>
            </w:r>
            <w:r>
              <w:rPr>
                <w:color w:val="0000FF"/>
                <w:lang w:val="nl-NL"/>
              </w:rPr>
              <w:t>TT-BTC</w:t>
            </w:r>
          </w:p>
        </w:tc>
        <w:tc>
          <w:tcPr>
            <w:tcW w:w="5713" w:type="dxa"/>
            <w:tcBorders/>
          </w:tcPr>
          <w:p>
            <w:pPr>
              <w:pStyle w:val="Normal"/>
              <w:widowControl w:val="false"/>
              <w:jc w:val="center"/>
              <w:rPr>
                <w:b/>
                <w:b/>
                <w:color w:val="0000FF"/>
                <w:lang w:val="nl-NL"/>
              </w:rPr>
            </w:pPr>
            <w:r>
              <w:rPr>
                <w:b/>
                <w:color w:val="0000FF"/>
                <w:lang w:val="nl-NL"/>
              </w:rPr>
              <w:t>-----------------------------------</w:t>
            </w:r>
          </w:p>
        </w:tc>
      </w:tr>
      <w:tr>
        <w:trPr/>
        <w:tc>
          <w:tcPr>
            <w:tcW w:w="3198" w:type="dxa"/>
            <w:tcBorders/>
          </w:tcPr>
          <w:p>
            <w:pPr>
              <w:pStyle w:val="Normal"/>
              <w:widowControl w:val="false"/>
              <w:snapToGrid w:val="false"/>
              <w:jc w:val="center"/>
              <w:rPr>
                <w:b/>
                <w:b/>
                <w:color w:val="0000FF"/>
                <w:lang w:val="nl-NL"/>
              </w:rPr>
            </w:pPr>
            <w:r>
              <w:rPr>
                <w:b/>
                <w:color w:val="0000FF"/>
                <w:lang w:val="nl-NL"/>
              </w:rPr>
            </w:r>
          </w:p>
        </w:tc>
        <w:tc>
          <w:tcPr>
            <w:tcW w:w="5713" w:type="dxa"/>
            <w:tcBorders/>
          </w:tcPr>
          <w:p>
            <w:pPr>
              <w:pStyle w:val="Heading7"/>
              <w:keepNext w:val="false"/>
              <w:widowControl w:val="false"/>
              <w:jc w:val="right"/>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Hà Nội, ngày 22 tháng 01 năm 2009</w:t>
            </w:r>
          </w:p>
        </w:tc>
      </w:tr>
    </w:tbl>
    <w:p>
      <w:pPr>
        <w:pStyle w:val="Normal"/>
        <w:widowControl w:val="false"/>
        <w:rPr>
          <w:color w:val="0000FF"/>
          <w:lang w:val="nl-NL"/>
        </w:rPr>
      </w:pPr>
      <w:r>
        <w:rPr>
          <w:color w:val="0000FF"/>
          <w:lang w:val="nl-NL"/>
        </w:rPr>
      </w:r>
    </w:p>
    <w:p>
      <w:pPr>
        <w:pStyle w:val="Normal"/>
        <w:widowControl w:val="false"/>
        <w:rPr>
          <w:color w:val="0000FF"/>
          <w:lang w:val="nl-NL"/>
        </w:rPr>
      </w:pPr>
      <w:r>
        <w:rPr>
          <w:color w:val="0000FF"/>
          <w:lang w:val="nl-NL"/>
        </w:rPr>
      </w:r>
    </w:p>
    <w:p>
      <w:pPr>
        <w:pStyle w:val="Normal"/>
        <w:widowControl w:val="false"/>
        <w:jc w:val="center"/>
        <w:rPr>
          <w:b/>
          <w:b/>
          <w:color w:val="0000FF"/>
          <w:lang w:val="nl-NL"/>
        </w:rPr>
      </w:pPr>
      <w:r>
        <w:rPr>
          <w:b/>
          <w:color w:val="0000FF"/>
          <w:lang w:val="nl-NL"/>
        </w:rPr>
        <w:t>THÔNG TƯ</w:t>
      </w:r>
    </w:p>
    <w:p>
      <w:pPr>
        <w:pStyle w:val="Normal"/>
        <w:widowControl w:val="false"/>
        <w:jc w:val="center"/>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t>Hướng dẫn thực hiện gia hạn nộp thuế thu nhập doanh nghiệp</w:t>
      </w:r>
    </w:p>
    <w:p>
      <w:pPr>
        <w:pStyle w:val="Normal"/>
        <w:widowControl w:val="false"/>
        <w:jc w:val="center"/>
        <w:rPr>
          <w:b/>
          <w:b/>
          <w:color w:val="0000FF"/>
          <w:lang w:val="nl-NL"/>
        </w:rPr>
      </w:pPr>
      <w:r>
        <w:rPr>
          <w:b/>
          <w:color w:val="0000FF"/>
          <w:lang w:val="nl-NL"/>
        </w:rPr>
        <w:t>năm 2009 đối với doanh nghiệp kinh doanh một số ngành nghề</w:t>
      </w:r>
    </w:p>
    <w:p>
      <w:pPr>
        <w:pStyle w:val="Normal"/>
        <w:widowControl w:val="false"/>
        <w:jc w:val="center"/>
        <w:rPr>
          <w:b/>
          <w:b/>
          <w:color w:val="0000FF"/>
          <w:lang w:val="nl-NL"/>
        </w:rPr>
      </w:pPr>
      <w:r>
        <w:rPr>
          <w:b/>
          <w:color w:val="0000FF"/>
          <w:lang w:val="nl-NL"/>
        </w:rPr>
        <w:t>--------------------</w:t>
      </w:r>
    </w:p>
    <w:p>
      <w:pPr>
        <w:pStyle w:val="Normal"/>
        <w:widowControl w:val="false"/>
        <w:jc w:val="both"/>
        <w:rPr>
          <w:b/>
          <w:b/>
          <w:color w:val="0000FF"/>
          <w:lang w:val="nl-NL"/>
        </w:rPr>
      </w:pPr>
      <w:r>
        <w:rPr>
          <w:b/>
          <w:color w:val="0000FF"/>
          <w:lang w:val="nl-NL"/>
        </w:rPr>
      </w:r>
    </w:p>
    <w:p>
      <w:pPr>
        <w:pStyle w:val="Normal"/>
        <w:widowControl w:val="false"/>
        <w:ind w:firstLine="720"/>
        <w:jc w:val="both"/>
        <w:rPr>
          <w:color w:val="0000FF"/>
          <w:lang w:val="nl-NL"/>
        </w:rPr>
      </w:pPr>
      <w:r>
        <w:rPr>
          <w:color w:val="0000FF"/>
          <w:lang w:val="nl-NL"/>
        </w:rPr>
        <w:t>Căn cứ Luật thuế thu nhập doanh nghiệp và các văn bản hướng dẫn thi hành;</w:t>
      </w:r>
    </w:p>
    <w:p>
      <w:pPr>
        <w:pStyle w:val="Normal"/>
        <w:widowControl w:val="false"/>
        <w:spacing w:before="120" w:after="0"/>
        <w:ind w:firstLine="720"/>
        <w:jc w:val="both"/>
        <w:rPr>
          <w:color w:val="0000FF"/>
          <w:lang w:val="nl-NL"/>
        </w:rPr>
      </w:pPr>
      <w:r>
        <w:rPr>
          <w:color w:val="0000FF"/>
          <w:lang w:val="nl-NL"/>
        </w:rPr>
        <w:t>Căn cứ Luật quản lý thuế và các văn bản hướng dẫn thi hành;</w:t>
      </w:r>
    </w:p>
    <w:p>
      <w:pPr>
        <w:pStyle w:val="Normal"/>
        <w:widowControl w:val="false"/>
        <w:spacing w:before="120" w:after="0"/>
        <w:ind w:firstLine="720"/>
        <w:jc w:val="both"/>
        <w:rPr>
          <w:color w:val="0000FF"/>
          <w:lang w:val="nl-NL"/>
        </w:rPr>
      </w:pPr>
      <w:r>
        <w:rPr>
          <w:color w:val="0000FF"/>
          <w:lang w:val="nl-NL"/>
        </w:rPr>
        <w:t>Căn cứ Nghị quyết số 21/2008/QH12 của Quốc hội khoá 12 về dự toán Ngân sách nhà nước năm 2009;</w:t>
      </w:r>
    </w:p>
    <w:p>
      <w:pPr>
        <w:pStyle w:val="Normal"/>
        <w:widowControl w:val="false"/>
        <w:spacing w:before="120" w:after="0"/>
        <w:ind w:firstLine="720"/>
        <w:jc w:val="both"/>
        <w:rPr>
          <w:color w:val="0000FF"/>
          <w:lang w:val="nl-NL"/>
        </w:rPr>
      </w:pPr>
      <w:r>
        <w:rPr>
          <w:rFonts w:eastAsia="SimSun;宋体"/>
          <w:color w:val="0000FF"/>
          <w:lang w:val="nl-NL"/>
        </w:rPr>
        <w:t>Căn cứ Nghị định số 118/2008/NĐ-CP ngày 27/11/2008 của Chính phủ quy định chức năng, nhiệm vụ, quyền hạn và cơ cấu tổ chức của Bộ Tài chính;</w:t>
      </w:r>
    </w:p>
    <w:p>
      <w:pPr>
        <w:pStyle w:val="Normal"/>
        <w:widowControl w:val="false"/>
        <w:spacing w:before="120" w:after="0"/>
        <w:ind w:firstLine="720"/>
        <w:jc w:val="both"/>
        <w:rPr/>
      </w:pPr>
      <w:r>
        <w:rPr>
          <w:color w:val="0000FF"/>
          <w:lang w:val="nl-NL"/>
        </w:rPr>
        <w:t>Căn cứ Quyết định số 16/2009/QĐ-TTg ngày 21/01/2009 của Thủ tướng Chính phủ ban hành một số giải pháp về thuế nhằm thực hiện chủ trương kích cầu đầu tư và tiêu dùng, ngăn chặn suy giảm kinh tế, tháo gỡ khó khăn đối với doanh nghiệp;</w:t>
      </w:r>
    </w:p>
    <w:p>
      <w:pPr>
        <w:pStyle w:val="Normal"/>
        <w:widowControl w:val="false"/>
        <w:spacing w:before="120" w:after="0"/>
        <w:ind w:firstLine="720"/>
        <w:jc w:val="both"/>
        <w:rPr/>
      </w:pPr>
      <w:r>
        <w:rPr>
          <w:bCs/>
          <w:color w:val="0000FF"/>
          <w:lang w:val="nl-NL"/>
        </w:rPr>
        <w:t>Bộ Tài chính hướng dẫn thực hiện việc gia hạn nộp thuế thu nhập doanh nghiệp phải nộp phát sinh năm 2009 đối với doanh nghiệp kinh doanh một số ngành nghề như sau:</w:t>
      </w:r>
    </w:p>
    <w:p>
      <w:pPr>
        <w:pStyle w:val="Normal"/>
        <w:widowControl w:val="false"/>
        <w:ind w:firstLine="720"/>
        <w:jc w:val="both"/>
        <w:rPr>
          <w:bCs/>
          <w:color w:val="0000FF"/>
          <w:lang w:val="nl-NL"/>
        </w:rPr>
      </w:pPr>
      <w:r>
        <w:rPr>
          <w:bCs/>
          <w:color w:val="0000FF"/>
          <w:lang w:val="nl-NL"/>
        </w:rPr>
      </w:r>
    </w:p>
    <w:p>
      <w:pPr>
        <w:pStyle w:val="Normal"/>
        <w:widowControl w:val="false"/>
        <w:jc w:val="center"/>
        <w:rPr>
          <w:b/>
          <w:b/>
          <w:color w:val="0000FF"/>
        </w:rPr>
      </w:pPr>
      <w:r>
        <w:rPr>
          <w:b/>
          <w:color w:val="0000FF"/>
        </w:rPr>
        <w:t>Phần I</w:t>
      </w:r>
    </w:p>
    <w:p>
      <w:pPr>
        <w:pStyle w:val="Normal"/>
        <w:widowControl w:val="false"/>
        <w:jc w:val="center"/>
        <w:rPr>
          <w:b/>
          <w:b/>
          <w:color w:val="0000FF"/>
        </w:rPr>
      </w:pPr>
      <w:r>
        <w:rPr>
          <w:b/>
          <w:color w:val="0000FF"/>
        </w:rPr>
        <w:t>Những quy định chung</w:t>
      </w:r>
    </w:p>
    <w:p>
      <w:pPr>
        <w:pStyle w:val="Normal"/>
        <w:widowControl w:val="false"/>
        <w:ind w:firstLine="720"/>
        <w:jc w:val="both"/>
        <w:rPr>
          <w:b/>
          <w:b/>
          <w:color w:val="0000FF"/>
        </w:rPr>
      </w:pPr>
      <w:r>
        <w:rPr>
          <w:b/>
          <w:color w:val="0000FF"/>
        </w:rPr>
      </w:r>
    </w:p>
    <w:p>
      <w:pPr>
        <w:pStyle w:val="Normal"/>
        <w:widowControl w:val="false"/>
        <w:ind w:firstLine="720"/>
        <w:jc w:val="both"/>
        <w:rPr/>
      </w:pPr>
      <w:r>
        <w:rPr>
          <w:b/>
          <w:color w:val="0000FF"/>
          <w:lang w:val="nl-NL"/>
        </w:rPr>
        <w:t>Điều 1.</w:t>
      </w:r>
      <w:r>
        <w:rPr>
          <w:color w:val="0000FF"/>
          <w:lang w:val="nl-NL"/>
        </w:rPr>
        <w:t xml:space="preserve"> Phạm vi áp dụng</w:t>
      </w:r>
    </w:p>
    <w:p>
      <w:pPr>
        <w:pStyle w:val="Normal"/>
        <w:widowControl w:val="false"/>
        <w:ind w:firstLine="720"/>
        <w:jc w:val="both"/>
        <w:rPr>
          <w:color w:val="0000FF"/>
          <w:lang w:val="nl-NL"/>
        </w:rPr>
      </w:pPr>
      <w:r>
        <w:rPr>
          <w:color w:val="0000FF"/>
          <w:lang w:val="nl-NL"/>
        </w:rPr>
      </w:r>
    </w:p>
    <w:p>
      <w:pPr>
        <w:pStyle w:val="Normal"/>
        <w:widowControl w:val="false"/>
        <w:ind w:firstLine="720"/>
        <w:jc w:val="both"/>
        <w:rPr/>
      </w:pPr>
      <w:r>
        <w:rPr>
          <w:color w:val="0000FF"/>
          <w:lang w:val="nl-NL"/>
        </w:rPr>
        <w:t>1. Gia hạn nộp thuế thu nhập doanh nghiệp phải nộp phát sinh năm 2009 trong thời gian 9 tháng đối với thu nhập từ các hoạt động kinh doanh sau:</w:t>
      </w:r>
    </w:p>
    <w:p>
      <w:pPr>
        <w:pStyle w:val="Normal"/>
        <w:widowControl w:val="false"/>
        <w:ind w:firstLine="720"/>
        <w:jc w:val="both"/>
        <w:rPr>
          <w:color w:val="0000FF"/>
          <w:lang w:val="nl-NL"/>
        </w:rPr>
      </w:pPr>
      <w:r>
        <w:rPr>
          <w:color w:val="0000FF"/>
          <w:lang w:val="nl-NL"/>
        </w:rPr>
      </w:r>
    </w:p>
    <w:p>
      <w:pPr>
        <w:pStyle w:val="Normal"/>
        <w:widowControl w:val="false"/>
        <w:ind w:firstLine="720"/>
        <w:jc w:val="both"/>
        <w:rPr>
          <w:color w:val="0000FF"/>
          <w:lang w:val="nl-NL"/>
        </w:rPr>
      </w:pPr>
      <w:r>
        <w:rPr>
          <w:color w:val="0000FF"/>
          <w:lang w:val="nl-NL"/>
        </w:rPr>
        <w:t>- Sản xuất sản phẩm cơ khí là tư liệu sản xuất;</w:t>
      </w:r>
    </w:p>
    <w:p>
      <w:pPr>
        <w:pStyle w:val="Normal"/>
        <w:widowControl w:val="false"/>
        <w:ind w:firstLine="720"/>
        <w:jc w:val="both"/>
        <w:rPr>
          <w:color w:val="0000FF"/>
          <w:lang w:val="nl-NL"/>
        </w:rPr>
      </w:pPr>
      <w:r>
        <w:rPr>
          <w:color w:val="0000FF"/>
          <w:lang w:val="nl-NL"/>
        </w:rPr>
        <w:t>- Sản xuất vật liệu xây dựng, gồm: gạch, ngói các loại; vôi; sơn;</w:t>
      </w:r>
    </w:p>
    <w:p>
      <w:pPr>
        <w:pStyle w:val="Normal"/>
        <w:widowControl w:val="false"/>
        <w:ind w:firstLine="720"/>
        <w:jc w:val="both"/>
        <w:rPr>
          <w:color w:val="0000FF"/>
          <w:lang w:val="nl-NL"/>
        </w:rPr>
      </w:pPr>
      <w:r>
        <w:rPr>
          <w:color w:val="0000FF"/>
          <w:lang w:val="nl-NL"/>
        </w:rPr>
        <w:t>- Xây dựng, lắp đặt;</w:t>
      </w:r>
    </w:p>
    <w:p>
      <w:pPr>
        <w:pStyle w:val="Normal"/>
        <w:widowControl w:val="false"/>
        <w:ind w:firstLine="720"/>
        <w:jc w:val="both"/>
        <w:rPr>
          <w:color w:val="0000FF"/>
          <w:lang w:val="nl-NL"/>
        </w:rPr>
      </w:pPr>
      <w:r>
        <w:rPr>
          <w:color w:val="0000FF"/>
          <w:lang w:val="nl-NL"/>
        </w:rPr>
        <w:t>- Dịch vụ du lịch;</w:t>
      </w:r>
    </w:p>
    <w:p>
      <w:pPr>
        <w:pStyle w:val="Normal"/>
        <w:widowControl w:val="false"/>
        <w:ind w:firstLine="720"/>
        <w:jc w:val="both"/>
        <w:rPr>
          <w:color w:val="0000FF"/>
          <w:lang w:val="nl-NL"/>
        </w:rPr>
      </w:pPr>
      <w:r>
        <w:rPr>
          <w:color w:val="0000FF"/>
          <w:lang w:val="nl-NL"/>
        </w:rPr>
        <w:t>- Kinh doanh lương thực;</w:t>
      </w:r>
    </w:p>
    <w:p>
      <w:pPr>
        <w:pStyle w:val="Normal"/>
        <w:widowControl w:val="false"/>
        <w:ind w:firstLine="720"/>
        <w:jc w:val="both"/>
        <w:rPr>
          <w:color w:val="0000FF"/>
          <w:lang w:val="nl-NL"/>
        </w:rPr>
      </w:pPr>
      <w:r>
        <w:rPr>
          <w:color w:val="0000FF"/>
          <w:lang w:val="nl-NL"/>
        </w:rPr>
        <w:t>- Kinh doanh phân bón.</w:t>
      </w:r>
    </w:p>
    <w:p>
      <w:pPr>
        <w:pStyle w:val="Normal"/>
        <w:widowControl w:val="false"/>
        <w:ind w:firstLine="720"/>
        <w:jc w:val="both"/>
        <w:rPr>
          <w:color w:val="0000FF"/>
          <w:lang w:val="nl-NL"/>
        </w:rPr>
      </w:pPr>
      <w:r>
        <w:rPr>
          <w:color w:val="0000FF"/>
          <w:lang w:val="nl-NL"/>
        </w:rPr>
      </w:r>
    </w:p>
    <w:p>
      <w:pPr>
        <w:pStyle w:val="Normal"/>
        <w:widowControl w:val="false"/>
        <w:ind w:firstLine="720"/>
        <w:jc w:val="both"/>
        <w:rPr/>
      </w:pPr>
      <w:r>
        <w:rPr>
          <w:color w:val="0000FF"/>
          <w:lang w:val="nl-NL"/>
        </w:rPr>
        <w:t xml:space="preserve">2. </w:t>
      </w:r>
      <w:r>
        <w:rPr>
          <w:color w:val="0000FF"/>
          <w:lang w:val="pt-BR"/>
        </w:rPr>
        <w:t>Doanh nghiệp nhỏ và vừa được thực hiện theo hướng dẫn tại Thông tư số 03/2009/TT-BTC ngày 13/01/2009 của Bộ Tài chính.</w:t>
      </w:r>
    </w:p>
    <w:p>
      <w:pPr>
        <w:pStyle w:val="Normal"/>
        <w:widowControl w:val="false"/>
        <w:ind w:firstLine="720"/>
        <w:jc w:val="both"/>
        <w:rPr>
          <w:b/>
          <w:b/>
          <w:color w:val="0000FF"/>
          <w:lang w:val="nl-NL"/>
        </w:rPr>
      </w:pPr>
      <w:r>
        <w:rPr>
          <w:b/>
          <w:color w:val="0000FF"/>
          <w:lang w:val="nl-NL"/>
        </w:rPr>
      </w:r>
    </w:p>
    <w:p>
      <w:pPr>
        <w:pStyle w:val="Normal"/>
        <w:widowControl w:val="false"/>
        <w:ind w:firstLine="720"/>
        <w:jc w:val="both"/>
        <w:rPr/>
      </w:pPr>
      <w:r>
        <w:rPr>
          <w:b/>
          <w:color w:val="0000FF"/>
          <w:lang w:val="nl-NL"/>
        </w:rPr>
        <w:t>Điều 2.</w:t>
      </w:r>
      <w:r>
        <w:rPr>
          <w:color w:val="0000FF"/>
          <w:lang w:val="pt-BR"/>
        </w:rPr>
        <w:t xml:space="preserve"> Điều kiện áp dụng</w:t>
      </w:r>
    </w:p>
    <w:p>
      <w:pPr>
        <w:pStyle w:val="Normal"/>
        <w:widowControl w:val="false"/>
        <w:ind w:firstLine="720"/>
        <w:jc w:val="both"/>
        <w:rPr>
          <w:color w:val="0000FF"/>
          <w:lang w:val="pt-BR"/>
        </w:rPr>
      </w:pPr>
      <w:r>
        <w:rPr>
          <w:color w:val="0000FF"/>
          <w:lang w:val="pt-BR"/>
        </w:rPr>
      </w:r>
    </w:p>
    <w:p>
      <w:pPr>
        <w:pStyle w:val="Normal"/>
        <w:widowControl w:val="false"/>
        <w:ind w:firstLine="720"/>
        <w:jc w:val="both"/>
        <w:rPr/>
      </w:pPr>
      <w:r>
        <w:rPr>
          <w:color w:val="0000FF"/>
          <w:lang w:val="pt-BR"/>
        </w:rPr>
        <w:t xml:space="preserve">1. Các ngành nghề theo quy định tại Điều 1 phải được ghi trong Giấy </w:t>
      </w:r>
      <w:r>
        <w:rPr>
          <w:color w:val="0000FF"/>
          <w:lang w:val="vi-VN"/>
        </w:rPr>
        <w:t>chứng nhận đăng ký kinh doanh</w:t>
      </w:r>
      <w:r>
        <w:rPr>
          <w:color w:val="0000FF"/>
          <w:lang w:val="pt-BR"/>
        </w:rPr>
        <w:t xml:space="preserve"> và thực tế có hoạt động kinh doanh.</w:t>
      </w:r>
    </w:p>
    <w:p>
      <w:pPr>
        <w:pStyle w:val="Normal"/>
        <w:widowControl w:val="false"/>
        <w:ind w:firstLine="720"/>
        <w:jc w:val="both"/>
        <w:rPr>
          <w:color w:val="0000FF"/>
          <w:lang w:val="pt-BR"/>
        </w:rPr>
      </w:pPr>
      <w:r>
        <w:rPr>
          <w:color w:val="0000FF"/>
          <w:lang w:val="pt-BR"/>
        </w:rPr>
      </w:r>
    </w:p>
    <w:p>
      <w:pPr>
        <w:pStyle w:val="Normal"/>
        <w:widowControl w:val="false"/>
        <w:ind w:firstLine="720"/>
        <w:jc w:val="both"/>
        <w:rPr>
          <w:color w:val="0000FF"/>
          <w:lang w:val="pt-BR"/>
        </w:rPr>
      </w:pPr>
      <w:r>
        <w:rPr>
          <w:color w:val="0000FF"/>
          <w:lang w:val="pt-BR"/>
        </w:rPr>
        <w:t>2. Việc gia hạn nộp thuế thu nhập doanh nghiệp chỉ áp dụng đối với các doanh nghiệp đã thực hiện chế độ kế toán hoá đơn, chứng từ và thực hiện đăng ký nộp thuế theo kê khai.</w:t>
      </w:r>
    </w:p>
    <w:p>
      <w:pPr>
        <w:pStyle w:val="Normal"/>
        <w:widowControl w:val="false"/>
        <w:ind w:firstLine="720"/>
        <w:jc w:val="both"/>
        <w:rPr>
          <w:color w:val="0000FF"/>
          <w:lang w:val="pt-BR"/>
        </w:rPr>
      </w:pPr>
      <w:r>
        <w:rPr>
          <w:color w:val="0000FF"/>
          <w:lang w:val="pt-BR"/>
        </w:rPr>
      </w:r>
    </w:p>
    <w:p>
      <w:pPr>
        <w:pStyle w:val="Normal"/>
        <w:widowControl w:val="false"/>
        <w:ind w:firstLine="720"/>
        <w:jc w:val="both"/>
        <w:rPr>
          <w:color w:val="0000FF"/>
          <w:lang w:val="pt-BR"/>
        </w:rPr>
      </w:pPr>
      <w:r>
        <w:rPr>
          <w:color w:val="0000FF"/>
          <w:lang w:val="pt-BR"/>
        </w:rPr>
      </w:r>
    </w:p>
    <w:p>
      <w:pPr>
        <w:pStyle w:val="Normal"/>
        <w:widowControl w:val="false"/>
        <w:jc w:val="center"/>
        <w:rPr>
          <w:b/>
          <w:b/>
          <w:color w:val="0000FF"/>
          <w:lang w:val="pt-BR"/>
        </w:rPr>
      </w:pPr>
      <w:r>
        <w:rPr>
          <w:b/>
          <w:color w:val="0000FF"/>
          <w:lang w:val="pt-BR"/>
        </w:rPr>
        <w:t>Phần II</w:t>
      </w:r>
    </w:p>
    <w:p>
      <w:pPr>
        <w:pStyle w:val="Normal"/>
        <w:widowControl w:val="false"/>
        <w:jc w:val="center"/>
        <w:rPr>
          <w:b/>
          <w:b/>
          <w:color w:val="0000FF"/>
          <w:lang w:val="pt-BR"/>
        </w:rPr>
      </w:pPr>
      <w:r>
        <w:rPr>
          <w:b/>
          <w:color w:val="0000FF"/>
          <w:lang w:val="pt-BR"/>
        </w:rPr>
        <w:t>Gia hạn nộp thuế thu nhập doanh nghiệp</w:t>
      </w:r>
    </w:p>
    <w:p>
      <w:pPr>
        <w:pStyle w:val="BodyTextIndent2"/>
        <w:rPr>
          <w:rFonts w:ascii="Times New Roman" w:hAnsi="Times New Roman" w:cs="Times New Roman"/>
          <w:b/>
          <w:b/>
          <w:color w:val="0000FF"/>
          <w:sz w:val="24"/>
          <w:szCs w:val="24"/>
          <w:lang w:val="pt-BR"/>
        </w:rPr>
      </w:pPr>
      <w:r>
        <w:rPr>
          <w:rFonts w:cs="Times New Roman" w:ascii="Times New Roman" w:hAnsi="Times New Roman"/>
          <w:b/>
          <w:color w:val="0000FF"/>
          <w:sz w:val="24"/>
          <w:szCs w:val="24"/>
          <w:lang w:val="pt-BR"/>
        </w:rPr>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r>
    </w:p>
    <w:p>
      <w:pPr>
        <w:pStyle w:val="BodyTextIndent2"/>
        <w:rPr/>
      </w:pPr>
      <w:r>
        <w:rPr>
          <w:rFonts w:eastAsia="Calibri;Century Gothic" w:cs="Times New Roman" w:ascii="Times New Roman" w:hAnsi="Times New Roman"/>
          <w:b/>
          <w:color w:val="0000FF"/>
          <w:sz w:val="24"/>
          <w:szCs w:val="24"/>
          <w:lang w:val="pt-BR"/>
        </w:rPr>
        <w:t>Điều 3.</w:t>
      </w:r>
      <w:r>
        <w:rPr>
          <w:rFonts w:cs="Times New Roman" w:ascii="Times New Roman" w:hAnsi="Times New Roman"/>
          <w:color w:val="0000FF"/>
          <w:sz w:val="24"/>
          <w:szCs w:val="24"/>
          <w:lang w:val="pt-BR"/>
        </w:rPr>
        <w:t xml:space="preserve"> Xác định số thuế thu nhập doanh nghiệp được gia hạn nộp thuế</w:t>
      </w:r>
    </w:p>
    <w:p>
      <w:pPr>
        <w:pStyle w:val="BodyTextIndent2"/>
        <w:spacing w:before="120" w:after="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Số thuế thu nhập doanh nghiệp được gia hạn nộp thuế là số thuế thu nhập doanh nghiệp hàng quý năm 2009 đối với thu nhập từ các hoạt động nêu tại Điều 1, Chương I, Thông tư này.</w:t>
      </w:r>
    </w:p>
    <w:p>
      <w:pPr>
        <w:pStyle w:val="Normal"/>
        <w:widowControl w:val="false"/>
        <w:ind w:firstLine="720"/>
        <w:jc w:val="both"/>
        <w:rPr>
          <w:rFonts w:ascii="Times New Roman" w:hAnsi="Times New Roman" w:cs="Times New Roman"/>
          <w:color w:val="0000FF"/>
          <w:sz w:val="24"/>
          <w:szCs w:val="24"/>
          <w:lang w:val="pt-BR"/>
        </w:rPr>
      </w:pPr>
      <w:r>
        <w:rPr>
          <w:rFonts w:cs="Times New Roman"/>
          <w:color w:val="0000FF"/>
          <w:sz w:val="24"/>
          <w:szCs w:val="24"/>
          <w:lang w:val="pt-BR"/>
        </w:rPr>
      </w:r>
    </w:p>
    <w:p>
      <w:pPr>
        <w:pStyle w:val="Normal"/>
        <w:widowControl w:val="false"/>
        <w:ind w:firstLine="720"/>
        <w:jc w:val="both"/>
        <w:rPr>
          <w:color w:val="0000FF"/>
          <w:lang w:val="pt-BR"/>
        </w:rPr>
      </w:pPr>
      <w:r>
        <w:rPr>
          <w:color w:val="0000FF"/>
          <w:lang w:val="pt-BR"/>
        </w:rPr>
        <w:t>Số thuế thu nhập doanh nghiệp được gia hạn nộp thuế được xác định theo kết quả hạch toán kinh doanh của doanh nghiệp nếu doanh nghiệp hạch toán riêng được thu nhập từ hoạt động kinh doanh được gia hạn nộp thuế.</w:t>
      </w:r>
    </w:p>
    <w:p>
      <w:pPr>
        <w:pStyle w:val="BodyTextIndent2"/>
        <w:spacing w:before="120" w:after="0"/>
        <w:rPr/>
      </w:pPr>
      <w:r>
        <w:rPr>
          <w:rFonts w:cs="Times New Roman" w:ascii="Times New Roman" w:hAnsi="Times New Roman"/>
          <w:color w:val="0000FF"/>
          <w:sz w:val="24"/>
          <w:szCs w:val="24"/>
          <w:lang w:val="pt-BR"/>
        </w:rPr>
        <w:t>Trường hợp doanh nghiệp không hạch toán riêng được số thuế thu nhập doanh nghiệp phải nộp của các hoạt động kinh doanh được gia hạn nộp thuế thì số thuế thu nhập doanh nghiệp được gia hạn nộp thuế xác định theo tỷ lệ giữa doanh thu của các hoạt động kinh doanh được gia hạn nộp thuế với tổng doanh thu từ các hoạt động kinh doanh của doanh nghiệp trong từng quý.</w:t>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r>
    </w:p>
    <w:p>
      <w:pPr>
        <w:pStyle w:val="BodyTextIndent2"/>
        <w:rPr/>
      </w:pPr>
      <w:r>
        <w:rPr>
          <w:rFonts w:eastAsia="Calibri;Century Gothic" w:cs="Times New Roman" w:ascii="Times New Roman" w:hAnsi="Times New Roman"/>
          <w:b/>
          <w:color w:val="0000FF"/>
          <w:sz w:val="24"/>
          <w:szCs w:val="24"/>
        </w:rPr>
        <w:t>Điều 4.</w:t>
      </w:r>
      <w:r>
        <w:rPr>
          <w:rFonts w:cs="Times New Roman" w:ascii="Times New Roman" w:hAnsi="Times New Roman"/>
          <w:color w:val="0000FF"/>
          <w:sz w:val="24"/>
          <w:szCs w:val="24"/>
          <w:lang w:val="pt-BR"/>
        </w:rPr>
        <w:t xml:space="preserve"> Thời gian gia hạn, kê khai nộp thuế thu nhập doanh nghiệp từng quý được xác định như sau</w:t>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1. Thời gian gia hạn chậm nộp thuế</w:t>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 Số thuế của quý I năm 2009 được gia hạn nộp thuế chậm nhất đến hết ngày 30/01/2010;</w:t>
      </w:r>
    </w:p>
    <w:p>
      <w:pPr>
        <w:pStyle w:val="BodyTextIndent2"/>
        <w:spacing w:before="120" w:after="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  Số thuế của quý II năm 2009 được gia hạn nộp thuế chậm nhất đến hết ngày 30/4/2010;</w:t>
      </w:r>
    </w:p>
    <w:p>
      <w:pPr>
        <w:pStyle w:val="Normal"/>
        <w:spacing w:before="120" w:after="0"/>
        <w:ind w:firstLine="720"/>
        <w:jc w:val="both"/>
        <w:rPr>
          <w:color w:val="0000FF"/>
          <w:lang w:val="pt-BR"/>
        </w:rPr>
      </w:pPr>
      <w:r>
        <w:rPr>
          <w:color w:val="0000FF"/>
          <w:lang w:val="pt-BR"/>
        </w:rPr>
        <w:t>- Số thuế của quý III năm 2009 được gia hạn nộp thuế chậm nhất đến hết ngày 30/7/2010;</w:t>
      </w:r>
    </w:p>
    <w:p>
      <w:pPr>
        <w:pStyle w:val="Normal"/>
        <w:spacing w:before="120" w:after="0"/>
        <w:ind w:firstLine="720"/>
        <w:jc w:val="both"/>
        <w:rPr>
          <w:color w:val="0000FF"/>
          <w:lang w:val="pt-BR"/>
        </w:rPr>
      </w:pPr>
      <w:r>
        <w:rPr>
          <w:color w:val="0000FF"/>
          <w:lang w:val="pt-BR"/>
        </w:rPr>
        <w:t>- Số thuế của quý IV năm 2009 được gia hạn nộp thuế chậm nhất đến hết ngày 30/10/2010.</w:t>
      </w:r>
    </w:p>
    <w:p>
      <w:pPr>
        <w:pStyle w:val="TextBodyIndent"/>
        <w:rPr>
          <w:rFonts w:ascii="Times New Roman" w:hAnsi="Times New Roman" w:eastAsia="Calibri;Century Gothic" w:cs="Times New Roman"/>
          <w:color w:val="0000FF"/>
          <w:sz w:val="24"/>
          <w:lang w:val="pt-BR"/>
        </w:rPr>
      </w:pPr>
      <w:r>
        <w:rPr>
          <w:rFonts w:eastAsia="Calibri;Century Gothic" w:cs="Times New Roman" w:ascii="Times New Roman" w:hAnsi="Times New Roman"/>
          <w:color w:val="0000FF"/>
          <w:sz w:val="24"/>
          <w:lang w:val="pt-BR"/>
        </w:rPr>
      </w:r>
    </w:p>
    <w:p>
      <w:pPr>
        <w:pStyle w:val="TextBodyIndent"/>
        <w:ind w:left="720" w:hanging="0"/>
        <w:rPr>
          <w:rFonts w:ascii="Times New Roman" w:hAnsi="Times New Roman" w:eastAsia="Calibri;Century Gothic" w:cs="Times New Roman"/>
          <w:color w:val="0000FF"/>
          <w:sz w:val="24"/>
          <w:lang w:val="pt-BR"/>
        </w:rPr>
      </w:pPr>
      <w:r>
        <w:rPr>
          <w:rFonts w:eastAsia="Calibri;Century Gothic" w:cs="Times New Roman" w:ascii="Times New Roman" w:hAnsi="Times New Roman"/>
          <w:color w:val="0000FF"/>
          <w:sz w:val="24"/>
          <w:lang w:val="pt-BR"/>
        </w:rPr>
        <w:t>2. Kê khai số thuế được gia hạn chậm nộp</w:t>
      </w:r>
    </w:p>
    <w:p>
      <w:pPr>
        <w:pStyle w:val="BodyTextIndent2"/>
        <w:rPr>
          <w:rFonts w:ascii="Times New Roman" w:hAnsi="Times New Roman" w:eastAsia="Calibri;Century Gothic" w:cs="Times New Roman"/>
          <w:color w:val="0000FF"/>
          <w:sz w:val="24"/>
          <w:szCs w:val="24"/>
          <w:lang w:val="pt-BR"/>
        </w:rPr>
      </w:pPr>
      <w:r>
        <w:rPr>
          <w:rFonts w:eastAsia="Calibri;Century Gothic" w:cs="Times New Roman" w:ascii="Times New Roman" w:hAnsi="Times New Roman"/>
          <w:color w:val="0000FF"/>
          <w:sz w:val="24"/>
          <w:szCs w:val="24"/>
          <w:lang w:val="pt-BR"/>
        </w:rPr>
      </w:r>
    </w:p>
    <w:p>
      <w:pPr>
        <w:pStyle w:val="BodyTextIndent2"/>
        <w:rPr/>
      </w:pPr>
      <w:r>
        <w:rPr>
          <w:rFonts w:eastAsia="Calibri;Century Gothic" w:cs="Times New Roman" w:ascii="Times New Roman" w:hAnsi="Times New Roman"/>
          <w:color w:val="0000FF"/>
          <w:sz w:val="24"/>
          <w:szCs w:val="24"/>
          <w:lang w:val="pt-BR"/>
        </w:rPr>
        <w:t xml:space="preserve">Doanh nghiệp kê khai số thuế được gia hạn chậm nộp từng quý thực hiện theo hướng dẫn tại Mục I và Mục III, Phần B, Thông tư số 60/2007/TT-BTC ngày 14/6/2007 của Bộ Tài chính. </w:t>
      </w:r>
      <w:r>
        <w:rPr>
          <w:rFonts w:cs="Times New Roman" w:ascii="Times New Roman" w:hAnsi="Times New Roman"/>
          <w:color w:val="0000FF"/>
          <w:sz w:val="24"/>
          <w:szCs w:val="24"/>
          <w:lang w:val="pt-BR"/>
        </w:rPr>
        <w:t>Đồng thời doanh nghiệp cam kết trong tờ khai thời hạn phải nộp đủ số thuế thu nhập doanh nghiệp khi hết thời gian được gia hạn nộp thuế.</w:t>
      </w:r>
    </w:p>
    <w:p>
      <w:pPr>
        <w:pStyle w:val="TextBodyIndent"/>
        <w:rPr>
          <w:rFonts w:ascii="Times New Roman" w:hAnsi="Times New Roman" w:eastAsia="Calibri;Century Gothic" w:cs="Times New Roman"/>
          <w:color w:val="0000FF"/>
          <w:sz w:val="24"/>
          <w:szCs w:val="24"/>
          <w:lang w:val="pt-BR"/>
        </w:rPr>
      </w:pPr>
      <w:r>
        <w:rPr>
          <w:rFonts w:eastAsia="Calibri;Century Gothic" w:cs="Times New Roman" w:ascii="Times New Roman" w:hAnsi="Times New Roman"/>
          <w:color w:val="0000FF"/>
          <w:sz w:val="24"/>
          <w:szCs w:val="24"/>
          <w:lang w:val="pt-BR"/>
        </w:rPr>
      </w:r>
    </w:p>
    <w:p>
      <w:pPr>
        <w:pStyle w:val="TextBodyIndent"/>
        <w:rPr>
          <w:rFonts w:ascii="Times New Roman" w:hAnsi="Times New Roman" w:eastAsia="Calibri;Century Gothic" w:cs="Times New Roman"/>
          <w:color w:val="0000FF"/>
          <w:sz w:val="24"/>
          <w:lang w:val="pt-BR"/>
        </w:rPr>
      </w:pPr>
      <w:r>
        <w:rPr>
          <w:rFonts w:eastAsia="Calibri;Century Gothic" w:cs="Times New Roman" w:ascii="Times New Roman" w:hAnsi="Times New Roman"/>
          <w:color w:val="0000FF"/>
          <w:sz w:val="24"/>
          <w:lang w:val="pt-BR"/>
        </w:rPr>
        <w:t xml:space="preserve">Trường hợp ngày cuối cùng của thời hạn nộp hồ sơ khai thuế, gia hạn nộp thuế quy định tại Điều này trùng với ngày nghỉ theo quy định của pháp luật thì ngày cuối cùng của thời hạn nêu trên là ngày tiếp theo của ngày nghỉ. </w:t>
      </w:r>
    </w:p>
    <w:p>
      <w:pPr>
        <w:pStyle w:val="Normal"/>
        <w:ind w:firstLine="720"/>
        <w:jc w:val="both"/>
        <w:rPr>
          <w:rFonts w:ascii="Times New Roman" w:hAnsi="Times New Roman" w:eastAsia="Calibri;Century Gothic" w:cs="Times New Roman"/>
          <w:color w:val="0000FF"/>
          <w:sz w:val="24"/>
          <w:lang w:val="vi-VN"/>
        </w:rPr>
      </w:pPr>
      <w:r>
        <w:rPr>
          <w:rFonts w:eastAsia="Calibri;Century Gothic" w:cs="Times New Roman"/>
          <w:color w:val="0000FF"/>
          <w:sz w:val="24"/>
          <w:lang w:val="vi-VN"/>
        </w:rPr>
      </w:r>
    </w:p>
    <w:p>
      <w:pPr>
        <w:pStyle w:val="Normal"/>
        <w:widowControl w:val="false"/>
        <w:tabs>
          <w:tab w:val="clear" w:pos="720"/>
          <w:tab w:val="left" w:pos="140" w:leader="none"/>
        </w:tabs>
        <w:ind w:firstLine="720"/>
        <w:jc w:val="center"/>
        <w:rPr>
          <w:b/>
          <w:b/>
          <w:color w:val="0000FF"/>
          <w:lang w:val="pt-BR"/>
        </w:rPr>
      </w:pPr>
      <w:r>
        <w:rPr>
          <w:b/>
          <w:color w:val="0000FF"/>
          <w:lang w:val="pt-BR"/>
        </w:rPr>
      </w:r>
    </w:p>
    <w:p>
      <w:pPr>
        <w:pStyle w:val="Normal"/>
        <w:widowControl w:val="false"/>
        <w:tabs>
          <w:tab w:val="clear" w:pos="720"/>
          <w:tab w:val="left" w:pos="140" w:leader="none"/>
        </w:tabs>
        <w:jc w:val="center"/>
        <w:rPr>
          <w:b/>
          <w:b/>
          <w:color w:val="0000FF"/>
          <w:lang w:val="pt-BR"/>
        </w:rPr>
      </w:pPr>
      <w:r>
        <w:rPr>
          <w:b/>
          <w:color w:val="0000FF"/>
          <w:lang w:val="pt-BR"/>
        </w:rPr>
        <w:t>Phần III</w:t>
      </w:r>
    </w:p>
    <w:p>
      <w:pPr>
        <w:pStyle w:val="Normal"/>
        <w:widowControl w:val="false"/>
        <w:tabs>
          <w:tab w:val="clear" w:pos="720"/>
          <w:tab w:val="left" w:pos="140" w:leader="none"/>
        </w:tabs>
        <w:jc w:val="center"/>
        <w:rPr>
          <w:b/>
          <w:b/>
          <w:color w:val="0000FF"/>
          <w:lang w:val="pt-BR"/>
        </w:rPr>
      </w:pPr>
      <w:r>
        <w:rPr>
          <w:b/>
          <w:color w:val="0000FF"/>
          <w:lang w:val="pt-BR"/>
        </w:rPr>
        <w:t>Tổ chức thực hiện</w:t>
      </w:r>
    </w:p>
    <w:p>
      <w:pPr>
        <w:pStyle w:val="Normal"/>
        <w:widowControl w:val="false"/>
        <w:tabs>
          <w:tab w:val="clear" w:pos="720"/>
          <w:tab w:val="left" w:pos="140" w:leader="none"/>
        </w:tabs>
        <w:ind w:firstLine="720"/>
        <w:jc w:val="both"/>
        <w:rPr>
          <w:b/>
          <w:b/>
          <w:color w:val="0000FF"/>
          <w:lang w:val="pt-BR"/>
        </w:rPr>
      </w:pPr>
      <w:r>
        <w:rPr>
          <w:b/>
          <w:color w:val="0000FF"/>
          <w:lang w:val="pt-BR"/>
        </w:rPr>
      </w:r>
    </w:p>
    <w:p>
      <w:pPr>
        <w:pStyle w:val="Normal"/>
        <w:widowControl w:val="false"/>
        <w:tabs>
          <w:tab w:val="clear" w:pos="720"/>
          <w:tab w:val="left" w:pos="140" w:leader="none"/>
        </w:tabs>
        <w:ind w:firstLine="720"/>
        <w:jc w:val="both"/>
        <w:rPr>
          <w:color w:val="0000FF"/>
          <w:lang w:val="pt-BR"/>
        </w:rPr>
      </w:pPr>
      <w:r>
        <w:rPr>
          <w:color w:val="0000FF"/>
          <w:lang w:val="pt-BR"/>
        </w:rPr>
      </w:r>
    </w:p>
    <w:p>
      <w:pPr>
        <w:pStyle w:val="Normal"/>
        <w:widowControl w:val="false"/>
        <w:ind w:firstLine="720"/>
        <w:jc w:val="both"/>
        <w:rPr/>
      </w:pPr>
      <w:r>
        <w:rPr>
          <w:b/>
          <w:color w:val="0000FF"/>
          <w:lang w:val="pt-BR"/>
        </w:rPr>
        <w:t xml:space="preserve">Điều 5. </w:t>
      </w:r>
      <w:r>
        <w:rPr>
          <w:color w:val="0000FF"/>
          <w:lang w:val="pt-BR"/>
        </w:rPr>
        <w:t xml:space="preserve">Thông tư này có hiệu lực thi hành sau 45 ngày kể từ ngày ký và được áp dụng từ kỳ khai thuế thu nhập doanh nghiệp quý I/2009. </w:t>
      </w:r>
    </w:p>
    <w:p>
      <w:pPr>
        <w:pStyle w:val="Normal"/>
        <w:widowControl w:val="false"/>
        <w:ind w:firstLine="720"/>
        <w:jc w:val="both"/>
        <w:rPr>
          <w:color w:val="0000FF"/>
          <w:lang w:val="pt-BR"/>
        </w:rPr>
      </w:pPr>
      <w:r>
        <w:rPr>
          <w:color w:val="0000FF"/>
          <w:lang w:val="pt-BR"/>
        </w:rPr>
        <w:tab/>
      </w:r>
    </w:p>
    <w:p>
      <w:pPr>
        <w:pStyle w:val="Normal"/>
        <w:widowControl w:val="false"/>
        <w:ind w:firstLine="720"/>
        <w:jc w:val="both"/>
        <w:rPr/>
      </w:pPr>
      <w:r>
        <w:rPr>
          <w:b/>
          <w:color w:val="0000FF"/>
          <w:lang w:val="pt-BR"/>
        </w:rPr>
        <w:t>Điều 6.</w:t>
      </w:r>
      <w:r>
        <w:rPr>
          <w:color w:val="0000FF"/>
          <w:lang w:val="pt-BR"/>
        </w:rPr>
        <w:t xml:space="preserve"> Trong quá trình thực hiện nếu có vướng mắc, đề nghị các tổ chức, cá nhân phản ánh về Bộ Tài chính để được hướng dẫn giải quyết kịp thời.</w:t>
      </w:r>
    </w:p>
    <w:p>
      <w:pPr>
        <w:pStyle w:val="Normal"/>
        <w:widowControl w:val="false"/>
        <w:jc w:val="both"/>
        <w:rPr>
          <w:color w:val="0000FF"/>
          <w:lang w:val="pt-BR"/>
        </w:rPr>
      </w:pPr>
      <w:r>
        <w:rPr>
          <w:color w:val="0000FF"/>
          <w:lang w:val="pt-BR"/>
        </w:rPr>
      </w:r>
    </w:p>
    <w:p>
      <w:pPr>
        <w:pStyle w:val="Normal"/>
        <w:widowControl w:val="false"/>
        <w:jc w:val="both"/>
        <w:rPr>
          <w:color w:val="0000FF"/>
          <w:lang w:val="pt-BR"/>
        </w:rPr>
      </w:pPr>
      <w:r>
        <w:rPr>
          <w:color w:val="0000FF"/>
          <w:lang w:val="pt-BR"/>
        </w:rPr>
      </w:r>
    </w:p>
    <w:p>
      <w:pPr>
        <w:pStyle w:val="Normal"/>
        <w:widowControl w:val="false"/>
        <w:jc w:val="both"/>
        <w:rPr>
          <w:color w:val="0000FF"/>
          <w:lang w:val="pt-BR"/>
        </w:rPr>
      </w:pPr>
      <w:r>
        <w:rPr>
          <w:color w:val="0000FF"/>
          <w:lang w:val="pt-BR"/>
        </w:rPr>
      </w:r>
    </w:p>
    <w:tbl>
      <w:tblPr>
        <w:tblW w:w="9071" w:type="dxa"/>
        <w:jc w:val="left"/>
        <w:tblInd w:w="-28" w:type="dxa"/>
        <w:tblLayout w:type="fixed"/>
        <w:tblCellMar>
          <w:top w:w="0" w:type="dxa"/>
          <w:left w:w="28" w:type="dxa"/>
          <w:bottom w:w="0" w:type="dxa"/>
          <w:right w:w="28" w:type="dxa"/>
        </w:tblCellMar>
      </w:tblPr>
      <w:tblGrid>
        <w:gridCol w:w="4508"/>
        <w:gridCol w:w="4563"/>
      </w:tblGrid>
      <w:tr>
        <w:trPr/>
        <w:tc>
          <w:tcPr>
            <w:tcW w:w="4508" w:type="dxa"/>
            <w:tcBorders/>
          </w:tcPr>
          <w:p>
            <w:pPr>
              <w:pStyle w:val="Normal"/>
              <w:widowControl w:val="false"/>
              <w:jc w:val="both"/>
              <w:rPr>
                <w:b/>
                <w:b/>
                <w:i/>
                <w:i/>
                <w:color w:val="0000FF"/>
                <w:lang w:val="nl-NL"/>
              </w:rPr>
            </w:pPr>
            <w:r>
              <w:rPr>
                <w:b/>
                <w:i/>
                <w:color w:val="0000FF"/>
                <w:lang w:val="nl-NL"/>
              </w:rPr>
              <w:t>Nơi nhận:</w:t>
            </w:r>
          </w:p>
        </w:tc>
        <w:tc>
          <w:tcPr>
            <w:tcW w:w="4563" w:type="dxa"/>
            <w:tcBorders/>
          </w:tcPr>
          <w:p>
            <w:pPr>
              <w:pStyle w:val="Normal"/>
              <w:widowControl w:val="false"/>
              <w:jc w:val="center"/>
              <w:rPr>
                <w:b/>
                <w:b/>
                <w:color w:val="0000FF"/>
                <w:lang w:val="nl-NL"/>
              </w:rPr>
            </w:pPr>
            <w:r>
              <w:rPr>
                <w:b/>
                <w:color w:val="0000FF"/>
                <w:lang w:val="nl-NL"/>
              </w:rPr>
              <w:t>KT. BỘ TRƯỞNG</w:t>
            </w:r>
          </w:p>
        </w:tc>
      </w:tr>
      <w:tr>
        <w:trPr/>
        <w:tc>
          <w:tcPr>
            <w:tcW w:w="4508" w:type="dxa"/>
            <w:vMerge w:val="restart"/>
            <w:tcBorders/>
          </w:tcPr>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Trung ương và các Ban của Đảng;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Quốc hội;</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Chủ tịch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Viện Kiểm sát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Toà án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Kiểm toán nhà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Các Bộ, cơ quan ngang Bộ, </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cơ quan thuộc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Cơ quan Trung ương của các đoàn thể;</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Hội đồng nhân dân, Uỷ ban nhân dân, </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 xml:space="preserve">Sở Tài chính, Cục Thuế, Kho bạc nhà nước </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các tỉnh, thành phố trực thuộc Trung ương;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Công báo;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Cục Kiểm tra văn bản (Bộ Tư pháp);</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Bộ Tài chính;</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Các đơn vị thuộc Bộ Tài chính;</w:t>
            </w:r>
          </w:p>
          <w:p>
            <w:pPr>
              <w:pStyle w:val="Normal"/>
              <w:widowControl w:val="false"/>
              <w:jc w:val="both"/>
              <w:rPr>
                <w:i/>
                <w:i/>
                <w:color w:val="0000FF"/>
              </w:rPr>
            </w:pPr>
            <w:r>
              <w:rPr>
                <w:color w:val="0000FF"/>
              </w:rPr>
              <w:t>- Lưu: VT, TCT (VT, CS).</w:t>
            </w:r>
          </w:p>
        </w:tc>
        <w:tc>
          <w:tcPr>
            <w:tcW w:w="4563" w:type="dxa"/>
            <w:tcBorders/>
          </w:tcPr>
          <w:p>
            <w:pPr>
              <w:pStyle w:val="Normal"/>
              <w:widowControl w:val="false"/>
              <w:jc w:val="center"/>
              <w:rPr>
                <w:b/>
                <w:b/>
                <w:color w:val="0000FF"/>
                <w:lang w:val="nl-NL"/>
              </w:rPr>
            </w:pPr>
            <w:r>
              <w:rPr>
                <w:b/>
                <w:color w:val="0000FF"/>
                <w:lang w:val="nl-NL"/>
              </w:rPr>
              <w:t>THỨ TRƯỞNG</w:t>
            </w:r>
          </w:p>
        </w:tc>
      </w:tr>
      <w:tr>
        <w:trPr/>
        <w:tc>
          <w:tcPr>
            <w:tcW w:w="4508" w:type="dxa"/>
            <w:vMerge w:val="continue"/>
            <w:tcBorders/>
          </w:tcPr>
          <w:p>
            <w:pPr>
              <w:pStyle w:val="Normal"/>
              <w:widowControl w:val="false"/>
              <w:snapToGrid w:val="false"/>
              <w:jc w:val="both"/>
              <w:rPr>
                <w:b/>
                <w:b/>
                <w:color w:val="0000FF"/>
                <w:lang w:val="nl-NL"/>
              </w:rPr>
            </w:pPr>
            <w:r>
              <w:rPr>
                <w:b/>
                <w:color w:val="0000FF"/>
                <w:lang w:val="nl-NL"/>
              </w:rPr>
            </w:r>
          </w:p>
        </w:tc>
        <w:tc>
          <w:tcPr>
            <w:tcW w:w="4563" w:type="dxa"/>
            <w:tcBorders/>
          </w:tcPr>
          <w:p>
            <w:pPr>
              <w:pStyle w:val="Normal"/>
              <w:widowControl w:val="false"/>
              <w:snapToGrid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t>(Đã ký)</w:t>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t>Đỗ Hoàng Anh Tuấn</w:t>
            </w:r>
          </w:p>
        </w:tc>
      </w:tr>
    </w:tbl>
    <w:p>
      <w:pPr>
        <w:pStyle w:val="Normal"/>
        <w:rPr>
          <w:color w:val="0000FF"/>
          <w:lang w:val="pt-BR"/>
        </w:rPr>
      </w:pPr>
      <w:r>
        <w:rPr>
          <w:color w:val="0000FF"/>
          <w:lang w:val="pt-BR"/>
        </w:rPr>
      </w:r>
    </w:p>
    <w:p>
      <w:pPr>
        <w:pStyle w:val="Normal"/>
        <w:rPr>
          <w:color w:val="0000FF"/>
          <w:lang w:val="pt-BR"/>
        </w:rPr>
      </w:pPr>
      <w:r>
        <w:rPr>
          <w:color w:val="0000FF"/>
          <w:lang w:val="pt-BR"/>
        </w:rPr>
      </w:r>
    </w:p>
    <w:p>
      <w:pPr>
        <w:pStyle w:val="Normal"/>
        <w:rPr>
          <w:color w:val="0000FF"/>
          <w:lang w:val="pt-BR"/>
        </w:rPr>
      </w:pPr>
      <w:r>
        <w:rPr>
          <w:color w:val="0000FF"/>
          <w:lang w:val="pt-B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3</w:t>
    </w:r>
    <w:r>
      <w:rPr>
        <w:sz w:val="24"/>
        <w:szCs w:val="24"/>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7">
    <w:name w:val="Heading 7"/>
    <w:basedOn w:val="Normal"/>
    <w:next w:val="Normal"/>
    <w:qFormat/>
    <w:pPr>
      <w:keepNext w:val="true"/>
      <w:numPr>
        <w:ilvl w:val="6"/>
        <w:numId w:val="1"/>
      </w:numPr>
      <w:jc w:val="center"/>
      <w:outlineLvl w:val="6"/>
    </w:pPr>
    <w:rPr>
      <w:rFonts w:ascii=".VnTime" w:hAnsi=".VnTime" w:cs=".VnTime"/>
      <w:i/>
      <w:iCs/>
      <w:sz w:val="28"/>
      <w:szCs w:val="28"/>
    </w:rPr>
  </w:style>
  <w:style w:type="character" w:styleId="DefaultParagraphFont">
    <w:name w:val="Default Paragraph Font"/>
    <w:qFormat/>
    <w:rPr/>
  </w:style>
  <w:style w:type="character" w:styleId="CharChar5">
    <w:name w:val=" Char Char5"/>
    <w:basedOn w:val="DefaultParagraphFont"/>
    <w:qFormat/>
    <w:rPr>
      <w:rFonts w:ascii=".VnTime" w:hAnsi=".VnTime" w:cs=".VnTime"/>
      <w:i/>
      <w:iCs/>
      <w:sz w:val="28"/>
      <w:szCs w:val="28"/>
      <w:lang w:val="en-US" w:bidi="ar-SA"/>
    </w:rPr>
  </w:style>
  <w:style w:type="character" w:styleId="CharChar4">
    <w:name w:val=" Char Char4"/>
    <w:basedOn w:val="DefaultParagraphFont"/>
    <w:qFormat/>
    <w:rPr>
      <w:rFonts w:eastAsia="Calibri;Century Gothic"/>
      <w:sz w:val="28"/>
      <w:szCs w:val="22"/>
      <w:lang w:val="en-US" w:bidi="ar-SA"/>
    </w:rPr>
  </w:style>
  <w:style w:type="character" w:styleId="CharChar2">
    <w:name w:val=" Char Char2"/>
    <w:basedOn w:val="DefaultParagraphFont"/>
    <w:qFormat/>
    <w:rPr>
      <w:rFonts w:ascii=".VnTime" w:hAnsi=".VnTime" w:cs=".VnTime"/>
      <w:sz w:val="28"/>
      <w:szCs w:val="24"/>
      <w:lang w:val="en-US" w:bidi="ar-SA"/>
    </w:rPr>
  </w:style>
  <w:style w:type="character" w:styleId="CharChar">
    <w:name w:val=" Char Char"/>
    <w:basedOn w:val="DefaultParagraphFont"/>
    <w:qFormat/>
    <w:rPr>
      <w:rFonts w:ascii=".VnTime" w:hAnsi=".VnTime" w:cs=".VnTime"/>
      <w:sz w:val="28"/>
      <w:szCs w:val="28"/>
      <w:lang w:val="en-US" w:bidi="ar-SA"/>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rFonts w:eastAsia="Calibri;Century Gothic"/>
      <w:sz w:val="28"/>
      <w:szCs w:val="22"/>
    </w:rPr>
  </w:style>
  <w:style w:type="paragraph" w:styleId="TextBodyIndent">
    <w:name w:val="Body Text Indent"/>
    <w:basedOn w:val="Normal"/>
    <w:pPr>
      <w:widowControl w:val="false"/>
      <w:spacing w:before="120" w:after="0"/>
      <w:ind w:firstLine="720"/>
      <w:jc w:val="both"/>
    </w:pPr>
    <w:rPr>
      <w:rFonts w:ascii=".VnTime" w:hAnsi=".VnTime" w:cs=".VnTime"/>
      <w:sz w:val="28"/>
    </w:rPr>
  </w:style>
  <w:style w:type="paragraph" w:styleId="BodyTextIndent2">
    <w:name w:val="Body Text Indent 2"/>
    <w:basedOn w:val="Normal"/>
    <w:qFormat/>
    <w:pPr>
      <w:autoSpaceDE w:val="false"/>
      <w:ind w:firstLine="720"/>
      <w:jc w:val="both"/>
    </w:pPr>
    <w:rPr>
      <w:rFonts w:ascii=".VnTime" w:hAnsi=".VnTime" w:cs=".VnTime"/>
      <w:sz w:val="28"/>
      <w:szCs w:val="28"/>
    </w:rPr>
  </w:style>
  <w:style w:type="paragraph" w:styleId="Char">
    <w:name w:val=" Char"/>
    <w:basedOn w:val="Normal"/>
    <w:qFormat/>
    <w:pPr>
      <w:pageBreakBefore/>
      <w:spacing w:before="280" w:after="280"/>
    </w:pPr>
    <w:rPr>
      <w:rFonts w:ascii="Tahoma" w:hAnsi="Tahoma" w:cs="Tahom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2009-02-05T03:23:00Z</dcterms:created>
  <dc:creator>BTC</dc:creator>
  <dc:description/>
  <cp:keywords/>
  <dc:language>en-US</dc:language>
  <cp:lastModifiedBy>BTC</cp:lastModifiedBy>
  <dcterms:modified xsi:type="dcterms:W3CDTF">2009-02-05T03:23:00Z</dcterms:modified>
  <cp:revision>1</cp:revision>
  <dc:subject/>
  <dc:title>BỘ TÀI CHÍNH</dc:title>
</cp:coreProperties>
</file>