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vanish/>
          <w:color w:val="0000FF"/>
        </w:rPr>
      </w:pPr>
      <w:r>
        <w:rPr>
          <w:vanish/>
          <w:color w:val="0000FF"/>
        </w:rPr>
      </w:r>
    </w:p>
    <w:tbl>
      <w:tblPr>
        <w:tblW w:w="8856" w:type="dxa"/>
        <w:jc w:val="left"/>
        <w:tblInd w:w="-108" w:type="dxa"/>
        <w:tblLayout w:type="fixed"/>
        <w:tblCellMar>
          <w:top w:w="0" w:type="dxa"/>
          <w:left w:w="108" w:type="dxa"/>
          <w:bottom w:w="0" w:type="dxa"/>
          <w:right w:w="108" w:type="dxa"/>
        </w:tblCellMar>
      </w:tblPr>
      <w:tblGrid>
        <w:gridCol w:w="3112"/>
        <w:gridCol w:w="259"/>
        <w:gridCol w:w="5485"/>
      </w:tblGrid>
      <w:tr>
        <w:trPr/>
        <w:tc>
          <w:tcPr>
            <w:tcW w:w="3112" w:type="dxa"/>
            <w:tcBorders/>
          </w:tcPr>
          <w:p>
            <w:pPr>
              <w:pStyle w:val="Normal"/>
              <w:widowControl w:val="false"/>
              <w:jc w:val="center"/>
              <w:rPr>
                <w:b/>
                <w:b/>
                <w:bCs/>
                <w:color w:val="0000FF"/>
                <w:lang w:val="nl-NL"/>
              </w:rPr>
            </w:pPr>
            <w:r>
              <w:rPr>
                <w:b/>
                <w:bCs/>
                <w:color w:val="0000FF"/>
                <w:lang w:val="nl-NL"/>
              </w:rPr>
              <w:t>BỘ TÀI CHÍNH</w:t>
            </w:r>
          </w:p>
        </w:tc>
        <w:tc>
          <w:tcPr>
            <w:tcW w:w="259" w:type="dxa"/>
            <w:tcBorders/>
          </w:tcPr>
          <w:p>
            <w:pPr>
              <w:pStyle w:val="Normal"/>
              <w:widowControl w:val="false"/>
              <w:snapToGrid w:val="false"/>
              <w:rPr>
                <w:b/>
                <w:b/>
                <w:bCs/>
                <w:color w:val="0000FF"/>
                <w:lang w:val="nl-NL"/>
              </w:rPr>
            </w:pPr>
            <w:r>
              <w:rPr>
                <w:b/>
                <w:bCs/>
                <w:color w:val="0000FF"/>
                <w:lang w:val="nl-NL"/>
              </w:rPr>
            </w:r>
          </w:p>
        </w:tc>
        <w:tc>
          <w:tcPr>
            <w:tcW w:w="5485" w:type="dxa"/>
            <w:tcBorders/>
          </w:tcPr>
          <w:p>
            <w:pPr>
              <w:pStyle w:val="Normal"/>
              <w:widowControl w:val="false"/>
              <w:jc w:val="center"/>
              <w:rPr>
                <w:b/>
                <w:b/>
                <w:bCs/>
                <w:color w:val="0000FF"/>
                <w:lang w:val="nl-NL"/>
              </w:rPr>
            </w:pPr>
            <w:r>
              <w:rPr>
                <w:b/>
                <w:bCs/>
                <w:color w:val="0000FF"/>
                <w:lang w:val="nl-NL"/>
              </w:rPr>
              <w:t>CỘNG HOÀ XÃ HỘI CHỦ NGHĨA VIỆT NAM</w:t>
            </w:r>
          </w:p>
        </w:tc>
      </w:tr>
      <w:tr>
        <w:trPr/>
        <w:tc>
          <w:tcPr>
            <w:tcW w:w="3112" w:type="dxa"/>
            <w:tcBorders/>
          </w:tcPr>
          <w:p>
            <w:pPr>
              <w:pStyle w:val="Normal"/>
              <w:widowControl w:val="false"/>
              <w:jc w:val="center"/>
              <w:rPr>
                <w:color w:val="0000FF"/>
                <w:lang w:val="nl-NL"/>
              </w:rPr>
            </w:pPr>
            <w:r>
              <w:rPr>
                <w:color w:val="0000FF"/>
                <w:lang w:val="nl-NL"/>
              </w:rPr>
              <w:t>--------</w:t>
            </w:r>
          </w:p>
        </w:tc>
        <w:tc>
          <w:tcPr>
            <w:tcW w:w="259" w:type="dxa"/>
            <w:tcBorders/>
          </w:tcPr>
          <w:p>
            <w:pPr>
              <w:pStyle w:val="Normal"/>
              <w:widowControl w:val="false"/>
              <w:snapToGrid w:val="false"/>
              <w:rPr>
                <w:b/>
                <w:b/>
                <w:bCs/>
                <w:color w:val="0000FF"/>
                <w:lang w:val="nl-NL"/>
              </w:rPr>
            </w:pPr>
            <w:r>
              <w:rPr>
                <w:b/>
                <w:bCs/>
                <w:color w:val="0000FF"/>
                <w:lang w:val="nl-NL"/>
              </w:rPr>
            </w:r>
          </w:p>
        </w:tc>
        <w:tc>
          <w:tcPr>
            <w:tcW w:w="5485" w:type="dxa"/>
            <w:tcBorders/>
          </w:tcPr>
          <w:p>
            <w:pPr>
              <w:pStyle w:val="Normal"/>
              <w:widowControl w:val="false"/>
              <w:jc w:val="center"/>
              <w:rPr/>
            </w:pPr>
            <w:r>
              <w:rPr>
                <w:b/>
                <w:bCs/>
                <w:color w:val="0000FF"/>
              </w:rPr>
              <w:t xml:space="preserve">Độc lập </w:t>
            </w:r>
            <w:r>
              <w:rPr>
                <w:color w:val="0000FF"/>
              </w:rPr>
              <w:t>–</w:t>
            </w:r>
            <w:r>
              <w:rPr>
                <w:b/>
                <w:bCs/>
                <w:color w:val="0000FF"/>
              </w:rPr>
              <w:t xml:space="preserve"> Tự do </w:t>
            </w:r>
            <w:r>
              <w:rPr>
                <w:color w:val="0000FF"/>
              </w:rPr>
              <w:t>–</w:t>
            </w:r>
            <w:r>
              <w:rPr>
                <w:b/>
                <w:bCs/>
                <w:color w:val="0000FF"/>
              </w:rPr>
              <w:t xml:space="preserve"> Hạnh phúc</w:t>
            </w:r>
          </w:p>
        </w:tc>
      </w:tr>
      <w:tr>
        <w:trPr/>
        <w:tc>
          <w:tcPr>
            <w:tcW w:w="3112" w:type="dxa"/>
            <w:tcBorders/>
          </w:tcPr>
          <w:p>
            <w:pPr>
              <w:pStyle w:val="Normal"/>
              <w:widowControl w:val="false"/>
              <w:jc w:val="center"/>
              <w:rPr/>
            </w:pPr>
            <w:r>
              <w:rPr>
                <w:color w:val="0000FF"/>
                <w:lang w:val="nl-NL"/>
              </w:rPr>
              <w:t>Số: 42/2012</w:t>
            </w:r>
            <w:r>
              <w:rPr>
                <w:b/>
                <w:bCs/>
                <w:color w:val="0000FF"/>
                <w:lang w:val="nl-NL"/>
              </w:rPr>
              <w:t>/</w:t>
            </w:r>
            <w:r>
              <w:rPr>
                <w:color w:val="0000FF"/>
                <w:lang w:val="nl-NL"/>
              </w:rPr>
              <w:t>TT-BTC</w:t>
            </w:r>
          </w:p>
        </w:tc>
        <w:tc>
          <w:tcPr>
            <w:tcW w:w="259" w:type="dxa"/>
            <w:tcBorders/>
          </w:tcPr>
          <w:p>
            <w:pPr>
              <w:pStyle w:val="Normal"/>
              <w:widowControl w:val="false"/>
              <w:snapToGrid w:val="false"/>
              <w:rPr>
                <w:color w:val="0000FF"/>
                <w:lang w:val="nl-NL"/>
              </w:rPr>
            </w:pPr>
            <w:r>
              <w:rPr>
                <w:color w:val="0000FF"/>
                <w:lang w:val="nl-NL"/>
              </w:rPr>
            </w:r>
          </w:p>
        </w:tc>
        <w:tc>
          <w:tcPr>
            <w:tcW w:w="5485" w:type="dxa"/>
            <w:tcBorders/>
          </w:tcPr>
          <w:p>
            <w:pPr>
              <w:pStyle w:val="Normal"/>
              <w:widowControl w:val="false"/>
              <w:jc w:val="center"/>
              <w:rPr>
                <w:color w:val="0000FF"/>
                <w:lang w:val="nl-NL"/>
              </w:rPr>
            </w:pPr>
            <w:r>
              <w:rPr>
                <w:color w:val="0000FF"/>
                <w:lang w:val="nl-NL"/>
              </w:rPr>
              <w:t>-------------------------------------</w:t>
            </w:r>
          </w:p>
        </w:tc>
      </w:tr>
      <w:tr>
        <w:trPr/>
        <w:tc>
          <w:tcPr>
            <w:tcW w:w="3112" w:type="dxa"/>
            <w:tcBorders/>
          </w:tcPr>
          <w:p>
            <w:pPr>
              <w:pStyle w:val="Normal"/>
              <w:widowControl w:val="false"/>
              <w:snapToGrid w:val="false"/>
              <w:rPr>
                <w:color w:val="0000FF"/>
                <w:lang w:val="nl-NL"/>
              </w:rPr>
            </w:pPr>
            <w:r>
              <w:rPr>
                <w:color w:val="0000FF"/>
                <w:lang w:val="nl-NL"/>
              </w:rPr>
            </w:r>
          </w:p>
        </w:tc>
        <w:tc>
          <w:tcPr>
            <w:tcW w:w="259" w:type="dxa"/>
            <w:tcBorders/>
          </w:tcPr>
          <w:p>
            <w:pPr>
              <w:pStyle w:val="Normal"/>
              <w:widowControl w:val="false"/>
              <w:snapToGrid w:val="false"/>
              <w:rPr>
                <w:color w:val="0000FF"/>
                <w:lang w:val="nl-NL"/>
              </w:rPr>
            </w:pPr>
            <w:r>
              <w:rPr>
                <w:color w:val="0000FF"/>
                <w:lang w:val="nl-NL"/>
              </w:rPr>
            </w:r>
          </w:p>
        </w:tc>
        <w:tc>
          <w:tcPr>
            <w:tcW w:w="5485" w:type="dxa"/>
            <w:tcBorders/>
          </w:tcPr>
          <w:p>
            <w:pPr>
              <w:pStyle w:val="Heading7"/>
              <w:keepNext w:val="false"/>
              <w:widowControl w:val="false"/>
              <w:rPr>
                <w:rFonts w:ascii="Times New Roman" w:hAnsi="Times New Roman" w:cs="Times New Roman"/>
                <w:color w:val="0000FF"/>
                <w:sz w:val="24"/>
                <w:szCs w:val="24"/>
                <w:lang w:val="nl-NL"/>
              </w:rPr>
            </w:pPr>
            <w:r>
              <w:rPr>
                <w:rFonts w:cs="Times New Roman" w:ascii="Times New Roman" w:hAnsi="Times New Roman"/>
                <w:color w:val="0000FF"/>
                <w:sz w:val="24"/>
                <w:szCs w:val="24"/>
                <w:lang w:val="nl-NL"/>
              </w:rPr>
              <w:t>Hà Nội, ngày 12 tháng 03 năm 2012</w:t>
            </w:r>
          </w:p>
        </w:tc>
      </w:tr>
    </w:tbl>
    <w:p>
      <w:pPr>
        <w:pStyle w:val="Normal"/>
        <w:widowControl w:val="false"/>
        <w:rPr>
          <w:color w:val="0000FF"/>
          <w:lang w:val="nl-NL"/>
        </w:rPr>
      </w:pPr>
      <w:r>
        <w:rPr>
          <w:color w:val="0000FF"/>
          <w:lang w:val="nl-NL"/>
        </w:rPr>
      </w:r>
    </w:p>
    <w:p>
      <w:pPr>
        <w:pStyle w:val="Normal"/>
        <w:widowControl w:val="false"/>
        <w:rPr>
          <w:i/>
          <w:i/>
          <w:iCs/>
          <w:color w:val="0000FF"/>
          <w:u w:val="single"/>
          <w:lang w:val="nl-NL"/>
        </w:rPr>
      </w:pPr>
      <w:r>
        <w:rPr>
          <w:i/>
          <w:iCs/>
          <w:color w:val="0000FF"/>
          <w:u w:val="single"/>
          <w:lang w:val="nl-NL"/>
        </w:rPr>
      </w:r>
    </w:p>
    <w:p>
      <w:pPr>
        <w:pStyle w:val="Normal"/>
        <w:widowControl w:val="false"/>
        <w:rPr>
          <w:b/>
          <w:b/>
          <w:bCs/>
          <w:i/>
          <w:i/>
          <w:iCs/>
          <w:color w:val="0000FF"/>
          <w:u w:val="single"/>
          <w:lang w:val="nl-NL"/>
        </w:rPr>
      </w:pPr>
      <w:r>
        <w:rPr>
          <w:b/>
          <w:bCs/>
          <w:i/>
          <w:iCs/>
          <w:color w:val="0000FF"/>
          <w:u w:val="single"/>
          <w:lang w:val="nl-NL"/>
        </w:rPr>
      </w:r>
    </w:p>
    <w:p>
      <w:pPr>
        <w:pStyle w:val="Normal"/>
        <w:widowControl w:val="false"/>
        <w:jc w:val="center"/>
        <w:rPr>
          <w:b/>
          <w:b/>
          <w:bCs/>
          <w:color w:val="0000FF"/>
          <w:lang w:val="nl-NL"/>
        </w:rPr>
      </w:pPr>
      <w:r>
        <w:rPr>
          <w:b/>
          <w:bCs/>
          <w:color w:val="0000FF"/>
          <w:lang w:val="nl-NL"/>
        </w:rPr>
        <w:t>THÔNG TƯ</w:t>
      </w:r>
    </w:p>
    <w:p>
      <w:pPr>
        <w:pStyle w:val="Normal"/>
        <w:widowControl w:val="false"/>
        <w:jc w:val="center"/>
        <w:rPr>
          <w:b/>
          <w:b/>
          <w:bCs/>
          <w:color w:val="0000FF"/>
          <w:lang w:val="nl-NL"/>
        </w:rPr>
      </w:pPr>
      <w:r>
        <w:rPr>
          <w:b/>
          <w:bCs/>
          <w:color w:val="0000FF"/>
          <w:lang w:val="nl-NL"/>
        </w:rPr>
      </w:r>
    </w:p>
    <w:p>
      <w:pPr>
        <w:pStyle w:val="Normal"/>
        <w:jc w:val="center"/>
        <w:rPr>
          <w:b/>
          <w:b/>
          <w:bCs/>
          <w:color w:val="0000FF"/>
          <w:lang w:val="nl-NL"/>
        </w:rPr>
      </w:pPr>
      <w:r>
        <w:rPr>
          <w:b/>
          <w:bCs/>
          <w:color w:val="0000FF"/>
          <w:lang w:val="nl-NL"/>
        </w:rPr>
        <w:t>Hướng dẫn thực hiện Quyết định số 04/2012/QĐ-TTg</w:t>
      </w:r>
    </w:p>
    <w:p>
      <w:pPr>
        <w:pStyle w:val="Normal"/>
        <w:jc w:val="center"/>
        <w:rPr>
          <w:b/>
          <w:b/>
          <w:bCs/>
          <w:color w:val="0000FF"/>
          <w:lang w:val="nl-NL"/>
        </w:rPr>
      </w:pPr>
      <w:r>
        <w:rPr>
          <w:b/>
          <w:bCs/>
          <w:color w:val="0000FF"/>
          <w:lang w:val="nl-NL"/>
        </w:rPr>
        <w:t>ngày 19 tháng 01 năm 2012 của Thủ tướng Chính phủ về</w:t>
      </w:r>
    </w:p>
    <w:p>
      <w:pPr>
        <w:pStyle w:val="Normal"/>
        <w:jc w:val="center"/>
        <w:rPr/>
      </w:pPr>
      <w:r>
        <w:rPr>
          <w:b/>
          <w:bCs/>
          <w:color w:val="0000FF"/>
          <w:lang w:val="nl-NL"/>
        </w:rPr>
        <w:t>v</w:t>
      </w:r>
      <w:r>
        <w:rPr>
          <w:b/>
          <w:bCs/>
          <w:color w:val="0000FF"/>
        </w:rPr>
        <w:t>iệc gia hạn nộp thuế thêm 03 tháng đối với số thuế thu nhập doanh nghiệp phải nộp quý I, quý II năm 2011 của doanh nghiệp nhỏ và vừa,</w:t>
      </w:r>
    </w:p>
    <w:p>
      <w:pPr>
        <w:pStyle w:val="Normal"/>
        <w:jc w:val="center"/>
        <w:rPr>
          <w:b/>
          <w:b/>
          <w:bCs/>
          <w:color w:val="0000FF"/>
        </w:rPr>
      </w:pPr>
      <w:r>
        <w:rPr>
          <w:b/>
          <w:bCs/>
          <w:color w:val="0000FF"/>
        </w:rPr>
        <w:t>doanh nghiệp sử dụng nhiều lao động</w:t>
      </w:r>
    </w:p>
    <w:p>
      <w:pPr>
        <w:pStyle w:val="Normal"/>
        <w:spacing w:before="90" w:after="90"/>
        <w:jc w:val="center"/>
        <w:rPr/>
      </w:pPr>
      <w:r>
        <w:rPr>
          <w:color w:val="0000FF"/>
        </w:rPr>
        <w:t xml:space="preserve">  </w:t>
      </w:r>
      <w:r>
        <w:rPr>
          <w:color w:val="0000FF"/>
        </w:rPr>
        <w:t>--------------------</w:t>
      </w:r>
    </w:p>
    <w:p>
      <w:pPr>
        <w:pStyle w:val="Normal"/>
        <w:spacing w:before="90" w:after="90"/>
        <w:jc w:val="center"/>
        <w:rPr>
          <w:color w:val="0000FF"/>
        </w:rPr>
      </w:pPr>
      <w:r>
        <w:rPr>
          <w:color w:val="0000FF"/>
        </w:rPr>
      </w:r>
    </w:p>
    <w:p>
      <w:pPr>
        <w:pStyle w:val="Normal"/>
        <w:widowControl w:val="false"/>
        <w:spacing w:before="120" w:after="120"/>
        <w:ind w:firstLine="720"/>
        <w:jc w:val="both"/>
        <w:rPr/>
      </w:pPr>
      <w:r>
        <w:rPr>
          <w:color w:val="0000FF"/>
        </w:rPr>
        <w:t> </w:t>
      </w:r>
      <w:r>
        <w:rPr>
          <w:color w:val="0000FF"/>
          <w:lang w:val="nl-NL"/>
        </w:rPr>
        <w:t>Căn cứ Luật thuế thu nhập doanh nghiệp và các văn bản hướng dẫn thi hành;</w:t>
      </w:r>
    </w:p>
    <w:p>
      <w:pPr>
        <w:pStyle w:val="Normal"/>
        <w:widowControl w:val="false"/>
        <w:spacing w:before="120" w:after="120"/>
        <w:ind w:firstLine="720"/>
        <w:jc w:val="both"/>
        <w:rPr>
          <w:color w:val="0000FF"/>
          <w:lang w:val="nl-NL"/>
        </w:rPr>
      </w:pPr>
      <w:r>
        <w:rPr>
          <w:color w:val="0000FF"/>
          <w:lang w:val="nl-NL"/>
        </w:rPr>
        <w:t>Căn cứ Luật Quản lý thuế và các văn bản hướng dẫn thi hành;</w:t>
      </w:r>
    </w:p>
    <w:p>
      <w:pPr>
        <w:pStyle w:val="Normal"/>
        <w:widowControl w:val="false"/>
        <w:spacing w:before="120" w:after="120"/>
        <w:ind w:firstLine="720"/>
        <w:jc w:val="both"/>
        <w:rPr>
          <w:color w:val="0000FF"/>
          <w:lang w:val="nl-NL"/>
        </w:rPr>
      </w:pPr>
      <w:r>
        <w:rPr>
          <w:rFonts w:eastAsia="SimSun;宋体"/>
          <w:color w:val="0000FF"/>
          <w:lang w:val="nl-NL"/>
        </w:rPr>
        <w:t>Căn cứ Nghị định số 118/2008/NĐ-CP ngày 27 tháng 11 năm 2008 của Chính phủ quy định chức năng, nhiệm vụ, quyền hạn và cơ cấu tổ chức của Bộ Tài chính;</w:t>
      </w:r>
    </w:p>
    <w:p>
      <w:pPr>
        <w:pStyle w:val="Normal"/>
        <w:ind w:firstLine="720"/>
        <w:jc w:val="both"/>
        <w:rPr/>
      </w:pPr>
      <w:r>
        <w:rPr>
          <w:color w:val="0000FF"/>
          <w:lang w:val="nl-NL"/>
        </w:rPr>
        <w:t xml:space="preserve">Căn cứ Quyết định số 04/2012/QĐ-TTg ngày 19 tháng 01 năm 2012 của Thủ tướng Chính phủ về việc </w:t>
      </w:r>
      <w:r>
        <w:rPr>
          <w:color w:val="0000FF"/>
        </w:rPr>
        <w:t>gia hạn nộp thuế thêm 03 tháng đối với số thuế thu nhập doanh nghiệp phải nộp quý I, quý II năm 2011 của doanh nghiệp nhỏ và vừa, doanh nghiệp sử dụng nhiều lao động</w:t>
      </w:r>
      <w:r>
        <w:rPr>
          <w:color w:val="0000FF"/>
          <w:lang w:val="nl-NL"/>
        </w:rPr>
        <w:t>;</w:t>
      </w:r>
    </w:p>
    <w:p>
      <w:pPr>
        <w:pStyle w:val="Normal"/>
        <w:widowControl w:val="false"/>
        <w:spacing w:before="120" w:after="120"/>
        <w:ind w:firstLine="720"/>
        <w:jc w:val="both"/>
        <w:rPr>
          <w:color w:val="0000FF"/>
          <w:lang w:val="nl-NL"/>
        </w:rPr>
      </w:pPr>
      <w:r>
        <w:rPr>
          <w:color w:val="0000FF"/>
          <w:lang w:val="nl-NL"/>
        </w:rPr>
        <w:t>Bộ Tài chính hướng dẫn thực hiện việc gia hạn thời hạn nộp thuế thu nhập doanh nghiệp đối với doanh nghiệp như sau:</w:t>
      </w:r>
    </w:p>
    <w:p>
      <w:pPr>
        <w:pStyle w:val="Normal"/>
        <w:spacing w:before="90" w:after="90"/>
        <w:jc w:val="both"/>
        <w:rPr/>
      </w:pPr>
      <w:r>
        <w:rPr>
          <w:color w:val="0000FF"/>
        </w:rPr>
        <w:t>  </w:t>
      </w:r>
      <w:r>
        <w:rPr>
          <w:color w:val="0000FF"/>
        </w:rPr>
        <w:tab/>
      </w:r>
      <w:r>
        <w:rPr>
          <w:rStyle w:val="StrongEmphasis"/>
          <w:color w:val="0000FF"/>
        </w:rPr>
        <w:t>Điều 1. Phạm vi, đối tượng áp dụng</w:t>
      </w:r>
    </w:p>
    <w:p>
      <w:pPr>
        <w:pStyle w:val="Normal"/>
        <w:ind w:firstLine="720"/>
        <w:jc w:val="both"/>
        <w:rPr/>
      </w:pPr>
      <w:r>
        <w:rPr>
          <w:color w:val="0000FF"/>
        </w:rPr>
        <w:t xml:space="preserve">Thực hiện gia hạn thời hạn nộp thuế thêm 03 tháng đối với số thuế thu nhập doanh nghiệp phải nộp của quý I và quý II năm 2011 của doanh nghiệp nhỏ và vừa, doanh nghiệp sử dụng nhiều lao động đã được gia hạn nộp thuế theo quy định tại các Quyết định: số 21/2011/QĐ-TTg ngày 06 tháng 4 năm 2011 </w:t>
      </w:r>
      <w:r>
        <w:rPr>
          <w:color w:val="0000FF"/>
          <w:lang w:val="nl-NL"/>
        </w:rPr>
        <w:t>của Thủ tướng Chính phủ về việc gia hạn nộp thuế thu nhập doanh nghiệp của doanh nghiệp nhỏ và vừa nhằm tháo gỡ khó khăn, góp phần thúc đẩy phát triển kinh tế năm 2011</w:t>
      </w:r>
      <w:r>
        <w:rPr>
          <w:color w:val="0000FF"/>
        </w:rPr>
        <w:t xml:space="preserve"> và số 54/2011/QĐ-TTg ngày 11 tháng 10 năm 2011 của Thủ tướng Chính phủ </w:t>
      </w:r>
      <w:r>
        <w:rPr>
          <w:color w:val="0000FF"/>
          <w:lang w:val="nl-NL"/>
        </w:rPr>
        <w:t>về việc gia hạn nộp thuế thu nhập doanh nghiệp năm 2011 của doanh nghiệp sử dụng nhiều lao động trong một số ngành nhằm tháo gỡ khó khăn, góp phần thúc đẩy sản xuất kinh doanh</w:t>
      </w:r>
      <w:r>
        <w:rPr>
          <w:color w:val="0000FF"/>
        </w:rPr>
        <w:t>.</w:t>
      </w:r>
    </w:p>
    <w:p>
      <w:pPr>
        <w:pStyle w:val="Normal"/>
        <w:ind w:firstLine="720"/>
        <w:jc w:val="both"/>
        <w:rPr/>
      </w:pPr>
      <w:r>
        <w:rPr>
          <w:color w:val="0000FF"/>
        </w:rPr>
        <w:t xml:space="preserve">Việc xác định cụ thể doanh nghiệp nhỏ và vừa, doanh nghiệp sử dụng nhiều lao động quy định tại Điều này thực hiện theo hướng dẫn tại </w:t>
      </w:r>
      <w:r>
        <w:rPr>
          <w:color w:val="0000FF"/>
          <w:lang w:val="it-IT"/>
        </w:rPr>
        <w:t>Thông tư số 52/2011/TT-BTC ngày 22 tháng 4 năm 2011 h</w:t>
      </w:r>
      <w:r>
        <w:rPr>
          <w:color w:val="0000FF"/>
          <w:lang w:val="nl-NL"/>
        </w:rPr>
        <w:t xml:space="preserve">ướng dẫn thực hiện Quyết định số 21/2011/QĐ-TTg; </w:t>
      </w:r>
      <w:r>
        <w:rPr>
          <w:color w:val="0000FF"/>
          <w:lang w:val="it-IT"/>
        </w:rPr>
        <w:t>Thông tư số 170/2011/TT-BTC ngày 25 tháng 11 năm 2011 h</w:t>
      </w:r>
      <w:r>
        <w:rPr>
          <w:color w:val="0000FF"/>
          <w:lang w:val="nl-NL"/>
        </w:rPr>
        <w:t xml:space="preserve">ướng dẫn thực hiện Quyết định số 54/2011/QĐ-TTg và </w:t>
      </w:r>
      <w:r>
        <w:rPr>
          <w:color w:val="0000FF"/>
        </w:rPr>
        <w:t xml:space="preserve">Thông tư số </w:t>
      </w:r>
      <w:r>
        <w:rPr>
          <w:rFonts w:eastAsia="SimSun;宋体"/>
          <w:color w:val="0000FF"/>
          <w:lang w:val="sv-SE"/>
        </w:rPr>
        <w:t xml:space="preserve">154/2011/TT-BTC ngày 11 tháng 11 năm 2011 của Bộ Tài chính hướng dẫn Nghị định số 101/2011/NĐ-CP ngày 4 tháng 11 năm 2011 của Chính phủ quy định chi tiết thi hành Nghị quyết số 08/2011/QH13 của Quốc hội về </w:t>
      </w:r>
      <w:r>
        <w:rPr>
          <w:color w:val="0000FF"/>
          <w:lang w:val="sv-SE"/>
        </w:rPr>
        <w:t>ban hành bổ sung một số giải pháp về thuế nhằm tháo gỡ khó khăn cho doanh nghiệp và cá nhân.</w:t>
      </w:r>
    </w:p>
    <w:p>
      <w:pPr>
        <w:pStyle w:val="Normal"/>
        <w:spacing w:before="120" w:after="120"/>
        <w:ind w:firstLine="720"/>
        <w:jc w:val="both"/>
        <w:rPr>
          <w:b/>
          <w:b/>
          <w:bCs/>
          <w:color w:val="0000FF"/>
          <w:lang w:val="it-IT"/>
        </w:rPr>
      </w:pPr>
      <w:r>
        <w:rPr>
          <w:b/>
          <w:bCs/>
          <w:color w:val="0000FF"/>
          <w:lang w:val="it-IT"/>
        </w:rPr>
        <w:t>Điều 2. Xác định số thuế được gia hạn</w:t>
      </w:r>
    </w:p>
    <w:p>
      <w:pPr>
        <w:pStyle w:val="Normal"/>
        <w:ind w:firstLine="720"/>
        <w:jc w:val="both"/>
        <w:rPr/>
      </w:pPr>
      <w:r>
        <w:rPr>
          <w:color w:val="0000FF"/>
          <w:lang w:val="it-IT"/>
        </w:rPr>
        <w:t xml:space="preserve">Số thuế thu nhập doanh nghiệp </w:t>
      </w:r>
      <w:r>
        <w:rPr>
          <w:color w:val="0000FF"/>
        </w:rPr>
        <w:t xml:space="preserve">phải nộp của quý I và quý II năm 2011 </w:t>
      </w:r>
      <w:r>
        <w:rPr>
          <w:color w:val="0000FF"/>
          <w:lang w:val="it-IT"/>
        </w:rPr>
        <w:t>được gia hạn theo quy định tại Thông tư này là số thuế được gia hạn thời hạn nộp thuế theo quy định tại Thông tư số 52/2011/TT-BTC và Thông tư số 170/2011/TT-BTC.</w:t>
      </w:r>
    </w:p>
    <w:p>
      <w:pPr>
        <w:pStyle w:val="Normal"/>
        <w:spacing w:before="120" w:after="120"/>
        <w:ind w:firstLine="720"/>
        <w:jc w:val="both"/>
        <w:rPr/>
      </w:pPr>
      <w:r>
        <w:rPr>
          <w:b/>
          <w:bCs/>
          <w:color w:val="0000FF"/>
        </w:rPr>
        <w:t>Điều 3.</w:t>
      </w:r>
      <w:r>
        <w:rPr>
          <w:color w:val="0000FF"/>
        </w:rPr>
        <w:t xml:space="preserve"> </w:t>
      </w:r>
      <w:r>
        <w:rPr>
          <w:b/>
          <w:bCs/>
          <w:color w:val="0000FF"/>
        </w:rPr>
        <w:t>Thời gian gia hạn nộp thuế</w:t>
      </w:r>
    </w:p>
    <w:p>
      <w:pPr>
        <w:pStyle w:val="BodyTextIndent2"/>
        <w:spacing w:before="120" w:after="120"/>
        <w:rPr>
          <w:rFonts w:ascii="Times New Roman" w:hAnsi="Times New Roman" w:cs="Times New Roman"/>
          <w:color w:val="0000FF"/>
          <w:sz w:val="24"/>
          <w:szCs w:val="24"/>
        </w:rPr>
      </w:pPr>
      <w:r>
        <w:rPr>
          <w:rFonts w:cs="Times New Roman" w:ascii="Times New Roman" w:hAnsi="Times New Roman"/>
          <w:color w:val="0000FF"/>
          <w:sz w:val="24"/>
          <w:szCs w:val="24"/>
        </w:rPr>
        <w:t>1. Thời gian gia hạn nộp thuế thu nhập doanh nghiệp quy định tại Điều 1 Thông tư này được xác định như sau:</w:t>
      </w:r>
    </w:p>
    <w:p>
      <w:pPr>
        <w:pStyle w:val="BodyTextIndent2"/>
        <w:spacing w:before="120" w:after="120"/>
        <w:rPr/>
      </w:pPr>
      <w:r>
        <w:rPr>
          <w:rFonts w:cs="Times New Roman" w:ascii="Times New Roman" w:hAnsi="Times New Roman"/>
          <w:color w:val="0000FF"/>
          <w:sz w:val="24"/>
          <w:szCs w:val="24"/>
        </w:rPr>
        <w:t xml:space="preserve">a) Thời gian gia hạn nộp thuế đối với số thuế tính tạm nộp của quý I năm 2011 được gia hạn nộp chậm nhất đến ngày 30 tháng 7 năm 2012. </w:t>
      </w:r>
    </w:p>
    <w:p>
      <w:pPr>
        <w:pStyle w:val="BodyTextIndent2"/>
        <w:spacing w:before="120" w:after="120"/>
        <w:rPr>
          <w:rFonts w:ascii="Times New Roman" w:hAnsi="Times New Roman" w:cs="Times New Roman"/>
          <w:color w:val="0000FF"/>
          <w:sz w:val="24"/>
          <w:szCs w:val="24"/>
        </w:rPr>
      </w:pPr>
      <w:r>
        <w:rPr>
          <w:rFonts w:cs="Times New Roman" w:ascii="Times New Roman" w:hAnsi="Times New Roman"/>
          <w:color w:val="0000FF"/>
          <w:sz w:val="24"/>
          <w:szCs w:val="24"/>
        </w:rPr>
        <w:t>b) Thời gian gia hạn nộp thuế đối với số thuế tính tạm nộp của quý II năm 2011 được gia hạn nộp chậm nhất đến ngày 30 tháng 10 năm 2012.</w:t>
      </w:r>
    </w:p>
    <w:p>
      <w:pPr>
        <w:pStyle w:val="Normal"/>
        <w:spacing w:before="120" w:after="120"/>
        <w:ind w:firstLine="720"/>
        <w:jc w:val="both"/>
        <w:rPr>
          <w:color w:val="0000FF"/>
        </w:rPr>
      </w:pPr>
      <w:r>
        <w:rPr>
          <w:color w:val="0000FF"/>
        </w:rPr>
        <w:t xml:space="preserve">2. Trường hợp ngày nộp thuế quy định tại khoản 1 Điều này là các ngày nghỉ theo quy định của pháp luật thì thời gian gia hạn nộp thuế được tính vào ngày làm việc tiếp theo. </w:t>
      </w:r>
    </w:p>
    <w:p>
      <w:pPr>
        <w:pStyle w:val="Normal"/>
        <w:spacing w:before="120" w:after="120"/>
        <w:ind w:firstLine="720"/>
        <w:jc w:val="both"/>
        <w:rPr>
          <w:b/>
          <w:b/>
          <w:bCs/>
          <w:color w:val="0000FF"/>
          <w:lang w:val="it-IT"/>
        </w:rPr>
      </w:pPr>
      <w:r>
        <w:rPr>
          <w:b/>
          <w:bCs/>
          <w:color w:val="0000FF"/>
          <w:lang w:val="it-IT"/>
        </w:rPr>
        <w:t>Điều 4. Trình tự thủ tục gia hạn nộp thuế</w:t>
      </w:r>
    </w:p>
    <w:p>
      <w:pPr>
        <w:pStyle w:val="BodyTextIndent2"/>
        <w:spacing w:before="144" w:after="144"/>
        <w:rPr/>
      </w:pPr>
      <w:r>
        <w:rPr>
          <w:rFonts w:cs="Times New Roman" w:ascii="Times New Roman" w:hAnsi="Times New Roman"/>
          <w:color w:val="0000FF"/>
          <w:sz w:val="24"/>
          <w:szCs w:val="24"/>
          <w:lang w:val="pt-BR"/>
        </w:rPr>
        <w:t xml:space="preserve">1. Đối với số thuế thu nhập doanh nghiệp </w:t>
      </w:r>
      <w:r>
        <w:rPr>
          <w:rFonts w:cs="Times New Roman" w:ascii="Times New Roman" w:hAnsi="Times New Roman"/>
          <w:color w:val="0000FF"/>
          <w:sz w:val="24"/>
          <w:szCs w:val="24"/>
        </w:rPr>
        <w:t xml:space="preserve">phải nộp của quý I và quý II năm 2011 </w:t>
      </w:r>
      <w:r>
        <w:rPr>
          <w:rFonts w:cs="Times New Roman" w:ascii="Times New Roman" w:hAnsi="Times New Roman"/>
          <w:color w:val="0000FF"/>
          <w:sz w:val="24"/>
          <w:szCs w:val="24"/>
          <w:lang w:val="pt-BR"/>
        </w:rPr>
        <w:t>được gia hạn theo quy định tại Điều 1 Thông tư này, doanh nghiệp thuộc diện được gia hạn nộp thuế thực hiện lập và gửi tờ khai thuế thu nhập doanh nghiệp tạm tính quý I và quý II năm 2011 để thay thế cho các tờ khai đã nộp. Doanh nghiệp ghi bổ sung các chỉ tiêu sau vào trước dòng cam đoan trong Tờ khai thuế thu nhập doanh nghiệp tạm tính:</w:t>
      </w:r>
    </w:p>
    <w:p>
      <w:pPr>
        <w:pStyle w:val="BodyTextIndent2"/>
        <w:spacing w:before="144" w:after="144"/>
        <w:rPr>
          <w:rFonts w:ascii="Times New Roman" w:hAnsi="Times New Roman" w:cs="Times New Roman"/>
          <w:color w:val="0000FF"/>
          <w:sz w:val="24"/>
          <w:szCs w:val="24"/>
          <w:lang w:val="pt-BR"/>
        </w:rPr>
      </w:pPr>
      <w:r>
        <w:rPr>
          <w:rFonts w:cs="Times New Roman" w:ascii="Times New Roman" w:hAnsi="Times New Roman"/>
          <w:color w:val="0000FF"/>
          <w:sz w:val="24"/>
          <w:szCs w:val="24"/>
          <w:lang w:val="pt-BR"/>
        </w:rPr>
        <w:t>- Số thuế thu nhập doanh nghiệp được tiếp tục gia hạn theo quy định tại Quyết định số 04/2012/QĐ-TTg.</w:t>
      </w:r>
    </w:p>
    <w:p>
      <w:pPr>
        <w:pStyle w:val="BodyTextIndent2"/>
        <w:spacing w:before="144" w:after="144"/>
        <w:rPr>
          <w:rFonts w:ascii="Times New Roman" w:hAnsi="Times New Roman" w:cs="Times New Roman"/>
          <w:color w:val="0000FF"/>
          <w:sz w:val="24"/>
          <w:szCs w:val="24"/>
          <w:lang w:val="pt-BR"/>
        </w:rPr>
      </w:pPr>
      <w:r>
        <w:rPr>
          <w:rFonts w:cs="Times New Roman" w:ascii="Times New Roman" w:hAnsi="Times New Roman"/>
          <w:color w:val="0000FF"/>
          <w:sz w:val="24"/>
          <w:szCs w:val="24"/>
          <w:lang w:val="pt-BR"/>
        </w:rPr>
        <w:t>- Thời gian đề nghị gia hạn.</w:t>
      </w:r>
    </w:p>
    <w:p>
      <w:pPr>
        <w:pStyle w:val="BodyTextIndent2"/>
        <w:spacing w:before="144" w:after="144"/>
        <w:rPr>
          <w:rFonts w:ascii="Times New Roman" w:hAnsi="Times New Roman" w:cs="Times New Roman"/>
          <w:color w:val="0000FF"/>
          <w:sz w:val="24"/>
          <w:szCs w:val="24"/>
          <w:lang w:val="pt-BR"/>
        </w:rPr>
      </w:pPr>
      <w:r>
        <w:rPr>
          <w:rFonts w:cs="Times New Roman" w:ascii="Times New Roman" w:hAnsi="Times New Roman"/>
          <w:color w:val="0000FF"/>
          <w:sz w:val="24"/>
          <w:szCs w:val="24"/>
          <w:lang w:val="pt-BR"/>
        </w:rPr>
        <w:t>Trong thời gian gia hạn nộp thuế, doanh nghiệp thuộc đối tượng được gia hạn thời hạn nộp thuế mà chưa kê khai để được gia hạn thì doanh nghiệp được gia hạn theo quy định tại Thông tư này. Doanh nghiệp được thực hiện khai bổ sung hồ sơ khai thuế vào bất kỳ ngày làm việc nào, không phụ thuộc vào thời hạn nộp hồ sơ khai thuế của lần tiếp theo, nhưng phải trước thời điểm cơ quan thuế, cơ quan có thẩm quyền công bố quyết định kiểm tra thuế, thanh tra thuế tại trụ sở người nộp thuế.</w:t>
      </w:r>
    </w:p>
    <w:p>
      <w:pPr>
        <w:pStyle w:val="BodyTextIndent2"/>
        <w:spacing w:before="144" w:after="144"/>
        <w:rPr>
          <w:rFonts w:ascii="Times New Roman" w:hAnsi="Times New Roman" w:cs="Times New Roman"/>
          <w:color w:val="0000FF"/>
          <w:sz w:val="24"/>
          <w:szCs w:val="24"/>
          <w:lang w:val="pt-BR"/>
        </w:rPr>
      </w:pPr>
      <w:r>
        <w:rPr>
          <w:rFonts w:cs="Times New Roman" w:ascii="Times New Roman" w:hAnsi="Times New Roman"/>
          <w:color w:val="0000FF"/>
          <w:sz w:val="24"/>
          <w:szCs w:val="24"/>
          <w:lang w:val="pt-BR"/>
        </w:rPr>
        <w:t xml:space="preserve">2. Trong thời gian được gia hạn nộp thuế, doanh nghiệp không bị coi là vi phạm chậm nộp thuế và không bị phạt hành chính về hành vi chậm nộp tiền thuế đối với số thuế được gia hạn. </w:t>
      </w:r>
    </w:p>
    <w:p>
      <w:pPr>
        <w:pStyle w:val="Normal"/>
        <w:spacing w:before="120" w:after="120"/>
        <w:ind w:firstLine="720"/>
        <w:jc w:val="both"/>
        <w:rPr>
          <w:b/>
          <w:b/>
          <w:bCs/>
          <w:color w:val="0000FF"/>
          <w:lang w:val="it-IT"/>
        </w:rPr>
      </w:pPr>
      <w:r>
        <w:rPr>
          <w:b/>
          <w:bCs/>
          <w:color w:val="0000FF"/>
          <w:lang w:val="it-IT"/>
        </w:rPr>
        <w:t xml:space="preserve">Điều 5. </w:t>
      </w:r>
      <w:r>
        <w:rPr>
          <w:b/>
          <w:bCs/>
          <w:color w:val="0000FF"/>
          <w:lang w:val="pt-BR"/>
        </w:rPr>
        <w:t>Tổ chức thực hiện và hiệu lực thi hành</w:t>
      </w:r>
    </w:p>
    <w:p>
      <w:pPr>
        <w:pStyle w:val="Normal"/>
        <w:spacing w:before="120" w:after="120"/>
        <w:ind w:firstLine="720"/>
        <w:jc w:val="both"/>
        <w:rPr>
          <w:color w:val="0000FF"/>
          <w:lang w:val="it-IT"/>
        </w:rPr>
      </w:pPr>
      <w:r>
        <w:rPr>
          <w:color w:val="0000FF"/>
          <w:lang w:val="it-IT"/>
        </w:rPr>
        <w:t>1. Thông tư này có hiệu lực kể từ ngày 26 tháng 04 năm 2012.</w:t>
      </w:r>
    </w:p>
    <w:p>
      <w:pPr>
        <w:pStyle w:val="Normal"/>
        <w:widowControl w:val="false"/>
        <w:spacing w:before="120" w:after="120"/>
        <w:ind w:firstLine="720"/>
        <w:jc w:val="both"/>
        <w:rPr>
          <w:color w:val="0000FF"/>
          <w:lang w:val="pt-BR"/>
        </w:rPr>
      </w:pPr>
      <w:r>
        <w:rPr>
          <w:color w:val="0000FF"/>
          <w:lang w:val="pt-BR"/>
        </w:rPr>
        <w:t>2. Trong quá trình thực hiện nếu có vướng mắc, đề nghị các tổ chức, cá nhân phản ánh về Bộ Tài chính để được hướng dẫn giải quyết kịp thời./.</w:t>
      </w:r>
    </w:p>
    <w:p>
      <w:pPr>
        <w:pStyle w:val="Normal"/>
        <w:widowControl w:val="false"/>
        <w:spacing w:before="120" w:after="120"/>
        <w:ind w:firstLine="720"/>
        <w:jc w:val="both"/>
        <w:rPr>
          <w:color w:val="0000FF"/>
          <w:lang w:val="pt-BR"/>
        </w:rPr>
      </w:pPr>
      <w:r>
        <w:rPr>
          <w:color w:val="0000FF"/>
          <w:lang w:val="pt-BR"/>
        </w:rPr>
      </w:r>
    </w:p>
    <w:tbl>
      <w:tblPr>
        <w:tblW w:w="8788" w:type="dxa"/>
        <w:jc w:val="left"/>
        <w:tblInd w:w="-28" w:type="dxa"/>
        <w:tblLayout w:type="fixed"/>
        <w:tblCellMar>
          <w:top w:w="0" w:type="dxa"/>
          <w:left w:w="28" w:type="dxa"/>
          <w:bottom w:w="0" w:type="dxa"/>
          <w:right w:w="28" w:type="dxa"/>
        </w:tblCellMar>
      </w:tblPr>
      <w:tblGrid>
        <w:gridCol w:w="5428"/>
        <w:gridCol w:w="3360"/>
      </w:tblGrid>
      <w:tr>
        <w:trPr/>
        <w:tc>
          <w:tcPr>
            <w:tcW w:w="5428" w:type="dxa"/>
            <w:tcBorders/>
          </w:tcPr>
          <w:p>
            <w:pPr>
              <w:pStyle w:val="Normal"/>
              <w:widowControl w:val="false"/>
              <w:jc w:val="both"/>
              <w:rPr>
                <w:b/>
                <w:b/>
                <w:bCs/>
                <w:i/>
                <w:i/>
                <w:iCs/>
                <w:color w:val="0000FF"/>
                <w:lang w:val="nl-NL"/>
              </w:rPr>
            </w:pPr>
            <w:r>
              <w:rPr>
                <w:b/>
                <w:bCs/>
                <w:i/>
                <w:iCs/>
                <w:color w:val="0000FF"/>
                <w:lang w:val="nl-NL"/>
              </w:rPr>
              <w:t>Nơi nhận:</w:t>
            </w:r>
          </w:p>
        </w:tc>
        <w:tc>
          <w:tcPr>
            <w:tcW w:w="3360" w:type="dxa"/>
            <w:tcBorders/>
          </w:tcPr>
          <w:p>
            <w:pPr>
              <w:pStyle w:val="Normal"/>
              <w:widowControl w:val="false"/>
              <w:jc w:val="center"/>
              <w:rPr>
                <w:b/>
                <w:b/>
                <w:bCs/>
                <w:color w:val="0000FF"/>
                <w:lang w:val="nl-NL"/>
              </w:rPr>
            </w:pPr>
            <w:r>
              <w:rPr>
                <w:b/>
                <w:bCs/>
                <w:color w:val="0000FF"/>
                <w:lang w:val="nl-NL"/>
              </w:rPr>
              <w:t>KT. BỘ TRƯỞNG</w:t>
            </w:r>
          </w:p>
        </w:tc>
      </w:tr>
      <w:tr>
        <w:trPr/>
        <w:tc>
          <w:tcPr>
            <w:tcW w:w="5428" w:type="dxa"/>
            <w:vMerge w:val="restart"/>
            <w:tcBorders/>
          </w:tcPr>
          <w:p>
            <w:pPr>
              <w:pStyle w:val="TextBodyIndent"/>
              <w:spacing w:before="0" w:after="0"/>
              <w:ind w:hanging="0"/>
              <w:rPr>
                <w:rFonts w:ascii="Times New Roman" w:hAnsi="Times New Roman" w:cs="Times New Roman"/>
                <w:color w:val="0000FF"/>
                <w:sz w:val="24"/>
                <w:szCs w:val="24"/>
              </w:rPr>
            </w:pPr>
            <w:r>
              <w:rPr>
                <w:rFonts w:cs="Times New Roman" w:ascii="Times New Roman" w:hAnsi="Times New Roman"/>
                <w:color w:val="0000FF"/>
                <w:sz w:val="24"/>
                <w:szCs w:val="24"/>
              </w:rPr>
              <w:t>- Văn phòng Trung ương và các Ban của Đảng;</w:t>
            </w:r>
          </w:p>
          <w:p>
            <w:pPr>
              <w:pStyle w:val="TextBodyIndent"/>
              <w:spacing w:before="0" w:after="0"/>
              <w:ind w:hanging="0"/>
              <w:rPr>
                <w:rFonts w:ascii="Times New Roman" w:hAnsi="Times New Roman" w:cs="Times New Roman"/>
                <w:color w:val="0000FF"/>
                <w:sz w:val="24"/>
                <w:szCs w:val="24"/>
              </w:rPr>
            </w:pPr>
            <w:r>
              <w:rPr>
                <w:rFonts w:cs="Times New Roman" w:ascii="Times New Roman" w:hAnsi="Times New Roman"/>
                <w:color w:val="0000FF"/>
                <w:sz w:val="24"/>
                <w:szCs w:val="24"/>
              </w:rPr>
              <w:t>- Văn phòng Quốc hội;</w:t>
            </w:r>
          </w:p>
          <w:p>
            <w:pPr>
              <w:pStyle w:val="TextBodyIndent"/>
              <w:spacing w:before="0" w:after="0"/>
              <w:ind w:hanging="0"/>
              <w:rPr>
                <w:rFonts w:ascii="Times New Roman" w:hAnsi="Times New Roman" w:cs="Times New Roman"/>
                <w:color w:val="0000FF"/>
                <w:sz w:val="24"/>
                <w:szCs w:val="24"/>
              </w:rPr>
            </w:pPr>
            <w:r>
              <w:rPr>
                <w:rFonts w:cs="Times New Roman" w:ascii="Times New Roman" w:hAnsi="Times New Roman"/>
                <w:color w:val="0000FF"/>
                <w:sz w:val="24"/>
                <w:szCs w:val="24"/>
              </w:rPr>
              <w:t>- Văn phòng Chủ tịch nước;</w:t>
            </w:r>
          </w:p>
          <w:p>
            <w:pPr>
              <w:pStyle w:val="TextBodyIndent"/>
              <w:spacing w:before="0" w:after="0"/>
              <w:ind w:hanging="0"/>
              <w:rPr>
                <w:rFonts w:ascii="Times New Roman" w:hAnsi="Times New Roman" w:cs="Times New Roman"/>
                <w:color w:val="0000FF"/>
                <w:sz w:val="24"/>
                <w:szCs w:val="24"/>
              </w:rPr>
            </w:pPr>
            <w:r>
              <w:rPr>
                <w:rFonts w:cs="Times New Roman" w:ascii="Times New Roman" w:hAnsi="Times New Roman"/>
                <w:color w:val="0000FF"/>
                <w:sz w:val="24"/>
                <w:szCs w:val="24"/>
              </w:rPr>
              <w:t>- Viện Kiểm sát nhân dân tối cao;</w:t>
            </w:r>
          </w:p>
          <w:p>
            <w:pPr>
              <w:pStyle w:val="TextBodyIndent"/>
              <w:spacing w:before="0" w:after="0"/>
              <w:ind w:hanging="0"/>
              <w:rPr>
                <w:rFonts w:ascii="Times New Roman" w:hAnsi="Times New Roman" w:cs="Times New Roman"/>
                <w:color w:val="0000FF"/>
                <w:sz w:val="24"/>
                <w:szCs w:val="24"/>
              </w:rPr>
            </w:pPr>
            <w:r>
              <w:rPr>
                <w:rFonts w:cs="Times New Roman" w:ascii="Times New Roman" w:hAnsi="Times New Roman"/>
                <w:color w:val="0000FF"/>
                <w:sz w:val="24"/>
                <w:szCs w:val="24"/>
              </w:rPr>
              <w:t>- Toà án nhân dân tối cao;</w:t>
            </w:r>
          </w:p>
          <w:p>
            <w:pPr>
              <w:pStyle w:val="TextBodyIndent"/>
              <w:spacing w:before="0" w:after="0"/>
              <w:ind w:hanging="0"/>
              <w:rPr>
                <w:rFonts w:ascii="Times New Roman" w:hAnsi="Times New Roman" w:cs="Times New Roman"/>
                <w:color w:val="0000FF"/>
                <w:sz w:val="24"/>
                <w:szCs w:val="24"/>
              </w:rPr>
            </w:pPr>
            <w:r>
              <w:rPr>
                <w:rFonts w:cs="Times New Roman" w:ascii="Times New Roman" w:hAnsi="Times New Roman"/>
                <w:color w:val="0000FF"/>
                <w:sz w:val="24"/>
                <w:szCs w:val="24"/>
              </w:rPr>
              <w:t>- Kiểm toán nhà nước;</w:t>
            </w:r>
          </w:p>
          <w:p>
            <w:pPr>
              <w:pStyle w:val="TextBodyIndent"/>
              <w:spacing w:before="0" w:after="0"/>
              <w:ind w:hanging="0"/>
              <w:rPr>
                <w:rFonts w:ascii="Times New Roman" w:hAnsi="Times New Roman" w:cs="Times New Roman"/>
                <w:color w:val="0000FF"/>
                <w:sz w:val="24"/>
                <w:szCs w:val="24"/>
              </w:rPr>
            </w:pPr>
            <w:r>
              <w:rPr>
                <w:rFonts w:cs="Times New Roman" w:ascii="Times New Roman" w:hAnsi="Times New Roman"/>
                <w:color w:val="0000FF"/>
                <w:sz w:val="24"/>
                <w:szCs w:val="24"/>
              </w:rPr>
              <w:t>- Ban chỉ đạo trung ương về phòng chống tham nhũng;</w:t>
            </w:r>
          </w:p>
          <w:p>
            <w:pPr>
              <w:pStyle w:val="TextBodyIndent"/>
              <w:spacing w:before="0" w:after="0"/>
              <w:ind w:hanging="0"/>
              <w:rPr/>
            </w:pPr>
            <w:r>
              <w:rPr>
                <w:rFonts w:cs="Times New Roman" w:ascii="Times New Roman" w:hAnsi="Times New Roman"/>
                <w:color w:val="0000FF"/>
                <w:sz w:val="24"/>
                <w:szCs w:val="24"/>
              </w:rPr>
              <w:t>- Các Bộ, cơ quan ngang Bộ, cơ quan thuộc Chính phủ,</w:t>
            </w:r>
          </w:p>
          <w:p>
            <w:pPr>
              <w:pStyle w:val="TextBodyIndent"/>
              <w:spacing w:before="0" w:after="0"/>
              <w:ind w:hanging="0"/>
              <w:rPr>
                <w:rFonts w:ascii="Times New Roman" w:hAnsi="Times New Roman" w:cs="Times New Roman"/>
                <w:color w:val="0000FF"/>
                <w:sz w:val="24"/>
                <w:szCs w:val="24"/>
              </w:rPr>
            </w:pPr>
            <w:r>
              <w:rPr>
                <w:rFonts w:cs="Times New Roman" w:ascii="Times New Roman" w:hAnsi="Times New Roman"/>
                <w:color w:val="0000FF"/>
                <w:sz w:val="24"/>
                <w:szCs w:val="24"/>
              </w:rPr>
              <w:t>- Cơ quan Trung ương của các đoàn thể;</w:t>
            </w:r>
          </w:p>
          <w:p>
            <w:pPr>
              <w:pStyle w:val="TextBodyIndent"/>
              <w:spacing w:before="0" w:after="0"/>
              <w:ind w:hanging="0"/>
              <w:rPr>
                <w:rFonts w:ascii="Times New Roman" w:hAnsi="Times New Roman" w:cs="Times New Roman"/>
                <w:color w:val="0000FF"/>
                <w:sz w:val="24"/>
                <w:szCs w:val="24"/>
              </w:rPr>
            </w:pPr>
            <w:r>
              <w:rPr>
                <w:rFonts w:cs="Times New Roman" w:ascii="Times New Roman" w:hAnsi="Times New Roman"/>
                <w:color w:val="0000FF"/>
                <w:sz w:val="24"/>
                <w:szCs w:val="24"/>
              </w:rPr>
              <w:t>- Hội đồng nhân dân, Uỷ ban nhân dân;</w:t>
            </w:r>
          </w:p>
          <w:p>
            <w:pPr>
              <w:pStyle w:val="TextBodyIndent"/>
              <w:spacing w:before="0" w:after="0"/>
              <w:ind w:hanging="0"/>
              <w:rPr>
                <w:rFonts w:ascii="Times New Roman" w:hAnsi="Times New Roman" w:cs="Times New Roman"/>
                <w:color w:val="0000FF"/>
                <w:sz w:val="24"/>
                <w:szCs w:val="24"/>
              </w:rPr>
            </w:pPr>
            <w:r>
              <w:rPr>
                <w:rFonts w:cs="Times New Roman" w:ascii="Times New Roman" w:hAnsi="Times New Roman"/>
                <w:color w:val="0000FF"/>
                <w:sz w:val="24"/>
                <w:szCs w:val="24"/>
              </w:rPr>
              <w:t xml:space="preserve">  </w:t>
            </w:r>
            <w:r>
              <w:rPr>
                <w:rFonts w:cs="Times New Roman" w:ascii="Times New Roman" w:hAnsi="Times New Roman"/>
                <w:color w:val="0000FF"/>
                <w:sz w:val="24"/>
                <w:szCs w:val="24"/>
              </w:rPr>
              <w:t>Sở Tài chính, Cục Thuế, Cục Hải quan, Kho bạc nhà nước các tỉnh, thành phố trực thuộc Trung ương;</w:t>
            </w:r>
          </w:p>
          <w:p>
            <w:pPr>
              <w:pStyle w:val="TextBodyIndent"/>
              <w:spacing w:before="0" w:after="0"/>
              <w:ind w:hanging="0"/>
              <w:rPr>
                <w:rFonts w:ascii="Times New Roman" w:hAnsi="Times New Roman" w:cs="Times New Roman"/>
                <w:color w:val="0000FF"/>
                <w:sz w:val="24"/>
                <w:szCs w:val="24"/>
              </w:rPr>
            </w:pPr>
            <w:r>
              <w:rPr>
                <w:rFonts w:cs="Times New Roman" w:ascii="Times New Roman" w:hAnsi="Times New Roman"/>
                <w:color w:val="0000FF"/>
                <w:sz w:val="24"/>
                <w:szCs w:val="24"/>
              </w:rPr>
              <w:t>- Công báo;</w:t>
            </w:r>
          </w:p>
          <w:p>
            <w:pPr>
              <w:pStyle w:val="TextBodyIndent"/>
              <w:spacing w:before="0" w:after="0"/>
              <w:ind w:hanging="0"/>
              <w:rPr>
                <w:rFonts w:ascii="Times New Roman" w:hAnsi="Times New Roman" w:cs="Times New Roman"/>
                <w:color w:val="0000FF"/>
                <w:sz w:val="24"/>
                <w:szCs w:val="24"/>
              </w:rPr>
            </w:pPr>
            <w:r>
              <w:rPr>
                <w:rFonts w:cs="Times New Roman" w:ascii="Times New Roman" w:hAnsi="Times New Roman"/>
                <w:color w:val="0000FF"/>
                <w:sz w:val="24"/>
                <w:szCs w:val="24"/>
              </w:rPr>
              <w:t>- Cục Kiểm tra văn bản (Bộ Tư pháp);</w:t>
            </w:r>
          </w:p>
          <w:p>
            <w:pPr>
              <w:pStyle w:val="TextBodyIndent"/>
              <w:spacing w:before="0" w:after="0"/>
              <w:ind w:hanging="0"/>
              <w:rPr>
                <w:rFonts w:ascii="Times New Roman" w:hAnsi="Times New Roman" w:cs="Times New Roman"/>
                <w:color w:val="0000FF"/>
                <w:sz w:val="24"/>
                <w:szCs w:val="24"/>
              </w:rPr>
            </w:pPr>
            <w:r>
              <w:rPr>
                <w:rFonts w:cs="Times New Roman" w:ascii="Times New Roman" w:hAnsi="Times New Roman"/>
                <w:color w:val="0000FF"/>
                <w:sz w:val="24"/>
                <w:szCs w:val="24"/>
              </w:rPr>
              <w:t>- Website Chính phủ;</w:t>
            </w:r>
          </w:p>
          <w:p>
            <w:pPr>
              <w:pStyle w:val="TextBodyIndent"/>
              <w:spacing w:before="0" w:after="0"/>
              <w:ind w:hanging="0"/>
              <w:rPr>
                <w:rFonts w:ascii="Times New Roman" w:hAnsi="Times New Roman" w:cs="Times New Roman"/>
                <w:color w:val="0000FF"/>
                <w:sz w:val="24"/>
                <w:szCs w:val="24"/>
              </w:rPr>
            </w:pPr>
            <w:r>
              <w:rPr>
                <w:rFonts w:cs="Times New Roman" w:ascii="Times New Roman" w:hAnsi="Times New Roman"/>
                <w:color w:val="0000FF"/>
                <w:sz w:val="24"/>
                <w:szCs w:val="24"/>
              </w:rPr>
              <w:t>- Website Bộ Tài chính;</w:t>
            </w:r>
          </w:p>
          <w:p>
            <w:pPr>
              <w:pStyle w:val="TextBodyIndent"/>
              <w:spacing w:before="0" w:after="0"/>
              <w:ind w:hanging="0"/>
              <w:rPr>
                <w:rFonts w:ascii="Times New Roman" w:hAnsi="Times New Roman" w:cs="Times New Roman"/>
                <w:color w:val="0000FF"/>
                <w:sz w:val="24"/>
                <w:szCs w:val="24"/>
              </w:rPr>
            </w:pPr>
            <w:r>
              <w:rPr>
                <w:rFonts w:cs="Times New Roman" w:ascii="Times New Roman" w:hAnsi="Times New Roman"/>
                <w:color w:val="0000FF"/>
                <w:sz w:val="24"/>
                <w:szCs w:val="24"/>
              </w:rPr>
              <w:t>- Các đơn vị thuộc Bộ Tài chính;</w:t>
            </w:r>
          </w:p>
          <w:p>
            <w:pPr>
              <w:pStyle w:val="Normal"/>
              <w:widowControl w:val="false"/>
              <w:jc w:val="both"/>
              <w:rPr>
                <w:i/>
                <w:i/>
                <w:iCs/>
                <w:color w:val="0000FF"/>
              </w:rPr>
            </w:pPr>
            <w:r>
              <w:rPr>
                <w:color w:val="0000FF"/>
              </w:rPr>
              <w:t>- Lưu: VT, CST (TN).</w:t>
            </w:r>
          </w:p>
        </w:tc>
        <w:tc>
          <w:tcPr>
            <w:tcW w:w="3360" w:type="dxa"/>
            <w:tcBorders/>
          </w:tcPr>
          <w:p>
            <w:pPr>
              <w:pStyle w:val="Normal"/>
              <w:widowControl w:val="false"/>
              <w:jc w:val="center"/>
              <w:rPr>
                <w:b/>
                <w:b/>
                <w:bCs/>
                <w:color w:val="0000FF"/>
                <w:lang w:val="nl-NL"/>
              </w:rPr>
            </w:pPr>
            <w:r>
              <w:rPr>
                <w:b/>
                <w:bCs/>
                <w:color w:val="0000FF"/>
                <w:lang w:val="nl-NL"/>
              </w:rPr>
              <w:t>THỨ TRƯỞNG</w:t>
            </w:r>
          </w:p>
        </w:tc>
      </w:tr>
      <w:tr>
        <w:trPr/>
        <w:tc>
          <w:tcPr>
            <w:tcW w:w="5428" w:type="dxa"/>
            <w:vMerge w:val="continue"/>
            <w:tcBorders/>
          </w:tcPr>
          <w:p>
            <w:pPr>
              <w:pStyle w:val="Normal"/>
              <w:widowControl w:val="false"/>
              <w:snapToGrid w:val="false"/>
              <w:jc w:val="both"/>
              <w:rPr>
                <w:b/>
                <w:b/>
                <w:bCs/>
                <w:color w:val="0000FF"/>
                <w:lang w:val="nl-NL"/>
              </w:rPr>
            </w:pPr>
            <w:r>
              <w:rPr>
                <w:b/>
                <w:bCs/>
                <w:color w:val="0000FF"/>
                <w:lang w:val="nl-NL"/>
              </w:rPr>
            </w:r>
          </w:p>
        </w:tc>
        <w:tc>
          <w:tcPr>
            <w:tcW w:w="3360" w:type="dxa"/>
            <w:tcBorders/>
          </w:tcPr>
          <w:p>
            <w:pPr>
              <w:pStyle w:val="Normal"/>
              <w:widowControl w:val="false"/>
              <w:snapToGrid w:val="false"/>
              <w:jc w:val="center"/>
              <w:rPr>
                <w:color w:val="0000FF"/>
                <w:lang w:val="nl-NL"/>
              </w:rPr>
            </w:pPr>
            <w:r>
              <w:rPr>
                <w:color w:val="0000FF"/>
                <w:lang w:val="nl-NL"/>
              </w:rPr>
            </w:r>
          </w:p>
          <w:p>
            <w:pPr>
              <w:pStyle w:val="Normal"/>
              <w:widowControl w:val="false"/>
              <w:jc w:val="center"/>
              <w:rPr>
                <w:color w:val="0000FF"/>
                <w:lang w:val="nl-NL"/>
              </w:rPr>
            </w:pPr>
            <w:r>
              <w:rPr>
                <w:color w:val="0000FF"/>
                <w:lang w:val="nl-NL"/>
              </w:rPr>
            </w:r>
          </w:p>
          <w:p>
            <w:pPr>
              <w:pStyle w:val="Normal"/>
              <w:widowControl w:val="false"/>
              <w:jc w:val="center"/>
              <w:rPr>
                <w:color w:val="0000FF"/>
                <w:lang w:val="nl-NL"/>
              </w:rPr>
            </w:pPr>
            <w:r>
              <w:rPr>
                <w:color w:val="0000FF"/>
                <w:lang w:val="nl-NL"/>
              </w:rPr>
              <w:t>(đã ký)</w:t>
            </w:r>
          </w:p>
          <w:p>
            <w:pPr>
              <w:pStyle w:val="Normal"/>
              <w:widowControl w:val="false"/>
              <w:jc w:val="center"/>
              <w:rPr>
                <w:color w:val="0000FF"/>
                <w:lang w:val="nl-NL"/>
              </w:rPr>
            </w:pPr>
            <w:r>
              <w:rPr>
                <w:color w:val="0000FF"/>
                <w:lang w:val="nl-NL"/>
              </w:rPr>
            </w:r>
          </w:p>
          <w:p>
            <w:pPr>
              <w:pStyle w:val="Normal"/>
              <w:widowControl w:val="false"/>
              <w:jc w:val="center"/>
              <w:rPr>
                <w:color w:val="0000FF"/>
                <w:lang w:val="nl-NL"/>
              </w:rPr>
            </w:pPr>
            <w:r>
              <w:rPr>
                <w:color w:val="0000FF"/>
                <w:lang w:val="nl-NL"/>
              </w:rPr>
            </w:r>
          </w:p>
          <w:p>
            <w:pPr>
              <w:pStyle w:val="Normal"/>
              <w:widowControl w:val="false"/>
              <w:jc w:val="center"/>
              <w:rPr>
                <w:b/>
                <w:b/>
                <w:bCs/>
                <w:color w:val="0000FF"/>
                <w:lang w:val="nl-NL"/>
              </w:rPr>
            </w:pPr>
            <w:r>
              <w:rPr>
                <w:b/>
                <w:bCs/>
                <w:color w:val="0000FF"/>
                <w:lang w:val="nl-NL"/>
              </w:rPr>
            </w:r>
          </w:p>
          <w:p>
            <w:pPr>
              <w:pStyle w:val="Normal"/>
              <w:widowControl w:val="false"/>
              <w:jc w:val="center"/>
              <w:rPr>
                <w:b/>
                <w:b/>
                <w:bCs/>
                <w:color w:val="0000FF"/>
                <w:lang w:val="nl-NL"/>
              </w:rPr>
            </w:pPr>
            <w:r>
              <w:rPr>
                <w:b/>
                <w:bCs/>
                <w:color w:val="0000FF"/>
                <w:lang w:val="nl-NL"/>
              </w:rPr>
              <w:t>Vũ Thị Mai</w:t>
            </w:r>
          </w:p>
        </w:tc>
      </w:tr>
    </w:tbl>
    <w:p>
      <w:pPr>
        <w:pStyle w:val="Normal"/>
        <w:widowControl w:val="false"/>
        <w:spacing w:before="120" w:after="120"/>
        <w:ind w:firstLine="720"/>
        <w:jc w:val="both"/>
        <w:rPr>
          <w:color w:val="0000FF"/>
          <w:lang w:val="pt-BR"/>
        </w:rPr>
      </w:pPr>
      <w:r>
        <w:rPr>
          <w:color w:val="0000FF"/>
          <w:lang w:val="pt-BR"/>
        </w:rPr>
      </w:r>
    </w:p>
    <w:p>
      <w:pPr>
        <w:pStyle w:val="Normal"/>
        <w:widowControl w:val="false"/>
        <w:spacing w:before="120" w:after="120"/>
        <w:ind w:firstLine="720"/>
        <w:jc w:val="both"/>
        <w:rPr>
          <w:color w:val="0000FF"/>
          <w:lang w:val="pt-BR"/>
        </w:rPr>
      </w:pPr>
      <w:r>
        <w:rPr>
          <w:color w:val="0000FF"/>
          <w:lang w:val="pt-BR"/>
        </w:rPr>
      </w:r>
    </w:p>
    <w:p>
      <w:pPr>
        <w:pStyle w:val="Normal"/>
        <w:spacing w:before="120" w:after="120"/>
        <w:ind w:firstLine="720"/>
        <w:jc w:val="both"/>
        <w:rPr>
          <w:color w:val="0000FF"/>
          <w:lang w:val="it-IT"/>
        </w:rPr>
      </w:pPr>
      <w:r>
        <w:rPr>
          <w:color w:val="0000FF"/>
          <w:lang w:val="it-IT"/>
        </w:rPr>
      </w:r>
    </w:p>
    <w:p>
      <w:pPr>
        <w:pStyle w:val="Normal"/>
        <w:spacing w:before="90" w:after="90"/>
        <w:jc w:val="both"/>
        <w:rPr>
          <w:color w:val="0000FF"/>
          <w:lang w:val="it-IT"/>
        </w:rPr>
      </w:pPr>
      <w:r>
        <w:rPr>
          <w:color w:val="0000FF"/>
          <w:lang w:val="it-IT"/>
        </w:rPr>
      </w:r>
    </w:p>
    <w:p>
      <w:pPr>
        <w:pStyle w:val="Normal"/>
        <w:spacing w:before="120" w:after="120"/>
        <w:jc w:val="both"/>
        <w:rPr>
          <w:color w:val="0000FF"/>
          <w:lang w:val="it-IT"/>
        </w:rPr>
      </w:pPr>
      <w:r>
        <w:rPr>
          <w:color w:val="0000FF"/>
          <w:lang w:val="it-IT"/>
        </w:rPr>
      </w:r>
    </w:p>
    <w:p>
      <w:pPr>
        <w:pStyle w:val="Normal"/>
        <w:rPr>
          <w:color w:val="0000FF"/>
          <w:lang w:val="it-IT"/>
        </w:rPr>
      </w:pPr>
      <w:r>
        <w:rPr>
          <w:color w:val="0000FF"/>
          <w:lang w:val="it-IT"/>
        </w:rPr>
      </w:r>
    </w:p>
    <w:sectPr>
      <w:headerReference w:type="default" r:id="rId2"/>
      <w:footerReference w:type="default" r:id="rId3"/>
      <w:type w:val="nextPage"/>
      <w:pgSz w:w="12240" w:h="15840"/>
      <w:pgMar w:left="1800" w:right="180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3</w:t>
    </w:r>
    <w:r>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4">
              <wp:simplePos x="0" y="0"/>
              <wp:positionH relativeFrom="margin">
                <wp:align>center</wp:align>
              </wp:positionH>
              <wp:positionV relativeFrom="paragraph">
                <wp:posOffset>635</wp:posOffset>
              </wp:positionV>
              <wp:extent cx="14605" cy="175260"/>
              <wp:effectExtent l="0" t="0" r="0" b="0"/>
              <wp:wrapSquare wrapText="largest"/>
              <wp:docPr id="1" name="Frame1"/>
              <a:graphic xmlns:a="http://schemas.openxmlformats.org/drawingml/2006/main">
                <a:graphicData uri="http://schemas.microsoft.com/office/word/2010/wordprocessingShape">
                  <wps:wsp>
                    <wps:cNvSpPr txBox="1"/>
                    <wps:spPr>
                      <a:xfrm>
                        <a:off x="0" y="0"/>
                        <a:ext cx="14605" cy="175260"/>
                      </a:xfrm>
                      <a:prstGeom prst="rect"/>
                      <a:solidFill>
                        <a:srgbClr val="FFFFFF">
                          <a:alpha val="0"/>
                        </a:srgbClr>
                      </a:solidFill>
                    </wps:spPr>
                    <wps:txbx>
                      <w:txbxContent>
                        <w:p>
                          <w:pPr>
                            <w:pStyle w:val="Header"/>
                            <w:rPr>
                              <w:rStyle w:val="PageNumber"/>
                            </w:rPr>
                          </w:pPr>
                          <w:r>
                            <w:rPr/>
                          </w:r>
                        </w:p>
                      </w:txbxContent>
                    </wps:txbx>
                    <wps:bodyPr anchor="t" lIns="0" tIns="0" rIns="0" bIns="0">
                      <a:noAutofit/>
                    </wps:bodyPr>
                  </wps:wsp>
                </a:graphicData>
              </a:graphic>
            </wp:anchor>
          </w:drawing>
        </mc:Choice>
        <mc:Fallback>
          <w:pict>
            <v:rect fillcolor="#FFFFFF" style="position:absolute;rotation:-0;width:1.15pt;height:13.8pt;mso-wrap-distance-left:0pt;mso-wrap-distance-right:0pt;mso-wrap-distance-top:0pt;mso-wrap-distance-bottom:0pt;margin-top:0.05pt;mso-position-vertical-relative:text;margin-left:215.45pt;mso-position-horizontal:center;mso-position-horizontal-relative:margin">
              <v:fill opacity="0f"/>
              <v:textbox inset="0in,0in,0in,0in">
                <w:txbxContent>
                  <w:p>
                    <w:pPr>
                      <w:pStyle w:val="Header"/>
                      <w:rPr>
                        <w:rStyle w:val="PageNumber"/>
                      </w:rPr>
                    </w:pPr>
                    <w:r>
                      <w:rPr/>
                    </w:r>
                  </w:p>
                </w:txbxContent>
              </v:textbox>
              <w10:wrap type="square" side="largest"/>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7">
    <w:name w:val="Heading 7"/>
    <w:basedOn w:val="Normal"/>
    <w:next w:val="Normal"/>
    <w:qFormat/>
    <w:pPr>
      <w:keepNext w:val="true"/>
      <w:numPr>
        <w:ilvl w:val="6"/>
        <w:numId w:val="1"/>
      </w:numPr>
      <w:jc w:val="center"/>
      <w:outlineLvl w:val="6"/>
    </w:pPr>
    <w:rPr>
      <w:rFonts w:ascii=".VnTime" w:hAnsi=".VnTime" w:cs=".VnTime"/>
      <w:i/>
      <w:iCs/>
      <w:sz w:val="28"/>
      <w:szCs w:val="28"/>
    </w:rPr>
  </w:style>
  <w:style w:type="character" w:styleId="DefaultParagraphFont">
    <w:name w:val="Default Paragraph Font"/>
    <w:qFormat/>
    <w:rPr/>
  </w:style>
  <w:style w:type="character" w:styleId="CharChar5">
    <w:name w:val=" Char Char5"/>
    <w:basedOn w:val="DefaultParagraphFont"/>
    <w:qFormat/>
    <w:rPr>
      <w:rFonts w:ascii=".VnTime" w:hAnsi=".VnTime" w:cs=".VnTime"/>
      <w:i/>
      <w:iCs/>
      <w:sz w:val="28"/>
      <w:szCs w:val="28"/>
      <w:lang w:val="en-US" w:bidi="ar-SA"/>
    </w:rPr>
  </w:style>
  <w:style w:type="character" w:styleId="StrongEmphasis">
    <w:name w:val="Strong Emphasis"/>
    <w:basedOn w:val="DefaultParagraphFont"/>
    <w:qFormat/>
    <w:rPr>
      <w:b/>
      <w:bCs/>
    </w:rPr>
  </w:style>
  <w:style w:type="character" w:styleId="CharChar3">
    <w:name w:val=" Char Char3"/>
    <w:basedOn w:val="DefaultParagraphFont"/>
    <w:qFormat/>
    <w:rPr>
      <w:sz w:val="24"/>
      <w:szCs w:val="24"/>
      <w:lang w:val="en-US" w:bidi="ar-SA"/>
    </w:rPr>
  </w:style>
  <w:style w:type="character" w:styleId="PageNumber">
    <w:name w:val="Page Number"/>
    <w:basedOn w:val="DefaultParagraphFont"/>
    <w:rPr/>
  </w:style>
  <w:style w:type="character" w:styleId="CharChar2">
    <w:name w:val=" Char Char2"/>
    <w:basedOn w:val="DefaultParagraphFont"/>
    <w:qFormat/>
    <w:rPr>
      <w:rFonts w:ascii=".VnTime" w:hAnsi=".VnTime" w:cs=".VnTime"/>
      <w:sz w:val="28"/>
      <w:szCs w:val="28"/>
      <w:lang w:val="en-US" w:bidi="ar-SA"/>
    </w:rPr>
  </w:style>
  <w:style w:type="character" w:styleId="CharChar">
    <w:name w:val=" Char Char"/>
    <w:basedOn w:val="DefaultParagraphFont"/>
    <w:qFormat/>
    <w:rPr>
      <w:sz w:val="24"/>
      <w:szCs w:val="24"/>
      <w:lang w:val="en-US" w:bidi="ar-SA"/>
    </w:rPr>
  </w:style>
  <w:style w:type="character" w:styleId="BodyTextIndentChar1Char1">
    <w:name w:val="Body Text Indent Char1 Char1"/>
    <w:basedOn w:val="DefaultParagraphFont"/>
    <w:qFormat/>
    <w:rPr>
      <w:rFonts w:ascii=".VnTime" w:hAnsi=".VnTime" w:cs=".VnTime"/>
      <w:sz w:val="28"/>
      <w:szCs w:val="28"/>
      <w:lang w:val="en-US" w:bidi="ar-SA"/>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BodyTextIndent2">
    <w:name w:val="Body Text Indent 2"/>
    <w:basedOn w:val="Normal"/>
    <w:qFormat/>
    <w:pPr>
      <w:autoSpaceDE w:val="false"/>
      <w:ind w:firstLine="720"/>
      <w:jc w:val="both"/>
    </w:pPr>
    <w:rPr>
      <w:rFonts w:ascii=".VnTime" w:hAnsi=".VnTime" w:cs=".VnTime"/>
      <w:sz w:val="28"/>
      <w:szCs w:val="28"/>
    </w:rPr>
  </w:style>
  <w:style w:type="paragraph" w:styleId="Footer">
    <w:name w:val="Footer"/>
    <w:basedOn w:val="Normal"/>
    <w:pPr>
      <w:tabs>
        <w:tab w:val="clear" w:pos="720"/>
        <w:tab w:val="center" w:pos="4680" w:leader="none"/>
        <w:tab w:val="right" w:pos="9360" w:leader="none"/>
      </w:tabs>
    </w:pPr>
    <w:rPr/>
  </w:style>
  <w:style w:type="paragraph" w:styleId="TextBodyIndent">
    <w:name w:val="Body Text Indent"/>
    <w:basedOn w:val="Normal"/>
    <w:pPr>
      <w:spacing w:before="120" w:after="0"/>
      <w:ind w:firstLine="720"/>
      <w:jc w:val="both"/>
    </w:pPr>
    <w:rPr>
      <w:rFonts w:ascii=".VnTime" w:hAnsi=".VnTime" w:cs=".VnTime"/>
      <w:sz w:val="28"/>
      <w:szCs w:val="2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2012-04-09T03:30:00Z</dcterms:created>
  <dc:creator>mof</dc:creator>
  <dc:description/>
  <cp:keywords/>
  <dc:language>en-US</dc:language>
  <cp:lastModifiedBy>mof</cp:lastModifiedBy>
  <dcterms:modified xsi:type="dcterms:W3CDTF">2012-04-09T03:30:00Z</dcterms:modified>
  <cp:revision>1</cp:revision>
  <dc:subject/>
  <dc:title>BỘ TÀI CHÍNH</dc:title>
</cp:coreProperties>
</file>