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288" w:type="dxa"/>
        <w:jc w:val="left"/>
        <w:tblInd w:w="-108" w:type="dxa"/>
        <w:tblLayout w:type="fixed"/>
        <w:tblCellMar>
          <w:top w:w="0" w:type="dxa"/>
          <w:left w:w="108" w:type="dxa"/>
          <w:bottom w:w="0" w:type="dxa"/>
          <w:right w:w="108" w:type="dxa"/>
        </w:tblCellMar>
      </w:tblPr>
      <w:tblGrid>
        <w:gridCol w:w="3108"/>
        <w:gridCol w:w="6180"/>
      </w:tblGrid>
      <w:tr>
        <w:trPr>
          <w:trHeight w:val="1438" w:hRule="atLeast"/>
        </w:trPr>
        <w:tc>
          <w:tcPr>
            <w:tcW w:w="3108" w:type="dxa"/>
            <w:tcBorders/>
          </w:tcPr>
          <w:p>
            <w:pPr>
              <w:pStyle w:val="Normal"/>
              <w:jc w:val="center"/>
              <w:rPr>
                <w:b/>
                <w:b/>
                <w:color w:val="0000FF"/>
                <w:lang w:val="nl-NL"/>
              </w:rPr>
            </w:pPr>
            <w:r>
              <w:rPr>
                <w:b/>
                <w:bCs/>
                <w:color w:val="0000FF"/>
                <w:lang w:val="nl-NL"/>
              </w:rPr>
              <w:t>BỘ TÀI CHÍNH</w:t>
            </w:r>
          </w:p>
          <w:p>
            <w:pPr>
              <w:pStyle w:val="Normal"/>
              <w:jc w:val="center"/>
              <w:rPr>
                <w:b/>
                <w:b/>
                <w:color w:val="0000FF"/>
                <w:lang w:val="nl-NL"/>
              </w:rPr>
            </w:pPr>
            <w:r>
              <w:rPr>
                <w:b/>
                <w:color w:val="0000FF"/>
                <w:lang w:val="nl-NL"/>
              </w:rPr>
              <w:t>-------------</w:t>
            </w:r>
          </w:p>
          <w:p>
            <w:pPr>
              <w:pStyle w:val="Normal"/>
              <w:jc w:val="center"/>
              <w:rPr>
                <w:color w:val="0000FF"/>
                <w:lang w:val="nl-NL"/>
              </w:rPr>
            </w:pPr>
            <w:r>
              <w:rPr>
                <w:color w:val="0000FF"/>
                <w:lang w:val="nl-NL"/>
              </w:rPr>
              <w:t>Số: 78/2011/TT-BTC</w:t>
            </w:r>
          </w:p>
        </w:tc>
        <w:tc>
          <w:tcPr>
            <w:tcW w:w="6180" w:type="dxa"/>
            <w:tcBorders/>
          </w:tcPr>
          <w:p>
            <w:pPr>
              <w:pStyle w:val="Normal"/>
              <w:jc w:val="center"/>
              <w:rPr>
                <w:b/>
                <w:b/>
                <w:color w:val="0000FF"/>
                <w:lang w:val="nl-NL"/>
              </w:rPr>
            </w:pPr>
            <w:r>
              <w:rPr>
                <w:b/>
                <w:bCs/>
                <w:color w:val="0000FF"/>
                <w:lang w:val="nl-NL"/>
              </w:rPr>
              <w:t>CỘNG HOÀ XÃ HỘI CHỦ NGHĨA VIỆT NAM</w:t>
            </w:r>
          </w:p>
          <w:p>
            <w:pPr>
              <w:pStyle w:val="Normal"/>
              <w:jc w:val="center"/>
              <w:rPr>
                <w:b/>
                <w:b/>
                <w:bCs/>
                <w:color w:val="0000FF"/>
                <w:lang w:val="nl-NL"/>
              </w:rPr>
            </w:pPr>
            <w:r>
              <w:rPr>
                <w:b/>
                <w:bCs/>
                <w:color w:val="0000FF"/>
                <w:lang w:val="nl-NL"/>
              </w:rPr>
              <w:t>Độc lập - Tự do - Hạnh phúc</w:t>
            </w:r>
          </w:p>
          <w:p>
            <w:pPr>
              <w:pStyle w:val="Normal"/>
              <w:jc w:val="center"/>
              <w:rPr/>
            </w:pPr>
            <w:r>
              <w:rPr>
                <w:iCs/>
                <w:color w:val="0000FF"/>
                <w:lang w:val="nl-NL"/>
              </w:rPr>
              <w:t xml:space="preserve">----------------------------------- </w:t>
            </w:r>
          </w:p>
          <w:p>
            <w:pPr>
              <w:pStyle w:val="Normal"/>
              <w:jc w:val="center"/>
              <w:rPr>
                <w:color w:val="0000FF"/>
                <w:lang w:val="nl-NL"/>
              </w:rPr>
            </w:pPr>
            <w:r>
              <w:rPr>
                <w:b/>
                <w:i/>
                <w:iCs/>
                <w:color w:val="0000FF"/>
                <w:lang w:val="nl-NL"/>
              </w:rPr>
              <w:t xml:space="preserve">          </w:t>
            </w:r>
            <w:r>
              <w:rPr>
                <w:i/>
                <w:iCs/>
                <w:color w:val="0000FF"/>
                <w:lang w:val="nl-NL"/>
              </w:rPr>
              <w:t>Hà Nội, ngày 08  tháng 6 năm 2011</w:t>
            </w:r>
          </w:p>
        </w:tc>
      </w:tr>
    </w:tbl>
    <w:p>
      <w:pPr>
        <w:pStyle w:val="Normal"/>
        <w:spacing w:before="360" w:after="120"/>
        <w:jc w:val="center"/>
        <w:rPr>
          <w:b/>
          <w:b/>
          <w:bCs/>
          <w:iCs/>
          <w:color w:val="0000FF"/>
          <w:lang w:val="nl-NL"/>
        </w:rPr>
      </w:pPr>
      <w:r>
        <w:rPr>
          <w:b/>
          <w:bCs/>
          <w:iCs/>
          <w:color w:val="0000FF"/>
          <w:lang w:val="nl-NL"/>
        </w:rPr>
      </w:r>
    </w:p>
    <w:p>
      <w:pPr>
        <w:pStyle w:val="Normal"/>
        <w:spacing w:before="360" w:after="120"/>
        <w:jc w:val="center"/>
        <w:rPr/>
      </w:pPr>
      <w:r>
        <w:rPr>
          <w:b/>
          <w:bCs/>
          <w:iCs/>
          <w:color w:val="0000FF"/>
          <w:lang w:val="nl-NL"/>
        </w:rPr>
        <w:t>THÔNG</w:t>
      </w:r>
      <w:r>
        <w:rPr>
          <w:b/>
          <w:color w:val="0000FF"/>
          <w:lang w:val="nl-NL"/>
        </w:rPr>
        <w:t xml:space="preserve"> TƯ</w:t>
      </w:r>
    </w:p>
    <w:p>
      <w:pPr>
        <w:pStyle w:val="Normal"/>
        <w:jc w:val="center"/>
        <w:rPr>
          <w:b/>
          <w:b/>
          <w:color w:val="0000FF"/>
          <w:lang w:val="nl-NL"/>
        </w:rPr>
      </w:pPr>
      <w:r>
        <w:rPr>
          <w:b/>
          <w:color w:val="0000FF"/>
          <w:lang w:val="nl-NL"/>
        </w:rPr>
        <w:t xml:space="preserve">       </w:t>
      </w:r>
      <w:r>
        <w:rPr>
          <w:b/>
          <w:color w:val="0000FF"/>
          <w:lang w:val="nl-NL"/>
        </w:rPr>
        <w:t>Hướng dẫn không tính vào thu nhập chịu thuế thu nhập cá nhân đối với khoản hỗ trợ khám chữa bệnh hiểm nghèo cho người lao động và thân nhân của người lao động từ nguồn thu nhập sau thuế thu nhập doanh nghiệp; quỹ phúc lợi, quỹ khen thưởng của doanh nghiệp</w:t>
      </w:r>
    </w:p>
    <w:p>
      <w:pPr>
        <w:pStyle w:val="Normal"/>
        <w:widowControl w:val="false"/>
        <w:autoSpaceDE w:val="false"/>
        <w:jc w:val="center"/>
        <w:rPr>
          <w:b/>
          <w:b/>
          <w:color w:val="0000FF"/>
          <w:lang w:val="nl-NL"/>
        </w:rPr>
      </w:pPr>
      <w:r>
        <w:rPr>
          <w:b/>
          <w:color w:val="0000FF"/>
          <w:lang w:val="nl-NL"/>
        </w:rPr>
        <w:t>---------------------------------</w:t>
      </w:r>
    </w:p>
    <w:p>
      <w:pPr>
        <w:pStyle w:val="Normal"/>
        <w:widowControl w:val="false"/>
        <w:autoSpaceDE w:val="false"/>
        <w:jc w:val="center"/>
        <w:rPr>
          <w:b/>
          <w:b/>
          <w:color w:val="0000FF"/>
          <w:lang w:val="nl-NL"/>
        </w:rPr>
      </w:pPr>
      <w:r>
        <w:rPr>
          <w:b/>
          <w:color w:val="0000FF"/>
          <w:lang w:val="nl-NL"/>
        </w:rPr>
      </w:r>
    </w:p>
    <w:p>
      <w:pPr>
        <w:pStyle w:val="Normal"/>
        <w:spacing w:before="120" w:after="60"/>
        <w:ind w:firstLine="720"/>
        <w:jc w:val="both"/>
        <w:rPr>
          <w:color w:val="0000FF"/>
          <w:lang w:val="nl-NL"/>
        </w:rPr>
      </w:pPr>
      <w:r>
        <w:rPr>
          <w:color w:val="0000FF"/>
          <w:lang w:val="nl-NL"/>
        </w:rPr>
        <w:t>Căn cứ Luật Thuế thu nhập cá nhân số 04/2007/QH12 ngày 21 tháng 11 năm 2007;</w:t>
      </w:r>
    </w:p>
    <w:p>
      <w:pPr>
        <w:pStyle w:val="Normal"/>
        <w:spacing w:before="60" w:after="60"/>
        <w:jc w:val="both"/>
        <w:rPr>
          <w:color w:val="0000FF"/>
          <w:lang w:val="nl-NL"/>
        </w:rPr>
      </w:pPr>
      <w:r>
        <w:rPr>
          <w:color w:val="0000FF"/>
          <w:lang w:val="nl-NL"/>
        </w:rPr>
        <w:tab/>
        <w:t>Căn cứ Nghị định số 100/2008/NĐ-CP ngày 8/9/2008 của Chính Phủ quy định chi tiết một số điều của Luật Thuế thu nhập cá nhân;</w:t>
      </w:r>
    </w:p>
    <w:p>
      <w:pPr>
        <w:pStyle w:val="Normal"/>
        <w:spacing w:before="60" w:after="60"/>
        <w:jc w:val="both"/>
        <w:rPr>
          <w:color w:val="0000FF"/>
          <w:lang w:val="nl-NL"/>
        </w:rPr>
      </w:pPr>
      <w:r>
        <w:rPr>
          <w:color w:val="0000FF"/>
          <w:lang w:val="nl-NL"/>
        </w:rPr>
        <w:tab/>
        <w:t>Căn cứ Nghị định số 118/2008/NĐ-CP ngày 27 tháng 11 năm 2008 của Chính phủ quy định chức năng, nhiệm vụ, quyền hạn và cơ cấu tổ chức của Bộ Tài chính;</w:t>
      </w:r>
    </w:p>
    <w:p>
      <w:pPr>
        <w:pStyle w:val="Normal"/>
        <w:spacing w:before="60" w:after="60"/>
        <w:jc w:val="both"/>
        <w:rPr>
          <w:color w:val="0000FF"/>
          <w:lang w:val="nl-NL"/>
        </w:rPr>
      </w:pPr>
      <w:r>
        <w:rPr>
          <w:color w:val="0000FF"/>
          <w:lang w:val="nl-NL"/>
        </w:rPr>
        <w:tab/>
        <w:t>Thực hiện ý kiến chỉ đạo của Thủ tướng Chính phủ tại công văn số 1485/VPCP- KTTH  ngày 14 tháng 3 năm 2011 của Văn phòng Chính phủ về việc không tính vào thu nhập chịu thuế thu nhập cá nhân từ tiền lương, tiền công của người lao động đối với khoản hỗ trợ của doanh nghiệp cho người lao động và thân nhân người lao động khám chữa bệnh hiểm nghèo.</w:t>
      </w:r>
    </w:p>
    <w:p>
      <w:pPr>
        <w:pStyle w:val="Normal"/>
        <w:spacing w:before="120" w:after="120"/>
        <w:jc w:val="both"/>
        <w:rPr>
          <w:color w:val="0000FF"/>
          <w:lang w:val="nl-NL"/>
        </w:rPr>
      </w:pPr>
      <w:r>
        <w:rPr>
          <w:color w:val="0000FF"/>
          <w:lang w:val="nl-NL"/>
        </w:rPr>
        <w:tab/>
        <w:t>Bộ Tài chính hướng dẫn thực hiện như sau:</w:t>
      </w:r>
    </w:p>
    <w:p>
      <w:pPr>
        <w:pStyle w:val="Normal"/>
        <w:spacing w:before="120" w:after="120"/>
        <w:jc w:val="both"/>
        <w:rPr>
          <w:b/>
          <w:b/>
          <w:color w:val="0000FF"/>
          <w:lang w:val="nl-NL"/>
        </w:rPr>
      </w:pPr>
      <w:r>
        <w:rPr>
          <w:b/>
          <w:color w:val="0000FF"/>
          <w:lang w:val="nl-NL"/>
        </w:rPr>
        <w:tab/>
        <w:t>Điều 1. Phạm vi điều chỉnh</w:t>
      </w:r>
    </w:p>
    <w:p>
      <w:pPr>
        <w:pStyle w:val="Normal"/>
        <w:spacing w:before="120" w:after="120"/>
        <w:jc w:val="both"/>
        <w:rPr>
          <w:color w:val="0000FF"/>
          <w:lang w:val="nl-NL"/>
        </w:rPr>
      </w:pPr>
      <w:r>
        <w:rPr>
          <w:color w:val="0000FF"/>
          <w:lang w:val="nl-NL"/>
        </w:rPr>
        <w:tab/>
        <w:t xml:space="preserve">Thông tư này quy định không tính vào thu nhập chịu thuế thu nhập cá nhân (TNCN) từ tiền lương, tiền công của người lao động khoản hỗ trợ khám chữa bệnh hiểm nghèo cho bản thân người lao động và thân nhân của người lao động từ nguồn thu nhập sau thuế thu nhập doanh nghiệp (TNDN), từ nguồn quỹ phúc lợi, khen thưởng của doanh nghiệp. </w:t>
      </w:r>
    </w:p>
    <w:p>
      <w:pPr>
        <w:pStyle w:val="Normal"/>
        <w:spacing w:before="120" w:after="120"/>
        <w:ind w:firstLine="720"/>
        <w:jc w:val="both"/>
        <w:rPr/>
      </w:pPr>
      <w:r>
        <w:rPr>
          <w:b/>
          <w:color w:val="0000FF"/>
          <w:lang w:val="nl-NL"/>
        </w:rPr>
        <w:t>Điều 2.</w:t>
      </w:r>
      <w:r>
        <w:rPr>
          <w:color w:val="0000FF"/>
          <w:lang w:val="nl-NL"/>
        </w:rPr>
        <w:t xml:space="preserve"> Doanh nghiệp được lấy từ nguồn thu nhập sau thuế TNDN; từ nguồn quỹ phúc lợi, khen thưởng để hỗ trợ cho người lao động và thân nhân người lao động mắc bệnh hiểm nghèo gồm:</w:t>
      </w:r>
    </w:p>
    <w:p>
      <w:pPr>
        <w:pStyle w:val="Normal"/>
        <w:spacing w:before="120" w:after="120"/>
        <w:jc w:val="both"/>
        <w:rPr>
          <w:color w:val="0000FF"/>
          <w:lang w:val="nl-NL"/>
        </w:rPr>
      </w:pPr>
      <w:r>
        <w:rPr>
          <w:color w:val="0000FF"/>
          <w:lang w:val="nl-NL"/>
        </w:rPr>
        <w:tab/>
        <w:t>1. Doanh nghiệp được thành lập theo quy định của pháp luật Việt Nam;</w:t>
      </w:r>
    </w:p>
    <w:p>
      <w:pPr>
        <w:pStyle w:val="Normal"/>
        <w:spacing w:before="120" w:after="120"/>
        <w:ind w:firstLine="720"/>
        <w:jc w:val="both"/>
        <w:rPr>
          <w:color w:val="0000FF"/>
          <w:lang w:val="nl-NL"/>
        </w:rPr>
      </w:pPr>
      <w:r>
        <w:rPr>
          <w:color w:val="0000FF"/>
          <w:lang w:val="nl-NL"/>
        </w:rPr>
        <w:t>2. Doanh nghiệp được thành lập theo qui định của pháp luật nước ngoài (gọi là doanh nghiệp nước ngoài) có cơ sở thường trú hoặc không có cơ sở thường trú tại Việt Nam;</w:t>
      </w:r>
    </w:p>
    <w:p>
      <w:pPr>
        <w:pStyle w:val="Normal"/>
        <w:spacing w:before="120" w:after="120"/>
        <w:ind w:firstLine="720"/>
        <w:jc w:val="both"/>
        <w:rPr>
          <w:color w:val="0000FF"/>
          <w:lang w:val="nl-NL"/>
        </w:rPr>
      </w:pPr>
      <w:r>
        <w:rPr>
          <w:color w:val="0000FF"/>
          <w:lang w:val="nl-NL"/>
        </w:rPr>
        <w:t>3. Tổ chức được thành lập và hoạt động theo Luật Hợp tác xã;</w:t>
      </w:r>
    </w:p>
    <w:p>
      <w:pPr>
        <w:pStyle w:val="Normal"/>
        <w:spacing w:before="120" w:after="120"/>
        <w:ind w:firstLine="720"/>
        <w:jc w:val="both"/>
        <w:rPr>
          <w:color w:val="0000FF"/>
          <w:lang w:val="nl-NL"/>
        </w:rPr>
      </w:pPr>
      <w:r>
        <w:rPr>
          <w:color w:val="0000FF"/>
          <w:lang w:val="nl-NL"/>
        </w:rPr>
        <w:t>4. Đơn vị sự nghiệp công lập, ngoài công lập sản xuất, kinh doanh hàng hoá, dịch vụ;</w:t>
      </w:r>
    </w:p>
    <w:p>
      <w:pPr>
        <w:pStyle w:val="Normal"/>
        <w:spacing w:before="120" w:after="120"/>
        <w:ind w:firstLine="684"/>
        <w:jc w:val="both"/>
        <w:rPr>
          <w:color w:val="0000FF"/>
          <w:lang w:val="nl-NL"/>
        </w:rPr>
      </w:pPr>
      <w:r>
        <w:rPr>
          <w:color w:val="0000FF"/>
          <w:lang w:val="nl-NL"/>
        </w:rPr>
        <w:t xml:space="preserve">  </w:t>
      </w:r>
      <w:r>
        <w:rPr>
          <w:color w:val="0000FF"/>
          <w:lang w:val="nl-NL"/>
        </w:rPr>
        <w:t>5. Tổ chức có hoạt động sản xuất, kinh doanh có thu nhập.</w:t>
      </w:r>
    </w:p>
    <w:p>
      <w:pPr>
        <w:pStyle w:val="Normal"/>
        <w:spacing w:before="120" w:after="120"/>
        <w:jc w:val="both"/>
        <w:rPr/>
      </w:pPr>
      <w:r>
        <w:rPr>
          <w:color w:val="0000FF"/>
          <w:lang w:val="nl-NL"/>
        </w:rPr>
        <w:tab/>
      </w:r>
      <w:r>
        <w:rPr>
          <w:b/>
          <w:color w:val="0000FF"/>
          <w:lang w:val="nl-NL"/>
        </w:rPr>
        <w:t>Điều 3. Đối tượng được hưởng khoản hỗ trợ:</w:t>
      </w:r>
    </w:p>
    <w:p>
      <w:pPr>
        <w:pStyle w:val="Normal"/>
        <w:spacing w:before="120" w:after="120"/>
        <w:ind w:firstLine="720"/>
        <w:jc w:val="both"/>
        <w:rPr>
          <w:b/>
          <w:b/>
          <w:color w:val="0000FF"/>
          <w:lang w:val="nl-NL"/>
        </w:rPr>
      </w:pPr>
      <w:r>
        <w:rPr>
          <w:color w:val="0000FF"/>
          <w:lang w:val="nl-NL"/>
        </w:rPr>
        <w:t>Đối tượng được hưởng khoản hỗ trợ của doanh nghiệp là người bị mắc bệnh hiểm nghèo bao gồm:</w:t>
      </w:r>
    </w:p>
    <w:p>
      <w:pPr>
        <w:pStyle w:val="Normal"/>
        <w:spacing w:before="120" w:after="120"/>
        <w:ind w:firstLine="720"/>
        <w:jc w:val="both"/>
        <w:rPr>
          <w:color w:val="0000FF"/>
          <w:lang w:val="nl-NL"/>
        </w:rPr>
      </w:pPr>
      <w:r>
        <w:rPr>
          <w:color w:val="0000FF"/>
          <w:lang w:val="nl-NL"/>
        </w:rPr>
        <w:t>1. Người lao động làm việc tại doanh nghiệp.</w:t>
      </w:r>
    </w:p>
    <w:p>
      <w:pPr>
        <w:pStyle w:val="Normal"/>
        <w:spacing w:before="120" w:after="120"/>
        <w:ind w:firstLine="720"/>
        <w:jc w:val="both"/>
        <w:rPr>
          <w:color w:val="0000FF"/>
          <w:lang w:val="nl-NL"/>
        </w:rPr>
      </w:pPr>
      <w:r>
        <w:rPr>
          <w:color w:val="0000FF"/>
          <w:lang w:val="nl-NL"/>
        </w:rPr>
        <w:t>2. Thân nhân người lao động: Bố, mẹ đẻ; vợ hoặc chồng; con đẻ, con nuôi hợp pháp.</w:t>
      </w:r>
    </w:p>
    <w:p>
      <w:pPr>
        <w:pStyle w:val="Normal"/>
        <w:spacing w:before="120" w:after="120"/>
        <w:jc w:val="both"/>
        <w:rPr/>
      </w:pPr>
      <w:r>
        <w:rPr>
          <w:color w:val="0000FF"/>
          <w:lang w:val="nl-NL"/>
        </w:rPr>
        <w:tab/>
      </w:r>
      <w:r>
        <w:rPr>
          <w:b/>
          <w:color w:val="0000FF"/>
          <w:lang w:val="nl-NL"/>
        </w:rPr>
        <w:t>Điều 4. Căn cứ để hỗ trợ và mức hỗ trợ khám chữa bệnh:</w:t>
      </w:r>
    </w:p>
    <w:p>
      <w:pPr>
        <w:pStyle w:val="Normal"/>
        <w:spacing w:before="120" w:after="120"/>
        <w:ind w:firstLine="684"/>
        <w:jc w:val="both"/>
        <w:rPr>
          <w:color w:val="0000FF"/>
          <w:lang w:val="nl-NL"/>
        </w:rPr>
      </w:pPr>
      <w:r>
        <w:rPr>
          <w:color w:val="0000FF"/>
          <w:lang w:val="nl-NL"/>
        </w:rPr>
        <w:t>1. Mức hỗ trợ có thể là một phần hoặc toàn bộ số tiền khám chữa bệnh cho người lao động và thân nhân người lao động nhưng mức hỗ trợ tối đa không quá số tiền trả viện phí của người lao động và thân nhân người lao động sau khi đã trừ số tiền chi trả của cơ quan bảo hiểm y tế.</w:t>
      </w:r>
    </w:p>
    <w:p>
      <w:pPr>
        <w:pStyle w:val="Normal"/>
        <w:spacing w:before="120" w:after="120"/>
        <w:ind w:firstLine="684"/>
        <w:jc w:val="both"/>
        <w:rPr>
          <w:color w:val="0000FF"/>
          <w:lang w:val="nl-NL"/>
        </w:rPr>
      </w:pPr>
      <w:r>
        <w:rPr>
          <w:color w:val="0000FF"/>
          <w:lang w:val="nl-NL"/>
        </w:rPr>
        <w:t>2. Doanh nghiệp chi tiền hỗ trợ có trách nhiệm: lưu giữ bản sao chứng từ trả tiền viện phí có xác nhận của doanh nghiệp (trong trường hợp người lao động và thân nhân người lao động trả phần còn lại sau khi tổ chức bảo hiểm y tế trả trực tiếp với cơ sở khám chữa bệnh) hoặc bản sao chứng từ trả viện phí; bản sao chứng từ chi bảo hiểm y tế có xác nhận của doanh nghiệp (trong trường hợp người lao động và thân nhân người lao động trả toàn bộ viện phí, cơ quan bảo hiểm y tế trả tiền bảo hiểm y tế cho người lao động và thân nhân người lao động) cùng với chứng từ chi tiền hỗ trợ cho người lao động và thân nhân người lao động mắc bệnh hiểm nghèo.</w:t>
      </w:r>
    </w:p>
    <w:p>
      <w:pPr>
        <w:pStyle w:val="Normal"/>
        <w:spacing w:before="120" w:after="120"/>
        <w:jc w:val="both"/>
        <w:rPr/>
      </w:pPr>
      <w:r>
        <w:rPr>
          <w:color w:val="0000FF"/>
          <w:lang w:val="nl-NL"/>
        </w:rPr>
        <w:tab/>
      </w:r>
      <w:r>
        <w:rPr>
          <w:b/>
          <w:color w:val="0000FF"/>
          <w:lang w:val="nl-NL"/>
        </w:rPr>
        <w:t xml:space="preserve">Điều 5. Tổ chức thực hiện: </w:t>
      </w:r>
    </w:p>
    <w:p>
      <w:pPr>
        <w:pStyle w:val="Normal"/>
        <w:spacing w:before="120" w:after="120"/>
        <w:ind w:firstLine="720"/>
        <w:jc w:val="both"/>
        <w:rPr/>
      </w:pPr>
      <w:r>
        <w:rPr>
          <w:color w:val="0000FF"/>
          <w:lang w:val="nl-NL"/>
        </w:rPr>
        <w:t>1.Thông tư này có hiệu lực thi hành sau 45 ngày kể từ ngày 08 tháng 06 năm 2011.</w:t>
      </w:r>
    </w:p>
    <w:p>
      <w:pPr>
        <w:pStyle w:val="Normal"/>
        <w:spacing w:before="120" w:after="360"/>
        <w:ind w:firstLine="720"/>
        <w:jc w:val="both"/>
        <w:rPr/>
      </w:pPr>
      <w:r>
        <w:rPr/>
        <w:t>2.Trong quá trình thực hiện, nếu có vướng mắc đề nghị các tổ chức, cá nhân phản ánh về Bộ Tài chính để được hướng dẫn cụ thể./.</w:t>
        <w:tab/>
      </w:r>
    </w:p>
    <w:tbl>
      <w:tblPr>
        <w:tblW w:w="8979" w:type="dxa"/>
        <w:jc w:val="left"/>
        <w:tblInd w:w="-108" w:type="dxa"/>
        <w:tblLayout w:type="fixed"/>
        <w:tblCellMar>
          <w:top w:w="0" w:type="dxa"/>
          <w:left w:w="108" w:type="dxa"/>
          <w:bottom w:w="0" w:type="dxa"/>
          <w:right w:w="108" w:type="dxa"/>
        </w:tblCellMar>
      </w:tblPr>
      <w:tblGrid>
        <w:gridCol w:w="6048"/>
        <w:gridCol w:w="2931"/>
      </w:tblGrid>
      <w:tr>
        <w:trPr>
          <w:trHeight w:val="1450" w:hRule="atLeast"/>
        </w:trPr>
        <w:tc>
          <w:tcPr>
            <w:tcW w:w="6048" w:type="dxa"/>
            <w:tcBorders/>
          </w:tcPr>
          <w:p>
            <w:pPr>
              <w:pStyle w:val="TextBodyIndent"/>
              <w:spacing w:before="0" w:after="0"/>
              <w:rPr>
                <w:b/>
                <w:b/>
                <w:color w:val="0000FF"/>
                <w:lang w:val="nl-NL"/>
              </w:rPr>
            </w:pPr>
            <w:r>
              <w:rPr>
                <w:b/>
                <w:i/>
                <w:color w:val="0000FF"/>
                <w:lang w:val="nl-NL"/>
              </w:rPr>
              <w:t>Nơi nhận:</w:t>
            </w:r>
            <w:r>
              <w:rPr>
                <w:b/>
                <w:color w:val="0000FF"/>
                <w:lang w:val="nl-NL"/>
              </w:rPr>
              <w:t xml:space="preserve"> </w:t>
            </w:r>
          </w:p>
          <w:p>
            <w:pPr>
              <w:pStyle w:val="TextBodyIndent"/>
              <w:spacing w:before="0" w:after="0"/>
              <w:rPr>
                <w:color w:val="0000FF"/>
                <w:lang w:val="nl-NL"/>
              </w:rPr>
            </w:pPr>
            <w:r>
              <w:rPr>
                <w:color w:val="0000FF"/>
                <w:lang w:val="nl-NL"/>
              </w:rPr>
              <w:t>- Thủ tướng, các Phó Thủ tướng Chính phủ;</w:t>
            </w:r>
          </w:p>
          <w:p>
            <w:pPr>
              <w:pStyle w:val="TextBodyIndent"/>
              <w:spacing w:before="0" w:after="0"/>
              <w:jc w:val="both"/>
              <w:rPr>
                <w:color w:val="0000FF"/>
                <w:lang w:val="nl-NL"/>
              </w:rPr>
            </w:pPr>
            <w:r>
              <w:rPr>
                <w:color w:val="0000FF"/>
                <w:lang w:val="nl-NL"/>
              </w:rPr>
              <w:t>- Văn phòng Trung ương và các Ban của Đảng;</w:t>
            </w:r>
          </w:p>
          <w:p>
            <w:pPr>
              <w:pStyle w:val="TextBodyIndent"/>
              <w:spacing w:before="0" w:after="0"/>
              <w:jc w:val="both"/>
              <w:rPr>
                <w:color w:val="0000FF"/>
                <w:lang w:val="nl-NL"/>
              </w:rPr>
            </w:pPr>
            <w:r>
              <w:rPr>
                <w:color w:val="0000FF"/>
                <w:lang w:val="nl-NL"/>
              </w:rPr>
              <w:t>- Văn phòng Chủ tịch nước, Quốc hội;</w:t>
            </w:r>
          </w:p>
          <w:p>
            <w:pPr>
              <w:pStyle w:val="TextBodyIndent"/>
              <w:spacing w:before="0" w:after="0"/>
              <w:jc w:val="both"/>
              <w:rPr>
                <w:color w:val="0000FF"/>
                <w:lang w:val="nl-NL"/>
              </w:rPr>
            </w:pPr>
            <w:r>
              <w:rPr>
                <w:color w:val="0000FF"/>
                <w:lang w:val="nl-NL"/>
              </w:rPr>
              <w:t>- Hội đồng dân tộc và các Ủy ban của Quốc hội;</w:t>
            </w:r>
          </w:p>
          <w:p>
            <w:pPr>
              <w:pStyle w:val="TextBodyIndent"/>
              <w:spacing w:before="0" w:after="0"/>
              <w:jc w:val="both"/>
              <w:rPr>
                <w:color w:val="0000FF"/>
                <w:lang w:val="nl-NL"/>
              </w:rPr>
            </w:pPr>
            <w:r>
              <w:rPr>
                <w:color w:val="0000FF"/>
                <w:lang w:val="nl-NL"/>
              </w:rPr>
              <w:t>- Các Bộ, cơ quan ngang Bộ, cơ quan thuộc Chính phủ;</w:t>
            </w:r>
          </w:p>
          <w:p>
            <w:pPr>
              <w:pStyle w:val="TextBodyIndent"/>
              <w:spacing w:before="0" w:after="0"/>
              <w:jc w:val="both"/>
              <w:rPr>
                <w:color w:val="0000FF"/>
                <w:lang w:val="nl-NL"/>
              </w:rPr>
            </w:pPr>
            <w:r>
              <w:rPr>
                <w:color w:val="0000FF"/>
                <w:lang w:val="nl-NL"/>
              </w:rPr>
              <w:t>- Văn phòng Ban Chỉ đạo phòng chống tham nhũng TW;</w:t>
            </w:r>
          </w:p>
          <w:p>
            <w:pPr>
              <w:pStyle w:val="Normal"/>
              <w:jc w:val="both"/>
              <w:rPr>
                <w:color w:val="0000FF"/>
                <w:lang w:val="nl-NL"/>
              </w:rPr>
            </w:pPr>
            <w:r>
              <w:rPr>
                <w:color w:val="0000FF"/>
                <w:lang w:val="nl-NL"/>
              </w:rPr>
              <w:t>- Viện Kiểm sát nhân dân tối cao;</w:t>
            </w:r>
          </w:p>
          <w:p>
            <w:pPr>
              <w:pStyle w:val="Normal"/>
              <w:jc w:val="both"/>
              <w:rPr>
                <w:color w:val="0000FF"/>
                <w:lang w:val="nl-NL"/>
              </w:rPr>
            </w:pPr>
            <w:r>
              <w:rPr>
                <w:color w:val="0000FF"/>
                <w:lang w:val="nl-NL"/>
              </w:rPr>
              <w:t>- Toà án nhân dân tối cao;</w:t>
            </w:r>
          </w:p>
          <w:p>
            <w:pPr>
              <w:pStyle w:val="Normal"/>
              <w:jc w:val="both"/>
              <w:rPr>
                <w:color w:val="0000FF"/>
                <w:lang w:val="nl-NL"/>
              </w:rPr>
            </w:pPr>
            <w:r>
              <w:rPr>
                <w:color w:val="0000FF"/>
                <w:lang w:val="nl-NL"/>
              </w:rPr>
              <w:t>- Kiểm toán nhà nước;</w:t>
            </w:r>
          </w:p>
          <w:p>
            <w:pPr>
              <w:pStyle w:val="Normal"/>
              <w:jc w:val="both"/>
              <w:rPr>
                <w:color w:val="0000FF"/>
                <w:lang w:val="nl-NL"/>
              </w:rPr>
            </w:pPr>
            <w:r>
              <w:rPr>
                <w:color w:val="0000FF"/>
                <w:lang w:val="nl-NL"/>
              </w:rPr>
              <w:t xml:space="preserve">- UBTW Mặt trận Tổ quốc Việt Nam; </w:t>
            </w:r>
          </w:p>
          <w:p>
            <w:pPr>
              <w:pStyle w:val="TextBodyIndent"/>
              <w:spacing w:before="0" w:after="0"/>
              <w:jc w:val="both"/>
              <w:rPr>
                <w:color w:val="0000FF"/>
                <w:lang w:val="nl-NL"/>
              </w:rPr>
            </w:pPr>
            <w:r>
              <w:rPr>
                <w:color w:val="0000FF"/>
                <w:lang w:val="nl-NL"/>
              </w:rPr>
              <w:t>- Cơ quan Trung ương của các Đoàn thể;</w:t>
            </w:r>
          </w:p>
          <w:p>
            <w:pPr>
              <w:pStyle w:val="TextBodyIndent"/>
              <w:spacing w:before="0" w:after="0"/>
              <w:jc w:val="both"/>
              <w:rPr>
                <w:color w:val="0000FF"/>
                <w:lang w:val="nl-NL"/>
              </w:rPr>
            </w:pPr>
            <w:r>
              <w:rPr>
                <w:color w:val="0000FF"/>
                <w:lang w:val="nl-NL"/>
              </w:rPr>
              <w:t xml:space="preserve">- HĐND, UBND, Sở TC, Cục thuế </w:t>
            </w:r>
          </w:p>
          <w:p>
            <w:pPr>
              <w:pStyle w:val="TextBodyIndent"/>
              <w:spacing w:before="0" w:after="0"/>
              <w:jc w:val="both"/>
              <w:rPr>
                <w:color w:val="0000FF"/>
                <w:lang w:val="nl-NL"/>
              </w:rPr>
            </w:pPr>
            <w:r>
              <w:rPr>
                <w:color w:val="0000FF"/>
                <w:lang w:val="nl-NL"/>
              </w:rPr>
              <w:t>các tỉnh, TP trực thuộc TW;</w:t>
            </w:r>
          </w:p>
          <w:p>
            <w:pPr>
              <w:pStyle w:val="TextBodyIndent"/>
              <w:spacing w:before="0" w:after="0"/>
              <w:jc w:val="both"/>
              <w:rPr>
                <w:color w:val="0000FF"/>
                <w:lang w:val="nl-NL"/>
              </w:rPr>
            </w:pPr>
            <w:r>
              <w:rPr>
                <w:color w:val="0000FF"/>
                <w:lang w:val="nl-NL"/>
              </w:rPr>
              <w:t>- Công báo;</w:t>
            </w:r>
          </w:p>
          <w:p>
            <w:pPr>
              <w:pStyle w:val="TextBodyIndent"/>
              <w:spacing w:before="0" w:after="0"/>
              <w:jc w:val="both"/>
              <w:rPr>
                <w:color w:val="0000FF"/>
                <w:lang w:val="nl-NL"/>
              </w:rPr>
            </w:pPr>
            <w:r>
              <w:rPr>
                <w:color w:val="0000FF"/>
                <w:lang w:val="nl-NL"/>
              </w:rPr>
              <w:t>- Cục Kiểm tra văn bản (Bộ Tư pháp);</w:t>
            </w:r>
          </w:p>
          <w:p>
            <w:pPr>
              <w:pStyle w:val="TextBodyIndent"/>
              <w:spacing w:before="0" w:after="0"/>
              <w:jc w:val="both"/>
              <w:rPr>
                <w:color w:val="0000FF"/>
                <w:lang w:val="nl-NL"/>
              </w:rPr>
            </w:pPr>
            <w:r>
              <w:rPr>
                <w:color w:val="0000FF"/>
                <w:lang w:val="nl-NL"/>
              </w:rPr>
              <w:t xml:space="preserve">- Website Chính phủ; </w:t>
            </w:r>
          </w:p>
          <w:p>
            <w:pPr>
              <w:pStyle w:val="TextBodyIndent"/>
              <w:spacing w:before="0" w:after="0"/>
              <w:jc w:val="both"/>
              <w:rPr>
                <w:color w:val="0000FF"/>
                <w:lang w:val="nl-NL"/>
              </w:rPr>
            </w:pPr>
            <w:r>
              <w:rPr>
                <w:color w:val="0000FF"/>
                <w:lang w:val="nl-NL"/>
              </w:rPr>
              <w:t xml:space="preserve">- Các đơn vị thuộc Bộ Tài chính; </w:t>
            </w:r>
          </w:p>
          <w:p>
            <w:pPr>
              <w:pStyle w:val="TextBodyIndent"/>
              <w:spacing w:before="0" w:after="0"/>
              <w:jc w:val="both"/>
              <w:rPr>
                <w:color w:val="0000FF"/>
                <w:lang w:val="nl-NL"/>
              </w:rPr>
            </w:pPr>
            <w:r>
              <w:rPr>
                <w:color w:val="0000FF"/>
                <w:lang w:val="nl-NL"/>
              </w:rPr>
              <w:t xml:space="preserve">- Website Bộ Tài chính; </w:t>
            </w:r>
          </w:p>
          <w:p>
            <w:pPr>
              <w:pStyle w:val="Normal"/>
              <w:jc w:val="both"/>
              <w:rPr>
                <w:color w:val="0000FF"/>
                <w:lang w:val="nl-NL"/>
              </w:rPr>
            </w:pPr>
            <w:r>
              <w:rPr>
                <w:color w:val="0000FF"/>
                <w:lang w:val="nl-NL"/>
              </w:rPr>
              <w:t>- Lưu: VT, TCT (VT, TNCN).</w:t>
            </w:r>
          </w:p>
        </w:tc>
        <w:tc>
          <w:tcPr>
            <w:tcW w:w="2931" w:type="dxa"/>
            <w:tcBorders/>
          </w:tcPr>
          <w:p>
            <w:pPr>
              <w:pStyle w:val="Normal"/>
              <w:jc w:val="center"/>
              <w:rPr>
                <w:b/>
                <w:b/>
                <w:color w:val="0000FF"/>
                <w:lang w:val="nl-NL"/>
              </w:rPr>
            </w:pPr>
            <w:r>
              <w:rPr>
                <w:b/>
                <w:color w:val="0000FF"/>
                <w:lang w:val="nl-NL"/>
              </w:rPr>
              <w:t>KT. BỘ TRƯỞNG</w:t>
            </w:r>
          </w:p>
          <w:p>
            <w:pPr>
              <w:pStyle w:val="Normal"/>
              <w:jc w:val="center"/>
              <w:rPr>
                <w:color w:val="0000FF"/>
                <w:lang w:val="nl-NL"/>
              </w:rPr>
            </w:pPr>
            <w:r>
              <w:rPr>
                <w:b/>
                <w:color w:val="0000FF"/>
                <w:lang w:val="nl-NL"/>
              </w:rPr>
              <w:t>THỨ TRƯỞNG</w:t>
            </w:r>
          </w:p>
          <w:p>
            <w:pPr>
              <w:pStyle w:val="TextBodyIndent"/>
              <w:jc w:val="center"/>
              <w:rPr>
                <w:color w:val="0000FF"/>
                <w:lang w:val="nl-NL"/>
              </w:rPr>
            </w:pPr>
            <w:r>
              <w:rPr>
                <w:color w:val="0000FF"/>
                <w:lang w:val="nl-NL"/>
              </w:rPr>
            </w:r>
          </w:p>
          <w:p>
            <w:pPr>
              <w:pStyle w:val="TextBodyIndent"/>
              <w:jc w:val="center"/>
              <w:rPr>
                <w:color w:val="0000FF"/>
                <w:lang w:val="nl-NL"/>
              </w:rPr>
            </w:pPr>
            <w:r>
              <w:rPr>
                <w:color w:val="0000FF"/>
                <w:lang w:val="nl-NL"/>
              </w:rPr>
              <w:t>(đã ký)</w:t>
            </w:r>
          </w:p>
          <w:p>
            <w:pPr>
              <w:pStyle w:val="TextBodyIndent"/>
              <w:jc w:val="center"/>
              <w:rPr>
                <w:color w:val="0000FF"/>
                <w:lang w:val="nl-NL"/>
              </w:rPr>
            </w:pPr>
            <w:r>
              <w:rPr>
                <w:color w:val="0000FF"/>
                <w:lang w:val="nl-NL"/>
              </w:rPr>
            </w:r>
          </w:p>
          <w:p>
            <w:pPr>
              <w:pStyle w:val="Normal"/>
              <w:widowControl w:val="false"/>
              <w:tabs>
                <w:tab w:val="clear" w:pos="720"/>
                <w:tab w:val="left" w:pos="0" w:leader="none"/>
              </w:tabs>
              <w:autoSpaceDE w:val="false"/>
              <w:spacing w:before="120" w:after="120"/>
              <w:rPr>
                <w:color w:val="0000FF"/>
                <w:lang w:val="nl-NL"/>
              </w:rPr>
            </w:pPr>
            <w:r>
              <w:rPr>
                <w:color w:val="0000FF"/>
                <w:lang w:val="nl-NL"/>
              </w:rPr>
            </w:r>
          </w:p>
          <w:p>
            <w:pPr>
              <w:pStyle w:val="Normal"/>
              <w:widowControl w:val="false"/>
              <w:tabs>
                <w:tab w:val="clear" w:pos="720"/>
                <w:tab w:val="left" w:pos="0" w:leader="none"/>
              </w:tabs>
              <w:autoSpaceDE w:val="false"/>
              <w:spacing w:before="120" w:after="120"/>
              <w:rPr>
                <w:color w:val="0000FF"/>
                <w:lang w:val="nl-NL"/>
              </w:rPr>
            </w:pPr>
            <w:r>
              <w:rPr>
                <w:color w:val="0000FF"/>
                <w:lang w:val="nl-NL"/>
              </w:rPr>
            </w:r>
          </w:p>
          <w:p>
            <w:pPr>
              <w:pStyle w:val="Normal"/>
              <w:widowControl w:val="false"/>
              <w:tabs>
                <w:tab w:val="clear" w:pos="720"/>
                <w:tab w:val="left" w:pos="0" w:leader="none"/>
              </w:tabs>
              <w:autoSpaceDE w:val="false"/>
              <w:spacing w:before="120" w:after="120"/>
              <w:jc w:val="center"/>
              <w:rPr>
                <w:color w:val="0000FF"/>
                <w:lang w:val="nl-NL"/>
              </w:rPr>
            </w:pPr>
            <w:r>
              <w:rPr>
                <w:b/>
                <w:color w:val="0000FF"/>
                <w:lang w:val="nl-NL"/>
              </w:rPr>
              <w:t>Đỗ Hoàng Anh Tuấn</w:t>
            </w:r>
          </w:p>
        </w:tc>
      </w:tr>
    </w:tbl>
    <w:p>
      <w:pPr>
        <w:pStyle w:val="Normal"/>
        <w:rPr/>
      </w:pPr>
      <w:r>
        <w:rPr/>
      </w:r>
    </w:p>
    <w:p>
      <w:pPr>
        <w:pStyle w:val="Normal"/>
        <w:rPr/>
      </w:pPr>
      <w:r>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z w:val="28"/>
      <w:szCs w:val="28"/>
    </w:rPr>
  </w:style>
  <w:style w:type="paragraph" w:styleId="TextBodyIndent">
    <w:name w:val="Body Text Indent"/>
    <w:basedOn w:val="Normal"/>
    <w:pPr>
      <w:spacing w:before="280" w:after="2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2011-06-20T06:46:00Z</dcterms:created>
  <dc:creator>mof</dc:creator>
  <dc:description/>
  <cp:keywords/>
  <dc:language>en-US</dc:language>
  <cp:lastModifiedBy>mof</cp:lastModifiedBy>
  <dcterms:modified xsi:type="dcterms:W3CDTF">2011-06-20T06:46:00Z</dcterms:modified>
  <cp:revision>1</cp:revision>
  <dc:subject/>
  <dc:title>BỘ TÀI CHÍNH</dc:title>
</cp:coreProperties>
</file>