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94" w:type="dxa"/>
        <w:jc w:val="center"/>
        <w:tblInd w:w="0" w:type="dxa"/>
        <w:tblLayout w:type="fixed"/>
        <w:tblCellMar>
          <w:top w:w="0" w:type="dxa"/>
          <w:left w:w="108" w:type="dxa"/>
          <w:bottom w:w="0" w:type="dxa"/>
          <w:right w:w="108" w:type="dxa"/>
        </w:tblCellMar>
      </w:tblPr>
      <w:tblGrid>
        <w:gridCol w:w="3348"/>
        <w:gridCol w:w="5646"/>
      </w:tblGrid>
      <w:tr>
        <w:trPr>
          <w:trHeight w:val="920" w:hRule="atLeast"/>
        </w:trPr>
        <w:tc>
          <w:tcPr>
            <w:tcW w:w="3348" w:type="dxa"/>
            <w:tcBorders/>
          </w:tcPr>
          <w:p>
            <w:pPr>
              <w:pStyle w:val="Normal"/>
              <w:widowControl/>
              <w:snapToGrid w:val="false"/>
              <w:jc w:val="center"/>
              <w:rPr>
                <w:rFonts w:ascii="Arial" w:hAnsi="Arial" w:cs="Arial"/>
                <w:color w:val="000000"/>
                <w:sz w:val="20"/>
                <w:szCs w:val="20"/>
                <w:highlight w:val="white"/>
                <w:lang w:val="en-US" w:eastAsia="zh-CN"/>
              </w:rPr>
            </w:pPr>
            <w:r>
              <w:rPr>
                <w:rFonts w:cs="Arial" w:ascii="Arial" w:hAnsi="Arial"/>
                <w:b/>
                <w:bCs/>
                <w:color w:val="000000"/>
                <w:sz w:val="20"/>
                <w:szCs w:val="20"/>
                <w:highlight w:val="white"/>
                <w:lang w:val="en-US" w:eastAsia="zh-CN"/>
              </w:rPr>
              <w:t>BỘ Y TẾ</w:t>
              <w:br/>
            </w:r>
            <w:r>
              <w:rPr>
                <w:rFonts w:cs="Arial" w:ascii="Arial" w:hAnsi="Arial"/>
                <w:bCs/>
                <w:color w:val="000000"/>
                <w:sz w:val="20"/>
                <w:szCs w:val="20"/>
                <w:highlight w:val="white"/>
                <w:vertAlign w:val="superscript"/>
                <w:lang w:val="en-US" w:eastAsia="zh-CN"/>
              </w:rPr>
              <w:t>______</w:t>
            </w:r>
          </w:p>
          <w:p>
            <w:pPr>
              <w:pStyle w:val="Normal"/>
              <w:widowControl/>
              <w:snapToGrid w:val="false"/>
              <w:jc w:val="center"/>
              <w:rPr>
                <w:rFonts w:ascii="Arial" w:hAnsi="Arial" w:cs="Arial"/>
                <w:color w:val="000000"/>
                <w:sz w:val="20"/>
                <w:szCs w:val="20"/>
                <w:highlight w:val="white"/>
                <w:lang w:val="en-US" w:eastAsia="zh-CN"/>
              </w:rPr>
            </w:pPr>
            <w:r>
              <w:rPr>
                <w:rFonts w:cs="Arial" w:ascii="Arial" w:hAnsi="Arial"/>
                <w:color w:val="000000"/>
                <w:sz w:val="20"/>
                <w:szCs w:val="20"/>
                <w:highlight w:val="white"/>
                <w:lang w:val="en-US" w:eastAsia="zh-CN"/>
              </w:rPr>
              <w:t>Số: 22/2021/TT-BYT</w:t>
            </w:r>
          </w:p>
        </w:tc>
        <w:tc>
          <w:tcPr>
            <w:tcW w:w="5646" w:type="dxa"/>
            <w:tcBorders/>
          </w:tcPr>
          <w:p>
            <w:pPr>
              <w:pStyle w:val="Normal"/>
              <w:widowControl/>
              <w:snapToGrid w:val="false"/>
              <w:jc w:val="center"/>
              <w:rPr>
                <w:rFonts w:ascii="Arial" w:hAnsi="Arial" w:cs="Arial"/>
                <w:color w:val="000000"/>
                <w:sz w:val="20"/>
                <w:szCs w:val="20"/>
                <w:highlight w:val="white"/>
                <w:lang w:val="en-US" w:eastAsia="zh-CN"/>
              </w:rPr>
            </w:pPr>
            <w:r>
              <w:rPr>
                <w:rFonts w:cs="Arial" w:ascii="Arial" w:hAnsi="Arial"/>
                <w:b/>
                <w:bCs/>
                <w:color w:val="000000"/>
                <w:sz w:val="20"/>
                <w:szCs w:val="20"/>
                <w:highlight w:val="white"/>
                <w:lang w:val="en-US" w:eastAsia="zh-CN"/>
              </w:rPr>
              <w:t>CỘNG HÒA XÃ HỘI CHỦ NGHĨA VIỆT NAM</w:t>
              <w:br/>
              <w:t xml:space="preserve">Độc lập - Tự do - Hạnh phúc </w:t>
              <w:br/>
            </w:r>
            <w:r>
              <w:rPr>
                <w:rFonts w:cs="Arial" w:ascii="Arial" w:hAnsi="Arial"/>
                <w:bCs/>
                <w:color w:val="000000"/>
                <w:sz w:val="20"/>
                <w:szCs w:val="20"/>
                <w:highlight w:val="white"/>
                <w:vertAlign w:val="superscript"/>
                <w:lang w:val="en-US" w:eastAsia="zh-CN"/>
              </w:rPr>
              <w:t>_______________________</w:t>
            </w:r>
          </w:p>
          <w:p>
            <w:pPr>
              <w:pStyle w:val="Normal"/>
              <w:widowControl/>
              <w:snapToGrid w:val="false"/>
              <w:jc w:val="center"/>
              <w:rPr>
                <w:rFonts w:ascii="Arial" w:hAnsi="Arial" w:cs="Arial"/>
                <w:color w:val="000000"/>
                <w:sz w:val="20"/>
                <w:szCs w:val="20"/>
                <w:highlight w:val="white"/>
                <w:lang w:val="en-US" w:eastAsia="zh-CN"/>
              </w:rPr>
            </w:pPr>
            <w:r>
              <w:rPr>
                <w:rFonts w:cs="Arial" w:ascii="Arial" w:hAnsi="Arial"/>
                <w:i/>
                <w:iCs/>
                <w:color w:val="000000"/>
                <w:sz w:val="20"/>
                <w:szCs w:val="20"/>
                <w:highlight w:val="white"/>
                <w:lang w:val="en-US" w:eastAsia="zh-CN"/>
              </w:rPr>
              <w:t>Hà Nội, ngày 01 tháng 12 năm 2021</w:t>
            </w:r>
          </w:p>
        </w:tc>
      </w:tr>
    </w:tbl>
    <w:p>
      <w:pPr>
        <w:pStyle w:val="Vnbnnidung1"/>
        <w:tabs>
          <w:tab w:val="clear" w:pos="720"/>
          <w:tab w:val="left" w:pos="3812" w:leader="none"/>
        </w:tabs>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tabs>
          <w:tab w:val="clear" w:pos="720"/>
          <w:tab w:val="left" w:pos="3812" w:leader="none"/>
        </w:tabs>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tabs>
          <w:tab w:val="clear" w:pos="720"/>
          <w:tab w:val="left" w:pos="3812" w:leader="none"/>
        </w:tabs>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THÔNG TƯ</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 xml:space="preserve">Quy định ngưng hiệu lực Thông tư số </w:t>
      </w:r>
      <w:r>
        <w:rPr>
          <w:rStyle w:val="Vnbnnidung"/>
          <w:rFonts w:cs="Arial" w:ascii="Arial" w:hAnsi="Arial"/>
          <w:b/>
          <w:bCs/>
          <w:sz w:val="20"/>
          <w:szCs w:val="20"/>
          <w:lang w:val="en-US" w:eastAsia="en-US"/>
        </w:rPr>
        <w:t xml:space="preserve">04/2021/TT-BYT </w:t>
      </w:r>
      <w:r>
        <w:rPr>
          <w:rStyle w:val="Vnbnnidung"/>
          <w:rFonts w:cs="Arial" w:ascii="Arial" w:hAnsi="Arial"/>
          <w:b/>
          <w:bCs/>
          <w:sz w:val="20"/>
          <w:szCs w:val="20"/>
          <w:lang w:eastAsia="vi-VN"/>
        </w:rPr>
        <w:t>ngày 29 tháng 4 năm 2021 của Bộ trưởng Bộ Y tế hướng dẫn thanh toán</w:t>
      </w:r>
      <w:r>
        <w:rPr>
          <w:rStyle w:val="Vnbnnidung"/>
          <w:rFonts w:cs="Arial" w:ascii="Arial" w:hAnsi="Arial"/>
          <w:b/>
          <w:bCs/>
          <w:sz w:val="20"/>
          <w:szCs w:val="20"/>
          <w:lang w:val="en-US" w:eastAsia="vi-VN"/>
        </w:rPr>
        <w:t xml:space="preserve"> </w:t>
      </w:r>
      <w:r>
        <w:rPr>
          <w:rStyle w:val="Vnbnnidung"/>
          <w:rFonts w:cs="Arial" w:ascii="Arial" w:hAnsi="Arial"/>
          <w:b/>
          <w:bCs/>
          <w:sz w:val="20"/>
          <w:szCs w:val="20"/>
          <w:lang w:eastAsia="vi-VN"/>
        </w:rPr>
        <w:t>chi phí khám bệnh, chữa bệnh bảo hiểm y tế theo định suất</w:t>
      </w:r>
    </w:p>
    <w:p>
      <w:pPr>
        <w:pStyle w:val="Vnbnnidung1"/>
        <w:snapToGrid w:val="false"/>
        <w:spacing w:lineRule="auto" w:line="240" w:before="0" w:after="0"/>
        <w:ind w:hanging="0"/>
        <w:jc w:val="center"/>
        <w:rPr>
          <w:rFonts w:ascii="Arial" w:hAnsi="Arial" w:cs="Arial"/>
          <w:sz w:val="20"/>
          <w:szCs w:val="20"/>
          <w:vertAlign w:val="superscript"/>
          <w:lang w:val="en-US"/>
        </w:rPr>
      </w:pPr>
      <w:r>
        <w:rPr>
          <w:rStyle w:val="Vnbnnidung"/>
          <w:rFonts w:cs="Arial" w:ascii="Arial" w:hAnsi="Arial"/>
          <w:bCs/>
          <w:sz w:val="20"/>
          <w:szCs w:val="20"/>
          <w:vertAlign w:val="superscript"/>
          <w:lang w:val="en-US" w:eastAsia="vi-VN"/>
        </w:rPr>
        <w:t>___________</w:t>
      </w:r>
    </w:p>
    <w:p>
      <w:pPr>
        <w:pStyle w:val="Tiu11"/>
        <w:keepNext w:val="true"/>
        <w:keepLines/>
        <w:snapToGrid w:val="false"/>
        <w:spacing w:lineRule="auto" w:line="240" w:before="0" w:after="0"/>
        <w:ind w:hanging="0"/>
        <w:jc w:val="center"/>
        <w:outlineLvl w:val="9"/>
        <w:rPr/>
      </w:pPr>
      <w:bookmarkStart w:id="0" w:name="bookmark5"/>
      <w:bookmarkStart w:id="1" w:name="bookmark4"/>
      <w:bookmarkStart w:id="2" w:name="bookmark3"/>
      <w:r>
        <w:rPr>
          <w:rStyle w:val="Tiu1"/>
          <w:rFonts w:cs="Arial" w:ascii="Arial" w:hAnsi="Arial"/>
          <w:b w:val="false"/>
          <w:bCs w:val="false"/>
          <w:sz w:val="20"/>
          <w:szCs w:val="20"/>
          <w:lang w:eastAsia="vi-VN"/>
        </w:rPr>
        <w:t>BỘ TRƯỞNG BỘ Y TẾ</w:t>
      </w:r>
      <w:bookmarkEnd w:id="0"/>
      <w:bookmarkEnd w:id="1"/>
      <w:bookmarkEnd w:id="2"/>
    </w:p>
    <w:p>
      <w:pPr>
        <w:pStyle w:val="Tiu11"/>
        <w:keepNext w:val="true"/>
        <w:keepLines/>
        <w:snapToGrid w:val="false"/>
        <w:spacing w:lineRule="auto" w:line="240" w:before="0" w:after="0"/>
        <w:ind w:hanging="0"/>
        <w:jc w:val="center"/>
        <w:outlineLvl w:val="9"/>
        <w:rPr>
          <w:rStyle w:val="Tiu1"/>
          <w:rFonts w:ascii="Arial" w:hAnsi="Arial" w:cs="Arial"/>
          <w:b w:val="false"/>
          <w:b w:val="false"/>
          <w:bCs w:val="false"/>
          <w:sz w:val="20"/>
          <w:szCs w:val="20"/>
          <w:lang w:eastAsia="vi-VN"/>
        </w:rPr>
      </w:pPr>
      <w:r>
        <w:rPr/>
      </w:r>
    </w:p>
    <w:p>
      <w:pPr>
        <w:pStyle w:val="Vnbnnidung1"/>
        <w:tabs>
          <w:tab w:val="clear" w:pos="720"/>
          <w:tab w:val="left" w:pos="2449" w:leader="none"/>
          <w:tab w:val="left" w:pos="4572" w:leader="none"/>
          <w:tab w:val="left" w:pos="5022" w:leader="none"/>
          <w:tab w:val="left" w:pos="6836" w:leader="none"/>
        </w:tabs>
        <w:snapToGrid w:val="false"/>
        <w:spacing w:lineRule="auto" w:line="240"/>
        <w:ind w:firstLine="720"/>
        <w:jc w:val="both"/>
        <w:rPr>
          <w:rFonts w:ascii="Arial" w:hAnsi="Arial" w:cs="Arial"/>
          <w:sz w:val="20"/>
          <w:szCs w:val="20"/>
        </w:rPr>
      </w:pPr>
      <w:r>
        <w:rPr>
          <w:rStyle w:val="Vnbnnidung"/>
          <w:rFonts w:cs="Arial" w:ascii="Arial" w:hAnsi="Arial"/>
          <w:i/>
          <w:iCs/>
          <w:sz w:val="20"/>
          <w:szCs w:val="20"/>
          <w:lang w:eastAsia="vi-VN"/>
        </w:rPr>
        <w:t xml:space="preserve">Căn cứ Luật Ban hành văn bản quy phạm pháp luật ngày 22 tháng </w:t>
      </w:r>
      <w:r>
        <w:rPr>
          <w:rStyle w:val="Vnbnnidung"/>
          <w:rFonts w:cs="Arial" w:ascii="Arial" w:hAnsi="Arial"/>
          <w:i/>
          <w:iCs/>
          <w:sz w:val="20"/>
          <w:szCs w:val="20"/>
          <w:lang w:val="en-US" w:eastAsia="vi-VN"/>
        </w:rPr>
        <w:t xml:space="preserve">6 </w:t>
      </w:r>
      <w:r>
        <w:rPr>
          <w:rStyle w:val="Vnbnnidung"/>
          <w:rFonts w:cs="Arial" w:ascii="Arial" w:hAnsi="Arial"/>
          <w:i/>
          <w:iCs/>
          <w:sz w:val="20"/>
          <w:szCs w:val="20"/>
          <w:lang w:eastAsia="vi-VN"/>
        </w:rPr>
        <w:t>năm 2015 và Luật sửa đổi, bổ sung một số điều của Luật Ban hành văn bản</w:t>
      </w:r>
      <w:r>
        <w:rPr>
          <w:rStyle w:val="Vnbnnidung"/>
          <w:rFonts w:cs="Arial" w:ascii="Arial" w:hAnsi="Arial"/>
          <w:i/>
          <w:iCs/>
          <w:sz w:val="20"/>
          <w:szCs w:val="20"/>
          <w:lang w:val="en-US" w:eastAsia="vi-VN"/>
        </w:rPr>
        <w:t xml:space="preserve"> </w:t>
      </w:r>
      <w:r>
        <w:rPr>
          <w:rStyle w:val="Vnbnnidung"/>
          <w:rFonts w:cs="Arial" w:ascii="Arial" w:hAnsi="Arial"/>
          <w:i/>
          <w:iCs/>
          <w:sz w:val="20"/>
          <w:szCs w:val="20"/>
          <w:lang w:eastAsia="vi-VN"/>
        </w:rPr>
        <w:t>quy phạm pháp luật ngày 18 tháng 6 năm 2020;</w:t>
      </w:r>
    </w:p>
    <w:p>
      <w:pPr>
        <w:pStyle w:val="Vnbnnidung1"/>
        <w:snapToGrid w:val="false"/>
        <w:spacing w:lineRule="auto" w:line="240"/>
        <w:ind w:firstLine="720"/>
        <w:jc w:val="both"/>
        <w:rPr>
          <w:rFonts w:ascii="Arial" w:hAnsi="Arial" w:cs="Arial"/>
          <w:sz w:val="20"/>
          <w:szCs w:val="20"/>
        </w:rPr>
      </w:pPr>
      <w:r>
        <w:rPr>
          <w:rStyle w:val="Vnbnnidung"/>
          <w:rFonts w:cs="Arial" w:ascii="Arial" w:hAnsi="Arial"/>
          <w:i/>
          <w:iCs/>
          <w:sz w:val="20"/>
          <w:szCs w:val="20"/>
          <w:lang w:eastAsia="vi-VN"/>
        </w:rPr>
        <w:t>Căn cứ Luật Bảo hiểm y tế ngày 14 tháng 11 năm 2008 và Luật sửa đổi, bổ sung một số điều của Luật Bảo hiểm y tế ngày 13 tháng 6 năm 2014;</w:t>
      </w:r>
    </w:p>
    <w:p>
      <w:pPr>
        <w:pStyle w:val="Vnbnnidung1"/>
        <w:snapToGrid w:val="false"/>
        <w:spacing w:lineRule="auto" w:line="240"/>
        <w:ind w:firstLine="720"/>
        <w:jc w:val="both"/>
        <w:rPr>
          <w:rFonts w:ascii="Arial" w:hAnsi="Arial" w:cs="Arial"/>
          <w:sz w:val="20"/>
          <w:szCs w:val="20"/>
        </w:rPr>
      </w:pPr>
      <w:r>
        <w:rPr>
          <w:rStyle w:val="Vnbnnidung"/>
          <w:rFonts w:cs="Arial" w:ascii="Arial" w:hAnsi="Arial"/>
          <w:i/>
          <w:iCs/>
          <w:sz w:val="20"/>
          <w:szCs w:val="20"/>
          <w:lang w:eastAsia="vi-VN"/>
        </w:rPr>
        <w:t>Căn cứ Nghị định số 146/2018/NĐ-CP ngày 17 tháng 10 năm 2018 của Chính phủ quy định chi tiết và hướng dẫn biện pháp thi hành một số điều của Luật Bảo hiểm y tế;</w:t>
      </w:r>
    </w:p>
    <w:p>
      <w:pPr>
        <w:pStyle w:val="Vnbnnidung1"/>
        <w:snapToGrid w:val="false"/>
        <w:spacing w:lineRule="auto" w:line="240"/>
        <w:ind w:firstLine="720"/>
        <w:jc w:val="both"/>
        <w:rPr>
          <w:rFonts w:ascii="Arial" w:hAnsi="Arial" w:cs="Arial"/>
          <w:sz w:val="20"/>
          <w:szCs w:val="20"/>
        </w:rPr>
      </w:pPr>
      <w:r>
        <w:rPr>
          <w:rStyle w:val="Vnbnnidung"/>
          <w:rFonts w:cs="Arial" w:ascii="Arial" w:hAnsi="Arial"/>
          <w:i/>
          <w:iCs/>
          <w:sz w:val="20"/>
          <w:szCs w:val="20"/>
          <w:lang w:eastAsia="vi-VN"/>
        </w:rPr>
        <w:t>Căn cứ Nghị định số 75/2017/NĐ-CP ngày 20/6/2017 của Chính phủ quy định chức năng, nhiệm vụ, quyền hạn và cơ cấu tổ chức của Bộ Y tế;</w:t>
      </w:r>
    </w:p>
    <w:p>
      <w:pPr>
        <w:pStyle w:val="Vnbnnidung1"/>
        <w:snapToGrid w:val="false"/>
        <w:spacing w:lineRule="auto" w:line="240"/>
        <w:ind w:firstLine="720"/>
        <w:jc w:val="both"/>
        <w:rPr>
          <w:rFonts w:ascii="Arial" w:hAnsi="Arial" w:cs="Arial"/>
          <w:sz w:val="20"/>
          <w:szCs w:val="20"/>
        </w:rPr>
      </w:pPr>
      <w:r>
        <w:rPr>
          <w:rStyle w:val="Vnbnnidung"/>
          <w:rFonts w:cs="Arial" w:ascii="Arial" w:hAnsi="Arial"/>
          <w:i/>
          <w:iCs/>
          <w:sz w:val="20"/>
          <w:szCs w:val="20"/>
          <w:lang w:eastAsia="vi-VN"/>
        </w:rPr>
        <w:t>Theo đề nghị của Vụ trưởng Vụ Kế hoạch - Tài chính,</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i/>
          <w:iCs/>
          <w:sz w:val="20"/>
          <w:szCs w:val="20"/>
          <w:lang w:eastAsia="vi-VN"/>
        </w:rPr>
        <w:t>Bộ trưởng Bộ Y tế ban hành Thông tư quy định ngưng hiệu lực Thông tư số 04/2021/TT-BYT ngày 29 tháng 4 năm 2021 của Bộ trưởng Bộ Y tế hướng dẫn thanh toán chi phí khám bệnh, chữa bệnh bảo hiểm y tế theo định suất.</w:t>
      </w:r>
    </w:p>
    <w:p>
      <w:pPr>
        <w:pStyle w:val="Tiu11"/>
        <w:keepNext w:val="true"/>
        <w:keepLines/>
        <w:snapToGrid w:val="false"/>
        <w:spacing w:lineRule="auto" w:line="240" w:before="0" w:after="0"/>
        <w:ind w:firstLine="720"/>
        <w:jc w:val="both"/>
        <w:outlineLvl w:val="9"/>
        <w:rPr>
          <w:rStyle w:val="Tiu1"/>
          <w:rFonts w:ascii="Arial" w:hAnsi="Arial" w:cs="Arial"/>
          <w:b w:val="false"/>
          <w:b w:val="false"/>
          <w:bCs w:val="false"/>
          <w:sz w:val="20"/>
          <w:szCs w:val="20"/>
          <w:lang w:eastAsia="vi-VN"/>
        </w:rPr>
      </w:pPr>
      <w:r>
        <w:rPr>
          <w:rFonts w:cs="Arial" w:ascii="Arial" w:hAnsi="Arial"/>
          <w:sz w:val="20"/>
          <w:szCs w:val="20"/>
        </w:rPr>
      </w:r>
      <w:bookmarkStart w:id="3" w:name="bookmark8"/>
      <w:bookmarkStart w:id="4" w:name="bookmark7"/>
      <w:bookmarkStart w:id="5" w:name="bookmark6"/>
      <w:bookmarkStart w:id="6" w:name="bookmark8"/>
      <w:bookmarkStart w:id="7" w:name="bookmark7"/>
      <w:bookmarkStart w:id="8" w:name="bookmark6"/>
    </w:p>
    <w:p>
      <w:pPr>
        <w:pStyle w:val="Tiu11"/>
        <w:keepNext w:val="true"/>
        <w:keepLines/>
        <w:snapToGrid w:val="false"/>
        <w:spacing w:lineRule="auto" w:line="240"/>
        <w:ind w:firstLine="720"/>
        <w:jc w:val="both"/>
        <w:outlineLvl w:val="9"/>
        <w:rPr>
          <w:rFonts w:ascii="Arial" w:hAnsi="Arial" w:cs="Arial"/>
          <w:sz w:val="20"/>
          <w:szCs w:val="20"/>
        </w:rPr>
      </w:pPr>
      <w:bookmarkStart w:id="9" w:name="bookmark8"/>
      <w:bookmarkStart w:id="10" w:name="bookmark7"/>
      <w:bookmarkStart w:id="11" w:name="bookmark6"/>
      <w:r>
        <w:rPr>
          <w:rStyle w:val="Tiu1"/>
          <w:rFonts w:cs="Arial" w:ascii="Arial" w:hAnsi="Arial"/>
          <w:b w:val="false"/>
          <w:bCs w:val="false"/>
          <w:sz w:val="20"/>
          <w:szCs w:val="20"/>
          <w:lang w:eastAsia="vi-VN"/>
        </w:rPr>
        <w:t>Điều 1. Ngưng hiệu lực thực hiện thanh toán chi phí khám bệnh, chữa bệnh bảo hiểm y tế theo định suất</w:t>
      </w:r>
      <w:bookmarkEnd w:id="9"/>
      <w:bookmarkEnd w:id="10"/>
      <w:bookmarkEnd w:id="11"/>
    </w:p>
    <w:p>
      <w:pPr>
        <w:pStyle w:val="Vnbnnidung1"/>
        <w:tabs>
          <w:tab w:val="clear" w:pos="720"/>
          <w:tab w:val="left" w:pos="1093" w:leader="none"/>
        </w:tabs>
        <w:snapToGrid w:val="false"/>
        <w:spacing w:lineRule="auto" w:line="240"/>
        <w:ind w:firstLine="720"/>
        <w:jc w:val="both"/>
        <w:rPr>
          <w:rFonts w:ascii="Arial" w:hAnsi="Arial" w:cs="Arial"/>
          <w:sz w:val="20"/>
          <w:szCs w:val="20"/>
        </w:rPr>
      </w:pPr>
      <w:bookmarkStart w:id="12" w:name="bookmark9"/>
      <w:r>
        <w:rPr>
          <w:rStyle w:val="Vnbnnidung"/>
          <w:rFonts w:cs="Arial" w:ascii="Arial" w:hAnsi="Arial"/>
          <w:sz w:val="20"/>
          <w:szCs w:val="20"/>
          <w:lang w:eastAsia="vi-VN"/>
        </w:rPr>
        <w:t>1</w:t>
      </w:r>
      <w:bookmarkEnd w:id="12"/>
      <w:r>
        <w:rPr>
          <w:rStyle w:val="Vnbnnidung"/>
          <w:rFonts w:cs="Arial" w:ascii="Arial" w:hAnsi="Arial"/>
          <w:sz w:val="20"/>
          <w:szCs w:val="20"/>
          <w:lang w:eastAsia="vi-VN"/>
        </w:rPr>
        <w:t>. Ngưng hiệu lực toàn bộ đối với Thông tư số 04/2021/TT-BYT ngày 29 tháng 4 năm 2021 của Bộ trưởng Bộ Y tế hướng dẫn thanh toán chi phí khám bệnh, chữa bệnh bảo hiểm y tế theo định suất trên phạm vi toàn quốc.</w:t>
      </w:r>
    </w:p>
    <w:p>
      <w:pPr>
        <w:pStyle w:val="Vnbnnidung1"/>
        <w:tabs>
          <w:tab w:val="clear" w:pos="720"/>
          <w:tab w:val="left" w:pos="1088" w:leader="none"/>
        </w:tabs>
        <w:snapToGrid w:val="false"/>
        <w:spacing w:lineRule="auto" w:line="240"/>
        <w:ind w:firstLine="720"/>
        <w:jc w:val="both"/>
        <w:rPr>
          <w:rFonts w:ascii="Arial" w:hAnsi="Arial" w:cs="Arial"/>
          <w:sz w:val="20"/>
          <w:szCs w:val="20"/>
        </w:rPr>
      </w:pPr>
      <w:bookmarkStart w:id="13" w:name="bookmark10"/>
      <w:r>
        <w:rPr>
          <w:rStyle w:val="Vnbnnidung"/>
          <w:rFonts w:cs="Arial" w:ascii="Arial" w:hAnsi="Arial"/>
          <w:sz w:val="20"/>
          <w:szCs w:val="20"/>
          <w:lang w:eastAsia="vi-VN"/>
        </w:rPr>
        <w:t>2</w:t>
      </w:r>
      <w:bookmarkEnd w:id="13"/>
      <w:r>
        <w:rPr>
          <w:rStyle w:val="Vnbnnidung"/>
          <w:rFonts w:cs="Arial" w:ascii="Arial" w:hAnsi="Arial"/>
          <w:sz w:val="20"/>
          <w:szCs w:val="20"/>
          <w:lang w:eastAsia="vi-VN"/>
        </w:rPr>
        <w:t>. Chi phí khám bệnh, chữa bệnh bảo hiểm y tế ngoại trú trong phạm vi định suất từ ngày 01 tháng 01 năm 2021 được thanh toán theo giá dịch vụ khám bệnh, chữa bệnh quy định tại Nghị định số 146/2018/NĐ-CP ngày 17 tháng 10 năm 2018 của Chính phủ quy định chi tiết và hướng dẫn biện pháp thi hành một số điều của Luật Bảo hiểm y tế.</w:t>
      </w:r>
    </w:p>
    <w:p>
      <w:pPr>
        <w:pStyle w:val="Tiu11"/>
        <w:keepNext w:val="true"/>
        <w:keepLines/>
        <w:snapToGrid w:val="false"/>
        <w:spacing w:lineRule="auto" w:line="240"/>
        <w:ind w:firstLine="720"/>
        <w:jc w:val="both"/>
        <w:outlineLvl w:val="9"/>
        <w:rPr>
          <w:rFonts w:ascii="Arial" w:hAnsi="Arial" w:cs="Arial"/>
          <w:sz w:val="20"/>
          <w:szCs w:val="20"/>
        </w:rPr>
      </w:pPr>
      <w:bookmarkStart w:id="14" w:name="bookmark13"/>
      <w:bookmarkStart w:id="15" w:name="bookmark12"/>
      <w:bookmarkStart w:id="16" w:name="bookmark11"/>
      <w:r>
        <w:rPr>
          <w:rStyle w:val="Tiu1"/>
          <w:rFonts w:cs="Arial" w:ascii="Arial" w:hAnsi="Arial"/>
          <w:b w:val="false"/>
          <w:bCs w:val="false"/>
          <w:sz w:val="20"/>
          <w:szCs w:val="20"/>
          <w:lang w:eastAsia="vi-VN"/>
        </w:rPr>
        <w:t>Điều 2. Hiệu lực thi hành</w:t>
      </w:r>
      <w:bookmarkEnd w:id="14"/>
      <w:bookmarkEnd w:id="15"/>
      <w:bookmarkEnd w:id="16"/>
    </w:p>
    <w:p>
      <w:pPr>
        <w:pStyle w:val="Vnbnnidung1"/>
        <w:tabs>
          <w:tab w:val="clear" w:pos="720"/>
          <w:tab w:val="left" w:pos="1074" w:leader="none"/>
        </w:tabs>
        <w:snapToGrid w:val="false"/>
        <w:spacing w:lineRule="auto" w:line="240"/>
        <w:ind w:firstLine="720"/>
        <w:jc w:val="both"/>
        <w:rPr>
          <w:rFonts w:ascii="Arial" w:hAnsi="Arial" w:cs="Arial"/>
          <w:sz w:val="20"/>
          <w:szCs w:val="20"/>
        </w:rPr>
      </w:pPr>
      <w:bookmarkStart w:id="17" w:name="bookmark14"/>
      <w:r>
        <w:rPr>
          <w:rStyle w:val="Vnbnnidung"/>
          <w:rFonts w:cs="Arial" w:ascii="Arial" w:hAnsi="Arial"/>
          <w:sz w:val="20"/>
          <w:szCs w:val="20"/>
          <w:lang w:eastAsia="vi-VN"/>
        </w:rPr>
        <w:t>1</w:t>
      </w:r>
      <w:bookmarkEnd w:id="17"/>
      <w:r>
        <w:rPr>
          <w:rStyle w:val="Vnbnnidung"/>
          <w:rFonts w:cs="Arial" w:ascii="Arial" w:hAnsi="Arial"/>
          <w:sz w:val="20"/>
          <w:szCs w:val="20"/>
          <w:lang w:eastAsia="vi-VN"/>
        </w:rPr>
        <w:t>. Thông tư này có hiệu lực thi hành kể từ ngày ký.</w:t>
      </w:r>
    </w:p>
    <w:p>
      <w:pPr>
        <w:pStyle w:val="Vnbnnidung1"/>
        <w:tabs>
          <w:tab w:val="clear" w:pos="720"/>
          <w:tab w:val="left" w:pos="1083" w:leader="none"/>
        </w:tabs>
        <w:snapToGrid w:val="false"/>
        <w:spacing w:lineRule="auto" w:line="240"/>
        <w:ind w:firstLine="720"/>
        <w:jc w:val="both"/>
        <w:rPr>
          <w:rFonts w:ascii="Arial" w:hAnsi="Arial" w:cs="Arial"/>
          <w:sz w:val="20"/>
          <w:szCs w:val="20"/>
        </w:rPr>
      </w:pPr>
      <w:bookmarkStart w:id="18" w:name="bookmark15"/>
      <w:r>
        <w:rPr>
          <w:rStyle w:val="Vnbnnidung"/>
          <w:rFonts w:cs="Arial" w:ascii="Arial" w:hAnsi="Arial"/>
          <w:sz w:val="20"/>
          <w:szCs w:val="20"/>
          <w:lang w:eastAsia="vi-VN"/>
        </w:rPr>
        <w:t>2</w:t>
      </w:r>
      <w:bookmarkEnd w:id="18"/>
      <w:r>
        <w:rPr>
          <w:rStyle w:val="Vnbnnidung"/>
          <w:rFonts w:cs="Arial" w:ascii="Arial" w:hAnsi="Arial"/>
          <w:sz w:val="20"/>
          <w:szCs w:val="20"/>
          <w:lang w:eastAsia="vi-VN"/>
        </w:rPr>
        <w:t>. Thời gian ngưng hiệu lực nội dung quy định tại khoản 1 Điều 1 Thông tư này được thực hiện từ thời điểm Thông tư này có hiệu lực thi hành cho đến thời điểm có hiệu lực thi hành của văn bản quy phạm pháp luật mới quy định về hướng dẫn thanh toán chi phí khám bệnh, chữa bệnh bảo hiểm y tế theo định suất.</w:t>
      </w:r>
    </w:p>
    <w:p>
      <w:pPr>
        <w:pStyle w:val="Vnbnnidung1"/>
        <w:snapToGrid w:val="false"/>
        <w:spacing w:lineRule="auto" w:line="240"/>
        <w:ind w:firstLine="720"/>
        <w:jc w:val="both"/>
        <w:rPr>
          <w:rFonts w:ascii="Arial" w:hAnsi="Arial" w:cs="Arial"/>
          <w:sz w:val="20"/>
          <w:szCs w:val="20"/>
        </w:rPr>
      </w:pPr>
      <w:r>
        <w:rPr>
          <w:rStyle w:val="Vnbnnidung"/>
          <w:rFonts w:cs="Arial" w:ascii="Arial" w:hAnsi="Arial"/>
          <w:b/>
          <w:bCs/>
          <w:sz w:val="20"/>
          <w:szCs w:val="20"/>
          <w:lang w:eastAsia="vi-VN"/>
        </w:rPr>
        <w:t>Điều 3. Trách nhiệm thi hành</w:t>
      </w:r>
    </w:p>
    <w:p>
      <w:pPr>
        <w:pStyle w:val="Vnbnnidung1"/>
        <w:snapToGrid w:val="false"/>
        <w:spacing w:lineRule="auto" w:line="240" w:before="0" w:after="0"/>
        <w:ind w:firstLine="720"/>
        <w:jc w:val="both"/>
        <w:rPr>
          <w:rStyle w:val="Vnbnnidung"/>
          <w:rFonts w:ascii="Arial" w:hAnsi="Arial" w:cs="Arial"/>
          <w:sz w:val="20"/>
          <w:szCs w:val="20"/>
          <w:lang w:val="en-US" w:eastAsia="vi-VN"/>
        </w:rPr>
      </w:pPr>
      <w:r>
        <w:rPr>
          <w:rStyle w:val="Vnbnnidung"/>
          <w:rFonts w:cs="Arial" w:ascii="Arial" w:hAnsi="Arial"/>
          <w:sz w:val="20"/>
          <w:szCs w:val="20"/>
          <w:lang w:eastAsia="vi-VN"/>
        </w:rPr>
        <w:t>Vụ trưởng Vụ Kế hoạch - Tài chính, Chánh Văn phòng Bộ, Chánh Thanh tra Bộ, Vụ trưởng, Cục trưởng, Tổng Cục trưởng các Vụ, Cục, Tổng cục thuộc</w:t>
      </w:r>
      <w:r>
        <w:rPr>
          <w:rStyle w:val="Vnbnnidung"/>
          <w:rFonts w:cs="Arial" w:ascii="Arial" w:hAnsi="Arial"/>
          <w:sz w:val="20"/>
          <w:szCs w:val="20"/>
          <w:lang w:val="en-US" w:eastAsia="vi-VN"/>
        </w:rPr>
        <w:t xml:space="preserve"> Bộ Y tế và Thủ trưởng các đơn vị, các cơ quan, tổ chức, cá nhân có liên quan chịu trách nhiệm thi hành Thông tư này./.</w:t>
      </w:r>
    </w:p>
    <w:p>
      <w:pPr>
        <w:pStyle w:val="Vnbnnidung1"/>
        <w:snapToGrid w:val="false"/>
        <w:spacing w:lineRule="auto" w:line="240" w:before="0" w:after="0"/>
        <w:ind w:firstLine="720"/>
        <w:jc w:val="both"/>
        <w:rPr>
          <w:rStyle w:val="Vnbnnidung"/>
          <w:rFonts w:ascii="Arial" w:hAnsi="Arial" w:cs="Arial"/>
          <w:sz w:val="20"/>
          <w:szCs w:val="20"/>
          <w:lang w:val="en-US" w:eastAsia="vi-VN"/>
        </w:rPr>
      </w:pPr>
      <w:r>
        <w:rPr/>
      </w:r>
    </w:p>
    <w:tbl>
      <w:tblPr>
        <w:tblW w:w="8994" w:type="dxa"/>
        <w:jc w:val="center"/>
        <w:tblInd w:w="0" w:type="dxa"/>
        <w:tblLayout w:type="fixed"/>
        <w:tblCellMar>
          <w:top w:w="0" w:type="dxa"/>
          <w:left w:w="108" w:type="dxa"/>
          <w:bottom w:w="0" w:type="dxa"/>
          <w:right w:w="108" w:type="dxa"/>
        </w:tblCellMar>
      </w:tblPr>
      <w:tblGrid>
        <w:gridCol w:w="5203"/>
        <w:gridCol w:w="3791"/>
      </w:tblGrid>
      <w:tr>
        <w:trPr>
          <w:trHeight w:val="920" w:hRule="atLeast"/>
        </w:trPr>
        <w:tc>
          <w:tcPr>
            <w:tcW w:w="5203" w:type="dxa"/>
            <w:tcBorders/>
          </w:tcPr>
          <w:p>
            <w:pPr>
              <w:pStyle w:val="Normal"/>
              <w:widowControl/>
              <w:snapToGrid w:val="false"/>
              <w:rPr>
                <w:rFonts w:ascii="Arial" w:hAnsi="Arial" w:cs="Arial"/>
                <w:b/>
                <w:b/>
                <w:i/>
                <w:i/>
                <w:color w:val="000000"/>
                <w:sz w:val="20"/>
                <w:szCs w:val="20"/>
                <w:lang w:val="en-US" w:eastAsia="zh-CN"/>
              </w:rPr>
            </w:pPr>
            <w:r>
              <w:rPr>
                <w:rFonts w:cs="Arial" w:ascii="Arial" w:hAnsi="Arial"/>
                <w:b/>
                <w:i/>
                <w:color w:val="000000"/>
                <w:sz w:val="20"/>
                <w:szCs w:val="20"/>
                <w:lang w:val="en-US" w:eastAsia="zh-CN"/>
              </w:rPr>
              <w:t>Nơi nhận:</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Ủy ban Xã hội của Quốc hội (để báo cáo);</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PTTgCP. Vũ Đức Đam (để báo cáo);</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BT Nguyễn Thanh Long</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Các Thứ trưởng (để phối hợp chỉ đạo);</w:t>
            </w:r>
          </w:p>
          <w:p>
            <w:pPr>
              <w:pStyle w:val="Normal"/>
              <w:widowControl/>
              <w:snapToGrid w:val="false"/>
              <w:rPr/>
            </w:pPr>
            <w:r>
              <w:rPr>
                <w:rFonts w:cs="Arial" w:ascii="Arial" w:hAnsi="Arial"/>
                <w:color w:val="000000"/>
                <w:sz w:val="20"/>
                <w:szCs w:val="20"/>
                <w:lang w:val="en-US" w:eastAsia="zh-CN"/>
              </w:rPr>
              <w:t>- Văn phòng Chính phủ (Vụ KGVX, Công báo, Cổng TTĐT Chính phủ);</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Bộ Tư pháp (Cục Kiểm tra văn bản QPPL);</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Bộ Tài chính;</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Bảo hiểm xã hội Việt Nam;</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UBND các tỉnh, thành phố trực thuộc TW;</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Các đơn vị thuộc, trực thuộc Bộ Y tế;</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Sở Y tế các tỉnh, thành phố trực thuộc TW;</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Y tế các Bộ, ngành;</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Hiệp hội Bệnh viện tư nhân;</w:t>
            </w:r>
          </w:p>
          <w:p>
            <w:pPr>
              <w:pStyle w:val="Normal"/>
              <w:widowControl/>
              <w:snapToGrid w:val="false"/>
              <w:rPr>
                <w:rFonts w:ascii="Arial" w:hAnsi="Arial" w:cs="Arial"/>
                <w:color w:val="000000"/>
                <w:sz w:val="20"/>
                <w:szCs w:val="20"/>
                <w:lang w:val="en-US" w:eastAsia="zh-CN"/>
              </w:rPr>
            </w:pPr>
            <w:r>
              <w:rPr>
                <w:rFonts w:cs="Arial" w:ascii="Arial" w:hAnsi="Arial"/>
                <w:color w:val="000000"/>
                <w:sz w:val="20"/>
                <w:szCs w:val="20"/>
                <w:lang w:val="en-US" w:eastAsia="zh-CN"/>
              </w:rPr>
              <w:t>- Cổng Thông tin điện tử Bộ Y tế;</w:t>
            </w:r>
          </w:p>
          <w:p>
            <w:pPr>
              <w:pStyle w:val="Normal"/>
              <w:widowControl/>
              <w:snapToGrid w:val="false"/>
              <w:rPr>
                <w:rFonts w:ascii="Arial" w:hAnsi="Arial" w:cs="Arial"/>
                <w:color w:val="000000"/>
                <w:sz w:val="20"/>
                <w:szCs w:val="20"/>
                <w:highlight w:val="white"/>
                <w:lang w:val="en-US" w:eastAsia="zh-CN"/>
              </w:rPr>
            </w:pPr>
            <w:r>
              <w:rPr>
                <w:rFonts w:cs="Arial" w:ascii="Arial" w:hAnsi="Arial"/>
                <w:color w:val="000000"/>
                <w:sz w:val="20"/>
                <w:szCs w:val="20"/>
                <w:lang w:val="en-US" w:eastAsia="zh-CN"/>
              </w:rPr>
              <w:t>- Lưu: VT, PC, KHTC.</w:t>
            </w:r>
          </w:p>
        </w:tc>
        <w:tc>
          <w:tcPr>
            <w:tcW w:w="3791" w:type="dxa"/>
            <w:tcBorders/>
          </w:tcPr>
          <w:p>
            <w:pPr>
              <w:pStyle w:val="Chthchnh1"/>
              <w:snapToGrid w:val="false"/>
              <w:jc w:val="center"/>
              <w:rPr>
                <w:rFonts w:ascii="Arial" w:hAnsi="Arial" w:cs="Arial"/>
                <w:b w:val="false"/>
                <w:b w:val="false"/>
                <w:sz w:val="20"/>
                <w:szCs w:val="20"/>
              </w:rPr>
            </w:pPr>
            <w:r>
              <w:rPr>
                <w:rStyle w:val="Chthchnh"/>
                <w:rFonts w:cs="Arial" w:ascii="Arial" w:hAnsi="Arial"/>
                <w:b w:val="false"/>
                <w:bCs w:val="false"/>
                <w:sz w:val="20"/>
                <w:szCs w:val="20"/>
                <w:lang w:eastAsia="vi-VN"/>
              </w:rPr>
              <w:t>KT. BỘ TRƯỞNG</w:t>
            </w:r>
          </w:p>
          <w:p>
            <w:pPr>
              <w:pStyle w:val="Normal"/>
              <w:widowControl/>
              <w:snapToGrid w:val="false"/>
              <w:jc w:val="center"/>
              <w:rPr>
                <w:rFonts w:ascii="Arial" w:hAnsi="Arial" w:cs="Arial"/>
                <w:b/>
                <w:b/>
                <w:color w:val="000000"/>
                <w:sz w:val="20"/>
                <w:szCs w:val="20"/>
                <w:highlight w:val="white"/>
                <w:lang w:val="en-US" w:eastAsia="zh-CN"/>
              </w:rPr>
            </w:pPr>
            <w:r>
              <w:rPr>
                <w:rFonts w:cs="Arial" w:ascii="Arial" w:hAnsi="Arial"/>
                <w:b/>
                <w:color w:val="000000"/>
                <w:sz w:val="20"/>
                <w:szCs w:val="20"/>
                <w:highlight w:val="white"/>
                <w:lang w:val="en-US" w:eastAsia="zh-CN"/>
              </w:rPr>
              <w:t>THỨ TRƯỞNG</w:t>
            </w:r>
          </w:p>
          <w:p>
            <w:pPr>
              <w:pStyle w:val="Normal"/>
              <w:widowControl/>
              <w:snapToGrid w:val="false"/>
              <w:jc w:val="center"/>
              <w:rPr>
                <w:rFonts w:ascii="Arial" w:hAnsi="Arial" w:cs="Arial"/>
                <w:b/>
                <w:b/>
                <w:color w:val="000000"/>
                <w:sz w:val="20"/>
                <w:szCs w:val="20"/>
                <w:highlight w:val="white"/>
                <w:lang w:val="en-US" w:eastAsia="zh-CN"/>
              </w:rPr>
            </w:pPr>
            <w:r>
              <w:rPr>
                <w:rFonts w:cs="Arial" w:ascii="Arial" w:hAnsi="Arial"/>
                <w:b/>
                <w:color w:val="000000"/>
                <w:sz w:val="20"/>
                <w:szCs w:val="20"/>
                <w:highlight w:val="white"/>
                <w:lang w:val="en-US" w:eastAsia="zh-CN"/>
              </w:rPr>
            </w:r>
          </w:p>
          <w:p>
            <w:pPr>
              <w:pStyle w:val="Normal"/>
              <w:widowControl/>
              <w:snapToGrid w:val="false"/>
              <w:jc w:val="center"/>
              <w:rPr>
                <w:rFonts w:ascii="Arial" w:hAnsi="Arial" w:cs="Arial"/>
                <w:b/>
                <w:b/>
                <w:color w:val="000000"/>
                <w:sz w:val="20"/>
                <w:szCs w:val="20"/>
                <w:highlight w:val="white"/>
                <w:lang w:val="en-US" w:eastAsia="zh-CN"/>
              </w:rPr>
            </w:pPr>
            <w:r>
              <w:rPr>
                <w:rFonts w:cs="Arial" w:ascii="Arial" w:hAnsi="Arial"/>
                <w:b/>
                <w:color w:val="000000"/>
                <w:sz w:val="20"/>
                <w:szCs w:val="20"/>
                <w:highlight w:val="white"/>
                <w:lang w:val="en-US" w:eastAsia="zh-CN"/>
              </w:rPr>
            </w:r>
          </w:p>
          <w:p>
            <w:pPr>
              <w:pStyle w:val="Normal"/>
              <w:widowControl/>
              <w:snapToGrid w:val="false"/>
              <w:jc w:val="center"/>
              <w:rPr>
                <w:rFonts w:ascii="Arial" w:hAnsi="Arial" w:cs="Arial"/>
                <w:b/>
                <w:b/>
                <w:color w:val="000000"/>
                <w:sz w:val="20"/>
                <w:szCs w:val="20"/>
                <w:highlight w:val="white"/>
                <w:lang w:val="en-US" w:eastAsia="zh-CN"/>
              </w:rPr>
            </w:pPr>
            <w:r>
              <w:rPr>
                <w:rFonts w:cs="Arial" w:ascii="Arial" w:hAnsi="Arial"/>
                <w:b/>
                <w:color w:val="000000"/>
                <w:sz w:val="20"/>
                <w:szCs w:val="20"/>
                <w:highlight w:val="white"/>
                <w:lang w:val="en-US" w:eastAsia="zh-CN"/>
              </w:rPr>
            </w:r>
          </w:p>
          <w:p>
            <w:pPr>
              <w:pStyle w:val="Normal"/>
              <w:widowControl/>
              <w:snapToGrid w:val="false"/>
              <w:jc w:val="center"/>
              <w:rPr>
                <w:rFonts w:ascii="Arial" w:hAnsi="Arial" w:cs="Arial"/>
                <w:b/>
                <w:b/>
                <w:color w:val="000000"/>
                <w:sz w:val="20"/>
                <w:szCs w:val="20"/>
                <w:highlight w:val="white"/>
                <w:lang w:val="en-US" w:eastAsia="zh-CN"/>
              </w:rPr>
            </w:pPr>
            <w:r>
              <w:rPr>
                <w:rFonts w:cs="Arial" w:ascii="Arial" w:hAnsi="Arial"/>
                <w:b/>
                <w:color w:val="000000"/>
                <w:sz w:val="20"/>
                <w:szCs w:val="20"/>
                <w:highlight w:val="white"/>
                <w:lang w:val="en-US" w:eastAsia="zh-CN"/>
              </w:rPr>
            </w:r>
          </w:p>
          <w:p>
            <w:pPr>
              <w:pStyle w:val="Normal"/>
              <w:widowControl/>
              <w:snapToGrid w:val="false"/>
              <w:jc w:val="center"/>
              <w:rPr>
                <w:rFonts w:ascii="Arial" w:hAnsi="Arial" w:cs="Arial"/>
                <w:color w:val="000000"/>
                <w:sz w:val="20"/>
                <w:szCs w:val="20"/>
                <w:highlight w:val="white"/>
                <w:lang w:val="en-US" w:eastAsia="zh-CN"/>
              </w:rPr>
            </w:pPr>
            <w:r>
              <w:rPr>
                <w:rFonts w:cs="Arial" w:ascii="Arial" w:hAnsi="Arial"/>
                <w:b/>
                <w:color w:val="000000"/>
                <w:sz w:val="20"/>
                <w:szCs w:val="20"/>
                <w:highlight w:val="white"/>
                <w:lang w:val="en-US" w:eastAsia="zh-CN"/>
              </w:rPr>
              <w:t>Trần Văn Thuấn</w:t>
            </w:r>
          </w:p>
        </w:tc>
      </w:tr>
    </w:tbl>
    <w:p>
      <w:pPr>
        <w:pStyle w:val="Normal"/>
        <w:snapToGrid w:val="false"/>
        <w:spacing w:before="0" w:after="120"/>
        <w:ind w:firstLine="720"/>
        <w:jc w:val="both"/>
        <w:rPr>
          <w:rFonts w:ascii="Arial" w:hAnsi="Arial" w:cs="Arial"/>
          <w:color w:val="000000"/>
          <w:sz w:val="20"/>
          <w:szCs w:val="20"/>
          <w:lang w:eastAsia="zh-CN"/>
        </w:rPr>
      </w:pPr>
      <w:r>
        <w:rPr>
          <w:rFonts w:cs="Arial" w:ascii="Arial" w:hAnsi="Arial"/>
          <w:color w:val="000000"/>
          <w:sz w:val="20"/>
          <w:szCs w:val="20"/>
          <w:lang w:eastAsia="zh-CN"/>
        </w:rPr>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InternetLink">
    <w:name w:val="Hyperlink"/>
    <w:rPr>
      <w:color w:val="0066CC"/>
      <w:u w:val="single"/>
    </w:rPr>
  </w:style>
  <w:style w:type="character" w:styleId="Vnbnnidung">
    <w:name w:val="Văn bản nội dung_"/>
    <w:qFormat/>
    <w:rPr>
      <w:rFonts w:ascii="Times New Roman" w:hAnsi="Times New Roman" w:cs="Times New Roman"/>
      <w:sz w:val="28"/>
      <w:szCs w:val="28"/>
      <w:u w:val="none"/>
    </w:rPr>
  </w:style>
  <w:style w:type="character" w:styleId="Tiu1">
    <w:name w:val="Tiêu đề #1_"/>
    <w:qFormat/>
    <w:rPr>
      <w:rFonts w:ascii="Times New Roman" w:hAnsi="Times New Roman" w:cs="Times New Roman"/>
      <w:b/>
      <w:bCs/>
      <w:sz w:val="28"/>
      <w:szCs w:val="28"/>
      <w:u w:val="none"/>
    </w:rPr>
  </w:style>
  <w:style w:type="character" w:styleId="Vnbnnidung2">
    <w:name w:val="Văn bản nội dung (2)_"/>
    <w:qFormat/>
    <w:rPr>
      <w:rFonts w:ascii="Times New Roman" w:hAnsi="Times New Roman" w:cs="Times New Roman"/>
      <w:sz w:val="22"/>
      <w:szCs w:val="22"/>
      <w:u w:val="none"/>
    </w:rPr>
  </w:style>
  <w:style w:type="character" w:styleId="Chthchnh">
    <w:name w:val="Chú thích ảnh_"/>
    <w:qFormat/>
    <w:rPr>
      <w:rFonts w:ascii="Times New Roman" w:hAnsi="Times New Roman" w:cs="Times New Roman"/>
      <w:b/>
      <w:bCs/>
      <w:sz w:val="28"/>
      <w:szCs w:val="28"/>
      <w:u w:val="none"/>
    </w:rPr>
  </w:style>
  <w:style w:type="character" w:styleId="HeaderChar">
    <w:name w:val="Header Char"/>
    <w:qFormat/>
    <w:rPr>
      <w:rFonts w:cs="Courier New"/>
      <w:color w:val="000000"/>
      <w:lang w:val="vi-VN"/>
    </w:rPr>
  </w:style>
  <w:style w:type="character" w:styleId="FooterChar">
    <w:name w:val="Footer Char"/>
    <w:qFormat/>
    <w:rPr>
      <w:rFonts w:cs="Courier New"/>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1">
    <w:name w:val="Văn bản nội dung"/>
    <w:basedOn w:val="Normal"/>
    <w:qFormat/>
    <w:pPr>
      <w:spacing w:lineRule="auto" w:line="264" w:before="0" w:after="120"/>
      <w:ind w:firstLine="400"/>
    </w:pPr>
    <w:rPr>
      <w:rFonts w:ascii="Times New Roman" w:hAnsi="Times New Roman" w:cs="Times New Roman"/>
      <w:color w:val="000000"/>
      <w:sz w:val="28"/>
      <w:szCs w:val="28"/>
      <w:lang w:eastAsia="zh-CN"/>
    </w:rPr>
  </w:style>
  <w:style w:type="paragraph" w:styleId="Tiu11">
    <w:name w:val="Tiêu đề #1"/>
    <w:basedOn w:val="Normal"/>
    <w:qFormat/>
    <w:pPr>
      <w:spacing w:lineRule="auto" w:line="252" w:before="0" w:after="120"/>
      <w:ind w:firstLine="360"/>
      <w:outlineLvl w:val="0"/>
    </w:pPr>
    <w:rPr>
      <w:rFonts w:ascii="Times New Roman" w:hAnsi="Times New Roman" w:cs="Times New Roman"/>
      <w:b/>
      <w:bCs/>
      <w:color w:val="000000"/>
      <w:sz w:val="28"/>
      <w:szCs w:val="28"/>
      <w:lang w:eastAsia="zh-CN"/>
    </w:rPr>
  </w:style>
  <w:style w:type="paragraph" w:styleId="Vnbnnidung21">
    <w:name w:val="Văn bản nội dung (2)"/>
    <w:basedOn w:val="Normal"/>
    <w:qFormat/>
    <w:pPr/>
    <w:rPr>
      <w:rFonts w:ascii="Times New Roman" w:hAnsi="Times New Roman" w:cs="Times New Roman"/>
      <w:color w:val="000000"/>
      <w:sz w:val="22"/>
      <w:szCs w:val="22"/>
      <w:lang w:eastAsia="zh-CN"/>
    </w:rPr>
  </w:style>
  <w:style w:type="paragraph" w:styleId="Chthchnh1">
    <w:name w:val="Chú thích ảnh"/>
    <w:basedOn w:val="Normal"/>
    <w:qFormat/>
    <w:pPr/>
    <w:rPr>
      <w:rFonts w:ascii="Times New Roman" w:hAnsi="Times New Roman" w:cs="Times New Roman"/>
      <w:b/>
      <w:bCs/>
      <w:color w:val="000000"/>
      <w:sz w:val="28"/>
      <w:szCs w:val="28"/>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2021-12-02T02:33:00Z</dcterms:created>
  <dc:creator>Hằng Nga</dc:creator>
  <dc:description/>
  <cp:keywords/>
  <dc:language>en-US</dc:language>
  <cp:lastModifiedBy>Hằng Nga</cp:lastModifiedBy>
  <dcterms:modified xsi:type="dcterms:W3CDTF">2021-12-02T02:33:00Z</dcterms:modified>
  <cp:revision>2</cp:revision>
  <dc:subject/>
  <dc:title/>
</cp:coreProperties>
</file>