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48" w:type="dxa"/>
        <w:jc w:val="left"/>
        <w:tblInd w:w="-108" w:type="dxa"/>
        <w:tblLayout w:type="fixed"/>
        <w:tblCellMar>
          <w:top w:w="0" w:type="dxa"/>
          <w:left w:w="108" w:type="dxa"/>
          <w:bottom w:w="0" w:type="dxa"/>
          <w:right w:w="108" w:type="dxa"/>
        </w:tblCellMar>
      </w:tblPr>
      <w:tblGrid>
        <w:gridCol w:w="4197"/>
        <w:gridCol w:w="5751"/>
      </w:tblGrid>
      <w:tr>
        <w:trPr/>
        <w:tc>
          <w:tcPr>
            <w:tcW w:w="4197" w:type="dxa"/>
            <w:tcBorders/>
          </w:tcPr>
          <w:p>
            <w:pPr>
              <w:pStyle w:val="Normal"/>
              <w:jc w:val="center"/>
              <w:rPr>
                <w:b/>
                <w:b/>
                <w:bCs/>
                <w:sz w:val="26"/>
                <w:lang w:val="vi-VN"/>
              </w:rPr>
            </w:pPr>
            <w:r>
              <mc:AlternateContent>
                <mc:Choice Requires="wps">
                  <w:drawing>
                    <wp:anchor behindDoc="0" distT="0" distB="0" distL="114935" distR="114935" simplePos="0" locked="0" layoutInCell="1" allowOverlap="1" relativeHeight="2">
                      <wp:simplePos x="0" y="0"/>
                      <wp:positionH relativeFrom="column">
                        <wp:posOffset>914400</wp:posOffset>
                      </wp:positionH>
                      <wp:positionV relativeFrom="paragraph">
                        <wp:posOffset>457200</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pt,36pt" to="125.95pt,36pt" stroked="t" o:allowincell="t" style="position:absolute">
                      <v:stroke color="black" weight="9360" joinstyle="miter" endcap="flat"/>
                      <v:fill o:detectmouseclick="t" on="false"/>
                      <w10:wrap type="none"/>
                    </v:line>
                  </w:pict>
                </mc:Fallback>
              </mc:AlternateContent>
            </w:r>
            <w:r>
              <w:rPr>
                <w:b/>
                <w:bCs/>
                <w:sz w:val="26"/>
                <w:lang w:val="en-US"/>
              </w:rPr>
              <w:t>BỘ LAO ĐỘNG - THƯƠNG BINH VÀ XÃ HỘI</w:t>
            </w:r>
            <w:r>
              <w:rPr>
                <w:b/>
                <w:bCs/>
                <w:sz w:val="26"/>
              </w:rPr>
              <w:br/>
            </w:r>
          </w:p>
          <w:p>
            <w:pPr>
              <w:pStyle w:val="Normal"/>
              <w:jc w:val="center"/>
              <w:rPr>
                <w:sz w:val="26"/>
                <w:lang w:val="vi-VN"/>
              </w:rPr>
            </w:pPr>
            <w:r>
              <w:rPr>
                <w:sz w:val="26"/>
              </w:rPr>
              <w:t xml:space="preserve">Số: </w:t>
            </w:r>
            <w:r>
              <w:rPr>
                <w:sz w:val="26"/>
                <w:lang w:val="en-US"/>
              </w:rPr>
              <w:t>27/2014/TT-BLĐTBXH</w:t>
            </w:r>
          </w:p>
        </w:tc>
        <w:tc>
          <w:tcPr>
            <w:tcW w:w="5751" w:type="dxa"/>
            <w:tcBorders/>
          </w:tcPr>
          <w:p>
            <w:pPr>
              <w:pStyle w:val="Normal"/>
              <w:jc w:val="center"/>
              <w:rPr>
                <w:b/>
                <w:b/>
                <w:bCs/>
                <w:sz w:val="26"/>
                <w:lang w:val="vi-VN"/>
              </w:rPr>
            </w:pPr>
            <w:r>
              <mc:AlternateContent>
                <mc:Choice Requires="wps">
                  <w:drawing>
                    <wp:anchor behindDoc="0" distT="0" distB="0" distL="114935" distR="114935" simplePos="0" locked="0" layoutInCell="1" allowOverlap="1" relativeHeight="3">
                      <wp:simplePos x="0" y="0"/>
                      <wp:positionH relativeFrom="column">
                        <wp:posOffset>769620</wp:posOffset>
                      </wp:positionH>
                      <wp:positionV relativeFrom="paragraph">
                        <wp:posOffset>454660</wp:posOffset>
                      </wp:positionV>
                      <wp:extent cx="1981200" cy="0"/>
                      <wp:effectExtent l="0" t="5080" r="0" b="5080"/>
                      <wp:wrapNone/>
                      <wp:docPr id="2"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6pt,35.8pt" to="216.55pt,35.8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t xml:space="preserve">Độc lập - Tự do - Hạnh phúc </w:t>
              <w:br/>
            </w:r>
          </w:p>
          <w:p>
            <w:pPr>
              <w:pStyle w:val="Normal"/>
              <w:jc w:val="center"/>
              <w:rPr>
                <w:sz w:val="26"/>
              </w:rPr>
            </w:pPr>
            <w:r>
              <w:rPr>
                <w:i/>
                <w:iCs/>
                <w:sz w:val="26"/>
              </w:rPr>
              <w:t>Hà Nội, ngày 06 tháng 10 năm 2014</w:t>
            </w:r>
          </w:p>
        </w:tc>
      </w:tr>
    </w:tbl>
    <w:p>
      <w:pPr>
        <w:pStyle w:val="Normal"/>
        <w:jc w:val="center"/>
        <w:rPr>
          <w:b/>
          <w:b/>
          <w:bCs/>
          <w:lang w:val="vi-VN"/>
        </w:rPr>
      </w:pPr>
      <w:r>
        <w:rPr>
          <w:b/>
          <w:bCs/>
          <w:lang w:val="vi-VN"/>
        </w:rPr>
      </w:r>
    </w:p>
    <w:p>
      <w:pPr>
        <w:pStyle w:val="Normal"/>
        <w:jc w:val="center"/>
        <w:rPr>
          <w:b/>
          <w:b/>
          <w:sz w:val="28"/>
          <w:szCs w:val="28"/>
        </w:rPr>
      </w:pPr>
      <w:r>
        <w:rPr>
          <w:b/>
          <w:bCs/>
          <w:sz w:val="28"/>
          <w:szCs w:val="28"/>
        </w:rPr>
        <w:t>THÔNG TƯ</w:t>
      </w:r>
    </w:p>
    <w:p>
      <w:pPr>
        <w:pStyle w:val="Normal"/>
        <w:jc w:val="center"/>
        <w:rPr>
          <w:b/>
          <w:b/>
          <w:sz w:val="28"/>
          <w:szCs w:val="28"/>
          <w:lang w:val="vi-VN"/>
        </w:rPr>
      </w:pPr>
      <w:r>
        <w:rPr>
          <w:b/>
          <w:sz w:val="28"/>
          <w:szCs w:val="28"/>
        </w:rPr>
        <w:t xml:space="preserve">Hướng dẫn việc cơ quan quản lý nhà nước về lao động lấy ý kiến tổ chức đại diện người lao động, tổ chức đại diện người sử dụng lao động ở địa phương trong việc xây dựng chính sách, pháp luật về lao động và những vấn đề </w:t>
      </w:r>
    </w:p>
    <w:p>
      <w:pPr>
        <w:pStyle w:val="Normal"/>
        <w:jc w:val="center"/>
        <w:rPr>
          <w:b/>
          <w:b/>
          <w:sz w:val="28"/>
          <w:szCs w:val="28"/>
          <w:lang w:val="vi-VN"/>
        </w:rPr>
      </w:pPr>
      <w:r>
        <w:rPr>
          <w:b/>
          <w:sz w:val="28"/>
          <w:szCs w:val="28"/>
        </w:rPr>
        <w:t>về quan hệ lao động</w:t>
      </w:r>
    </w:p>
    <w:p>
      <w:pPr>
        <w:pStyle w:val="Normal"/>
        <w:jc w:val="center"/>
        <w:rPr>
          <w:b/>
          <w:b/>
          <w:sz w:val="28"/>
          <w:szCs w:val="28"/>
          <w:lang w:val="vi-VN" w:eastAsia="en-US"/>
        </w:rPr>
      </w:pPr>
      <w:r>
        <w:rPr>
          <w:b/>
          <w:sz w:val="28"/>
          <w:szCs w:val="28"/>
          <w:lang w:val="vi-VN" w:eastAsia="en-US"/>
        </w:rPr>
        <mc:AlternateContent>
          <mc:Choice Requires="wps">
            <w:drawing>
              <wp:anchor behindDoc="0" distT="0" distB="0" distL="114935" distR="114935" simplePos="0" locked="0" layoutInCell="0" allowOverlap="1" relativeHeight="4">
                <wp:simplePos x="0" y="0"/>
                <wp:positionH relativeFrom="column">
                  <wp:posOffset>2133600</wp:posOffset>
                </wp:positionH>
                <wp:positionV relativeFrom="paragraph">
                  <wp:posOffset>132080</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pt,10.4pt" to="293.95pt,10.4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720"/>
        <w:jc w:val="both"/>
        <w:rPr>
          <w:i/>
          <w:i/>
        </w:rPr>
      </w:pPr>
      <w:r>
        <w:rPr>
          <w:i/>
          <w:iCs/>
        </w:rPr>
        <w:t xml:space="preserve">Căn cứ </w:t>
      </w:r>
      <w:r>
        <w:rPr>
          <w:i/>
          <w:iCs/>
          <w:shd w:fill="FFFFFF" w:val="clear"/>
        </w:rPr>
        <w:t>Nghị định số</w:t>
      </w:r>
      <w:r>
        <w:rPr>
          <w:i/>
          <w:iCs/>
        </w:rPr>
        <w:t xml:space="preserve"> 106/2012/NĐ-CP ngày 20 tháng 12 năm 2012 của </w:t>
      </w:r>
      <w:r>
        <w:rPr>
          <w:i/>
          <w:iCs/>
          <w:shd w:fill="FFFFFF" w:val="clear"/>
        </w:rPr>
        <w:t>Chính phủ</w:t>
      </w:r>
      <w:r>
        <w:rPr>
          <w:i/>
          <w:iCs/>
        </w:rPr>
        <w:t xml:space="preserve"> quy định chức năng, nhiệm vụ, quyền hạn và </w:t>
      </w:r>
      <w:r>
        <w:rPr>
          <w:i/>
          <w:iCs/>
          <w:shd w:fill="FFFFFF" w:val="clear"/>
        </w:rPr>
        <w:t>cơ cấu</w:t>
      </w:r>
      <w:r>
        <w:rPr>
          <w:i/>
          <w:iCs/>
        </w:rPr>
        <w:t xml:space="preserve"> tổ chức của Bộ Lao động - Thương binh và Xã hội;</w:t>
      </w:r>
    </w:p>
    <w:p>
      <w:pPr>
        <w:pStyle w:val="Normal"/>
        <w:spacing w:lineRule="exact" w:line="320" w:before="120" w:after="120"/>
        <w:ind w:firstLine="720"/>
        <w:jc w:val="both"/>
        <w:rPr>
          <w:i/>
          <w:i/>
        </w:rPr>
      </w:pPr>
      <w:r>
        <w:rPr>
          <w:i/>
          <w:iCs/>
        </w:rPr>
        <w:t xml:space="preserve">Căn cứ </w:t>
      </w:r>
      <w:r>
        <w:rPr>
          <w:i/>
          <w:iCs/>
          <w:shd w:fill="FFFFFF" w:val="clear"/>
        </w:rPr>
        <w:t>Nghị định số</w:t>
      </w:r>
      <w:r>
        <w:rPr>
          <w:i/>
          <w:iCs/>
        </w:rPr>
        <w:t xml:space="preserve"> 53/2014/NĐ-CP ngày 26 tháng 5 năm 2014 quy định việc cơ quan quản lý nhà nước lấy ý kiến tổ chức đại diện người lao động, tổ chức đại diện người sử dụng lao động trong việc xây dựng chính sách, pháp luật về lao động và những vấn đề về quan hệ lao động.</w:t>
      </w:r>
    </w:p>
    <w:p>
      <w:pPr>
        <w:pStyle w:val="Normal"/>
        <w:spacing w:lineRule="exact" w:line="320" w:before="120" w:after="120"/>
        <w:ind w:firstLine="720"/>
        <w:jc w:val="both"/>
        <w:rPr>
          <w:i/>
          <w:i/>
        </w:rPr>
      </w:pPr>
      <w:r>
        <w:rPr>
          <w:i/>
          <w:iCs/>
        </w:rPr>
        <w:t>Theo đề nghị của Vụ trưởng Vụ Lao động - Tiền lương,</w:t>
      </w:r>
    </w:p>
    <w:p>
      <w:pPr>
        <w:pStyle w:val="Normal"/>
        <w:spacing w:lineRule="exact" w:line="320" w:before="120" w:after="120"/>
        <w:ind w:firstLine="720"/>
        <w:jc w:val="both"/>
        <w:rPr>
          <w:i/>
          <w:i/>
        </w:rPr>
      </w:pPr>
      <w:r>
        <w:rPr>
          <w:i/>
          <w:iCs/>
        </w:rPr>
        <w:t xml:space="preserve">Bộ trưởng Bộ Lao động - Thương binh và Xã hội ban hành Thông tư hướng dẫn việc cơ quan quản lý nhà nước về lao động lấy ý kiến </w:t>
      </w:r>
      <w:r>
        <w:rPr>
          <w:i/>
          <w:iCs/>
          <w:shd w:fill="FFFFFF" w:val="clear"/>
        </w:rPr>
        <w:t>tổ chức</w:t>
      </w:r>
      <w:r>
        <w:rPr>
          <w:i/>
          <w:iCs/>
        </w:rPr>
        <w:t xml:space="preserve"> đại diện người lao động, tổ chức đại diện người sử dụng lao động ở địa phương trong việc xây dựng chính sách, pháp luật về lao động và những vấn đề </w:t>
      </w:r>
      <w:r>
        <w:rPr>
          <w:i/>
          <w:iCs/>
          <w:shd w:fill="FFFFFF" w:val="clear"/>
        </w:rPr>
        <w:t>về</w:t>
      </w:r>
      <w:r>
        <w:rPr>
          <w:i/>
          <w:iCs/>
        </w:rPr>
        <w:t xml:space="preserve"> quan hệ lao động.</w:t>
      </w:r>
    </w:p>
    <w:p>
      <w:pPr>
        <w:pStyle w:val="Normal"/>
        <w:spacing w:lineRule="exact" w:line="320" w:before="120" w:after="120"/>
        <w:ind w:firstLine="720"/>
        <w:jc w:val="both"/>
        <w:rPr>
          <w:b/>
          <w:b/>
          <w:bCs/>
        </w:rPr>
      </w:pPr>
      <w:r>
        <w:rPr>
          <w:b/>
          <w:bCs/>
        </w:rPr>
        <w:t>Điều 1. Phạm vi điều chỉnh</w:t>
      </w:r>
    </w:p>
    <w:p>
      <w:pPr>
        <w:pStyle w:val="Normal"/>
        <w:spacing w:lineRule="exact" w:line="320" w:before="120" w:after="120"/>
        <w:ind w:firstLine="720"/>
        <w:jc w:val="both"/>
        <w:rPr/>
      </w:pPr>
      <w:r>
        <w:rPr/>
        <w:t>Thông tư này quy định về nguyên tắc, nội dung, hình thức lấy ý kiến tổ chức đại diện người lao động, tổ chức đại diện người sử dụng lao động ở địa phương (sau đây gọi tắt là các bên) của cơ quan quản lý nhà nước về lao động trong việc xây dựng chính sách, pháp luật về lao động và những vấn đề về quan hệ lao động.</w:t>
      </w:r>
    </w:p>
    <w:p>
      <w:pPr>
        <w:pStyle w:val="Normal"/>
        <w:spacing w:lineRule="exact" w:line="320" w:before="120" w:after="120"/>
        <w:ind w:firstLine="720"/>
        <w:jc w:val="both"/>
        <w:rPr>
          <w:b/>
          <w:b/>
          <w:bCs/>
        </w:rPr>
      </w:pPr>
      <w:r>
        <w:rPr>
          <w:b/>
          <w:bCs/>
        </w:rPr>
        <w:t>Điều 2. Đối tượng áp dụng</w:t>
      </w:r>
    </w:p>
    <w:p>
      <w:pPr>
        <w:pStyle w:val="Normal"/>
        <w:spacing w:lineRule="exact" w:line="320" w:before="120" w:after="120"/>
        <w:ind w:firstLine="720"/>
        <w:jc w:val="both"/>
        <w:rPr/>
      </w:pPr>
      <w:r>
        <w:rPr/>
        <w:t>1. Bộ Lao động - Thương binh và Xã hội.</w:t>
      </w:r>
    </w:p>
    <w:p>
      <w:pPr>
        <w:pStyle w:val="Normal"/>
        <w:spacing w:lineRule="exact" w:line="320" w:before="120" w:after="120"/>
        <w:ind w:firstLine="720"/>
        <w:jc w:val="both"/>
        <w:rPr/>
      </w:pPr>
      <w:r>
        <w:rPr>
          <w:shd w:fill="FFFFFF" w:val="clear"/>
        </w:rPr>
        <w:t>2. Ủy ban</w:t>
      </w:r>
      <w:r>
        <w:rPr/>
        <w:t xml:space="preserve"> nhân dân tỉnh, thành phố trực thuộc Trung ương (sau đây gọi chung là </w:t>
      </w:r>
      <w:r>
        <w:rPr>
          <w:shd w:fill="FFFFFF" w:val="clear"/>
        </w:rPr>
        <w:t>Ủy ban</w:t>
      </w:r>
      <w:r>
        <w:rPr/>
        <w:t xml:space="preserve"> nhân dân cấp tỉnh).</w:t>
      </w:r>
    </w:p>
    <w:p>
      <w:pPr>
        <w:pStyle w:val="Normal"/>
        <w:spacing w:lineRule="exact" w:line="320" w:before="120" w:after="120"/>
        <w:ind w:firstLine="720"/>
        <w:jc w:val="both"/>
        <w:rPr/>
      </w:pPr>
      <w:r>
        <w:rPr/>
        <w:t>3. Liên đoàn Lao động tỉnh, thành phố trực thuộc Trung ương (sau đây gọi chung là Liên đoàn Lao động cấp tỉnh).</w:t>
      </w:r>
    </w:p>
    <w:p>
      <w:pPr>
        <w:pStyle w:val="Normal"/>
        <w:spacing w:lineRule="exact" w:line="320" w:before="120" w:after="120"/>
        <w:ind w:firstLine="720"/>
        <w:jc w:val="both"/>
        <w:rPr/>
      </w:pPr>
      <w:r>
        <w:rPr/>
        <w:t>4. Chi nhánh hoặc Văn phòng đại diện của Phòng Thương mại và Công nghiệp Việt Nam tại tỉnh, thành phố trực thuộc Trung ương; Hiệp hội Doanh nghiệp, Hiệp hội Doanh nghiệp nhỏ và vừa tỉnh, thành phố trực thuộc Trung ương; Liên minh Hợp tác xã tỉnh, thành phố trực thuộc Trung ương (sau đây gọi chung là tổ chức đại diện người sử dụng lao động cấp tỉnh).</w:t>
      </w:r>
    </w:p>
    <w:p>
      <w:pPr>
        <w:pStyle w:val="Normal"/>
        <w:spacing w:lineRule="exact" w:line="320" w:before="120" w:after="120"/>
        <w:ind w:firstLine="720"/>
        <w:jc w:val="both"/>
        <w:rPr/>
      </w:pPr>
      <w:r>
        <w:rPr/>
        <w:t>5. Cơ quan, tổ chức, cá nhân có liên quan đến việc thực hiện các quy định tại Thông tư này.</w:t>
      </w:r>
    </w:p>
    <w:p>
      <w:pPr>
        <w:pStyle w:val="Normal"/>
        <w:spacing w:lineRule="exact" w:line="320" w:before="120" w:after="120"/>
        <w:ind w:firstLine="720"/>
        <w:jc w:val="both"/>
        <w:rPr>
          <w:b/>
          <w:b/>
          <w:bCs/>
        </w:rPr>
      </w:pPr>
      <w:r>
        <w:rPr>
          <w:b/>
          <w:bCs/>
        </w:rPr>
        <w:t>Điều 3. Nguyên tắc lấy ý kiến</w:t>
      </w:r>
    </w:p>
    <w:p>
      <w:pPr>
        <w:pStyle w:val="Normal"/>
        <w:spacing w:lineRule="exact" w:line="320" w:before="120" w:after="120"/>
        <w:ind w:firstLine="720"/>
        <w:jc w:val="both"/>
        <w:rPr/>
      </w:pPr>
      <w:r>
        <w:rPr/>
        <w:t>Cơ quan quản lý nhà nước về lao động lấy ý kiến tổ chức đại diện người lao động, tổ chức đại diện người sử dụng lao động cấp tỉnh trong việc xây dựng chính sách, pháp luật về lao động và những vấn đề về quan hệ lao động phải bảo đảm tuân thủ pháp luật, dân chủ, trung thực, tôn trọng quyền và lợi ích hợp pháp của người lao động, người sử dụng lao động.</w:t>
      </w:r>
    </w:p>
    <w:p>
      <w:pPr>
        <w:pStyle w:val="Normal"/>
        <w:spacing w:lineRule="exact" w:line="320" w:before="120" w:after="120"/>
        <w:ind w:firstLine="720"/>
        <w:jc w:val="both"/>
        <w:rPr>
          <w:b/>
          <w:b/>
          <w:bCs/>
        </w:rPr>
      </w:pPr>
      <w:r>
        <w:rPr>
          <w:b/>
          <w:bCs/>
        </w:rPr>
        <w:t>Điều 4. Nội dung lấy ý kiến</w:t>
      </w:r>
    </w:p>
    <w:p>
      <w:pPr>
        <w:pStyle w:val="Normal"/>
        <w:spacing w:lineRule="exact" w:line="320" w:before="120" w:after="120"/>
        <w:ind w:firstLine="720"/>
        <w:jc w:val="both"/>
        <w:rPr/>
      </w:pPr>
      <w:r>
        <w:rPr/>
        <w:t xml:space="preserve">1. Chính sách, pháp luật về lao động liên quan đến nghĩa vụ, quyền và lợi ích hợp pháp, chính đáng của người lao động, người sử dụng lao động khi Bộ trưởng Bộ Lao động - Thương binh và Xã hội yêu cầu đối với Chủ tịch </w:t>
      </w:r>
      <w:r>
        <w:rPr>
          <w:shd w:fill="FFFFFF" w:val="clear"/>
        </w:rPr>
        <w:t>Ủy ban</w:t>
      </w:r>
      <w:r>
        <w:rPr/>
        <w:t xml:space="preserve"> nhân dân cấp tỉnh.</w:t>
      </w:r>
    </w:p>
    <w:p>
      <w:pPr>
        <w:pStyle w:val="Normal"/>
        <w:spacing w:lineRule="exact" w:line="320" w:before="120" w:after="120"/>
        <w:ind w:firstLine="720"/>
        <w:jc w:val="both"/>
        <w:rPr/>
      </w:pPr>
      <w:r>
        <w:rPr/>
        <w:t xml:space="preserve">2. Văn bản quy phạm pháp luật, </w:t>
      </w:r>
      <w:r>
        <w:rPr>
          <w:shd w:fill="FFFFFF" w:val="clear"/>
        </w:rPr>
        <w:t>văn</w:t>
      </w:r>
      <w:r>
        <w:rPr/>
        <w:t xml:space="preserve"> bản hướng dẫn tổ chức triển khai thực hiện chính sách pháp luật về lao động do Hội đồng nhân dân, </w:t>
      </w:r>
      <w:r>
        <w:rPr>
          <w:shd w:fill="FFFFFF" w:val="clear"/>
        </w:rPr>
        <w:t>Ủy ban</w:t>
      </w:r>
      <w:r>
        <w:rPr/>
        <w:t xml:space="preserve"> nhân dân cấp tỉnh ban hành.</w:t>
      </w:r>
    </w:p>
    <w:p>
      <w:pPr>
        <w:pStyle w:val="Normal"/>
        <w:spacing w:lineRule="exact" w:line="320" w:before="120" w:after="120"/>
        <w:ind w:firstLine="720"/>
        <w:jc w:val="both"/>
        <w:rPr/>
      </w:pPr>
      <w:r>
        <w:rPr/>
        <w:t>3. Các giải pháp phát triển quan hệ lao động của tỉnh, thành phố; các biện pháp phòng ngừa và giải quyết tranh chấp lao động; báo cáo định kỳ về tình hình quan hệ lao động tại địa phương.</w:t>
      </w:r>
    </w:p>
    <w:p>
      <w:pPr>
        <w:pStyle w:val="Normal"/>
        <w:spacing w:lineRule="exact" w:line="320" w:before="120" w:after="120"/>
        <w:ind w:firstLine="720"/>
        <w:jc w:val="both"/>
        <w:rPr/>
      </w:pPr>
      <w:r>
        <w:rPr/>
        <w:t xml:space="preserve">4. Những vấn đề khác theo yêu cầu của </w:t>
      </w:r>
      <w:r>
        <w:rPr>
          <w:shd w:fill="FFFFFF" w:val="clear"/>
        </w:rPr>
        <w:t>Ủy ban</w:t>
      </w:r>
      <w:r>
        <w:rPr/>
        <w:t xml:space="preserve"> nhân dân cấp tỉnh.</w:t>
      </w:r>
    </w:p>
    <w:p>
      <w:pPr>
        <w:pStyle w:val="Normal"/>
        <w:spacing w:lineRule="exact" w:line="320" w:before="120" w:after="120"/>
        <w:ind w:firstLine="720"/>
        <w:jc w:val="both"/>
        <w:rPr>
          <w:b/>
          <w:b/>
          <w:bCs/>
        </w:rPr>
      </w:pPr>
      <w:r>
        <w:rPr>
          <w:b/>
          <w:bCs/>
        </w:rPr>
        <w:t>Điều 5. Hình thức lấy ý kiến</w:t>
      </w:r>
    </w:p>
    <w:p>
      <w:pPr>
        <w:pStyle w:val="Normal"/>
        <w:spacing w:lineRule="exact" w:line="320" w:before="120" w:after="120"/>
        <w:ind w:firstLine="720"/>
        <w:jc w:val="both"/>
        <w:rPr/>
      </w:pPr>
      <w:r>
        <w:rPr/>
        <w:t>1. Bằng văn bản.</w:t>
      </w:r>
    </w:p>
    <w:p>
      <w:pPr>
        <w:pStyle w:val="Normal"/>
        <w:spacing w:lineRule="exact" w:line="320" w:before="120" w:after="120"/>
        <w:ind w:firstLine="720"/>
        <w:jc w:val="both"/>
        <w:rPr/>
      </w:pPr>
      <w:r>
        <w:rPr/>
        <w:t>2. Thông qua tổ công tác, ban chỉ đạo, ban nghiên cứu mà tổ chức đại diện người lao động, tổ chức đại diện người sử dụng lao động tham gia.</w:t>
      </w:r>
    </w:p>
    <w:p>
      <w:pPr>
        <w:pStyle w:val="Normal"/>
        <w:spacing w:lineRule="exact" w:line="320" w:before="120" w:after="120"/>
        <w:ind w:firstLine="720"/>
        <w:jc w:val="both"/>
        <w:rPr/>
      </w:pPr>
      <w:r>
        <w:rPr/>
        <w:t>3. Thông qua các cuộc họp, hội thảo, diễn đàn, hội nghị tham vấn mà tổ chức đại diện người lao động, tổ chức đại diện người sử dụng lao động tham dự.</w:t>
      </w:r>
    </w:p>
    <w:p>
      <w:pPr>
        <w:pStyle w:val="Normal"/>
        <w:spacing w:lineRule="exact" w:line="320" w:before="120" w:after="120"/>
        <w:ind w:firstLine="720"/>
        <w:jc w:val="both"/>
        <w:rPr/>
      </w:pPr>
      <w:r>
        <w:rPr>
          <w:b/>
          <w:bCs/>
        </w:rPr>
        <w:t xml:space="preserve">Điều 6. Trách nhiệm lấy ý kiến của </w:t>
      </w:r>
      <w:r>
        <w:rPr>
          <w:b/>
          <w:bCs/>
          <w:shd w:fill="FFFFFF" w:val="clear"/>
        </w:rPr>
        <w:t>Ủy ban</w:t>
      </w:r>
      <w:r>
        <w:rPr>
          <w:b/>
          <w:bCs/>
        </w:rPr>
        <w:t xml:space="preserve"> nhân dân cấp tỉnh</w:t>
      </w:r>
    </w:p>
    <w:p>
      <w:pPr>
        <w:pStyle w:val="Normal"/>
        <w:spacing w:lineRule="exact" w:line="320" w:before="120" w:after="120"/>
        <w:ind w:firstLine="720"/>
        <w:jc w:val="both"/>
        <w:rPr/>
      </w:pPr>
      <w:r>
        <w:rPr/>
        <w:t>1. Tổ chức lấy ý kiến của Liên đoàn Lao động cấp tỉnh, tổ chức đại diện người sử dụng lao động cấp tỉnh về những nội dung quy định tại Điều 4 Thông tư này với các hình thức phù hợp, hiệu quả, phát huy được trách nhiệm của các bên trong việc tham gia ý kiến.</w:t>
      </w:r>
    </w:p>
    <w:p>
      <w:pPr>
        <w:pStyle w:val="Normal"/>
        <w:spacing w:lineRule="exact" w:line="320" w:before="120" w:after="120"/>
        <w:ind w:firstLine="720"/>
        <w:jc w:val="both"/>
        <w:rPr/>
      </w:pPr>
      <w:r>
        <w:rPr/>
        <w:t xml:space="preserve">2. Chủ trì, phối hợp với các bên thành lập tổ công tác, ban chỉ đạo, ban nghiên cứu để triển khai thực hiện các vấn đề liên quan đến quan hệ lao động, phối hợp giải </w:t>
      </w:r>
      <w:r>
        <w:rPr>
          <w:shd w:fill="FFFFFF" w:val="clear"/>
        </w:rPr>
        <w:t>quyết</w:t>
      </w:r>
      <w:r>
        <w:rPr/>
        <w:t xml:space="preserve"> các vấn đề phát sinh trong quan hệ lao động tại địa phương.</w:t>
      </w:r>
    </w:p>
    <w:p>
      <w:pPr>
        <w:pStyle w:val="Normal"/>
        <w:spacing w:lineRule="exact" w:line="320" w:before="120" w:after="120"/>
        <w:ind w:firstLine="720"/>
        <w:jc w:val="both"/>
        <w:rPr>
          <w:b/>
          <w:b/>
          <w:bCs/>
        </w:rPr>
      </w:pPr>
      <w:r>
        <w:rPr>
          <w:b/>
          <w:bCs/>
        </w:rPr>
        <w:t>Điều 7. Trách nhiệm tham gia ý kiến của Liên đoàn Lao động cấp tỉnh</w:t>
      </w:r>
    </w:p>
    <w:p>
      <w:pPr>
        <w:pStyle w:val="Normal"/>
        <w:spacing w:lineRule="exact" w:line="320" w:before="120" w:after="120"/>
        <w:ind w:firstLine="720"/>
        <w:jc w:val="both"/>
        <w:rPr/>
      </w:pPr>
      <w:r>
        <w:rPr/>
        <w:t xml:space="preserve">1. Thu thập, tổng hợp, lấy ý kiến đoàn viên, công đoàn cơ sở, công đoàn cấp trên trực tiếp cơ sở và các đơn vị trực thuộc Liên đoàn Lao động cấp tỉnh về những nội dung quy định tại Điều 4 Thông tư này để tham gia với </w:t>
      </w:r>
      <w:r>
        <w:rPr>
          <w:shd w:fill="FFFFFF" w:val="clear"/>
        </w:rPr>
        <w:t>Ủy ban</w:t>
      </w:r>
      <w:r>
        <w:rPr/>
        <w:t xml:space="preserve"> nhân dân cấp tỉnh khi được yêu cầu.</w:t>
      </w:r>
    </w:p>
    <w:p>
      <w:pPr>
        <w:pStyle w:val="Normal"/>
        <w:spacing w:lineRule="exact" w:line="320" w:before="120" w:after="120"/>
        <w:ind w:firstLine="720"/>
        <w:jc w:val="both"/>
        <w:rPr/>
      </w:pPr>
      <w:r>
        <w:rPr/>
        <w:t xml:space="preserve">2. Cử người tham dự các cuộc hội nghị, hội thảo và phát biểu tham gia ý kiến về những nội dung được trao đổi, thảo luận tại hội nghị, hội thảo do </w:t>
      </w:r>
      <w:r>
        <w:rPr>
          <w:shd w:fill="FFFFFF" w:val="clear"/>
        </w:rPr>
        <w:t>Ủy ban</w:t>
      </w:r>
      <w:r>
        <w:rPr/>
        <w:t xml:space="preserve"> nhân dân cấp tỉnh tổ chức và mời tham dự.</w:t>
      </w:r>
    </w:p>
    <w:p>
      <w:pPr>
        <w:pStyle w:val="Normal"/>
        <w:spacing w:lineRule="exact" w:line="320" w:before="120" w:after="120"/>
        <w:ind w:firstLine="720"/>
        <w:jc w:val="both"/>
        <w:rPr/>
      </w:pPr>
      <w:r>
        <w:rPr/>
        <w:t xml:space="preserve">3. Cử người tham gia tổ công tác, ban chỉ đạo, ban nghiên cứu để triển khai thực hiện những nội dung quy định tại Điều 4 Thông tư này; phối hợp giải quyết các vấn đề phát sinh trong quan hệ lao động tại địa phương khi được </w:t>
      </w:r>
      <w:r>
        <w:rPr>
          <w:shd w:fill="FFFFFF" w:val="clear"/>
        </w:rPr>
        <w:t>Ủy ban</w:t>
      </w:r>
      <w:r>
        <w:rPr/>
        <w:t xml:space="preserve"> nhân dân cấp tỉnh yêu cầu.</w:t>
      </w:r>
    </w:p>
    <w:p>
      <w:pPr>
        <w:pStyle w:val="Normal"/>
        <w:spacing w:lineRule="exact" w:line="320" w:before="120" w:after="120"/>
        <w:ind w:firstLine="720"/>
        <w:jc w:val="both"/>
        <w:rPr>
          <w:b/>
          <w:b/>
          <w:bCs/>
        </w:rPr>
      </w:pPr>
      <w:r>
        <w:rPr>
          <w:b/>
          <w:bCs/>
        </w:rPr>
        <w:t>Điều 8. Trách nhiệm tham gia ý kiến của tổ chức đại diện người sử dụng lao động cấp tỉnh</w:t>
      </w:r>
    </w:p>
    <w:p>
      <w:pPr>
        <w:pStyle w:val="Normal"/>
        <w:spacing w:lineRule="exact" w:line="320" w:before="120" w:after="120"/>
        <w:ind w:firstLine="720"/>
        <w:jc w:val="both"/>
        <w:rPr/>
      </w:pPr>
      <w:r>
        <w:rPr/>
        <w:t xml:space="preserve">1. Thu thập, tổng hợp, lấy ý kiến các thành viên, tổ chức thuộc phạm vi quản lý của mình về những nội dung quy định tại Điều 4 Thông tư này để tham gia với </w:t>
      </w:r>
      <w:r>
        <w:rPr>
          <w:shd w:fill="FFFFFF" w:val="clear"/>
        </w:rPr>
        <w:t>Ủy ban</w:t>
      </w:r>
      <w:r>
        <w:rPr/>
        <w:t xml:space="preserve"> nhân dân cấp tỉnh khi được yêu cầu.</w:t>
      </w:r>
    </w:p>
    <w:p>
      <w:pPr>
        <w:pStyle w:val="Normal"/>
        <w:spacing w:lineRule="exact" w:line="320" w:before="120" w:after="120"/>
        <w:ind w:firstLine="720"/>
        <w:jc w:val="both"/>
        <w:rPr/>
      </w:pPr>
      <w:r>
        <w:rPr/>
        <w:t xml:space="preserve">2. Cử người tham dự các cuộc hội nghị, hội thảo và phát biểu tham gia ý kiến về những nội dung được trao đổi, thảo luận tại hội nghị, hội thảo do </w:t>
      </w:r>
      <w:r>
        <w:rPr>
          <w:shd w:fill="FFFFFF" w:val="clear"/>
        </w:rPr>
        <w:t>Ủy ban</w:t>
      </w:r>
      <w:r>
        <w:rPr/>
        <w:t xml:space="preserve"> nhân dân cấp tỉnh tổ chức và mời tham dự.</w:t>
      </w:r>
    </w:p>
    <w:p>
      <w:pPr>
        <w:pStyle w:val="Normal"/>
        <w:spacing w:lineRule="exact" w:line="320" w:before="120" w:after="120"/>
        <w:ind w:firstLine="720"/>
        <w:jc w:val="both"/>
        <w:rPr/>
      </w:pPr>
      <w:r>
        <w:rPr/>
        <w:t xml:space="preserve">3. Cử người tham gia tổ công tác, ban chỉ đạo, ban nghiên cứu để triển khai thực hiện những nội dung quy định tại Điều 4 Thông tư này; phối hợp giải quyết các vấn đề phát sinh trong quan hệ lao động tại địa phương khi được </w:t>
      </w:r>
      <w:r>
        <w:rPr>
          <w:shd w:fill="FFFFFF" w:val="clear"/>
        </w:rPr>
        <w:t>Ủy ban</w:t>
      </w:r>
      <w:r>
        <w:rPr/>
        <w:t xml:space="preserve"> nhân dân cấp tỉnh yêu cầu.</w:t>
      </w:r>
    </w:p>
    <w:p>
      <w:pPr>
        <w:pStyle w:val="Normal"/>
        <w:spacing w:lineRule="exact" w:line="320" w:before="120" w:after="120"/>
        <w:ind w:firstLine="720"/>
        <w:jc w:val="both"/>
        <w:rPr>
          <w:b/>
          <w:b/>
          <w:bCs/>
        </w:rPr>
      </w:pPr>
      <w:r>
        <w:rPr>
          <w:b/>
          <w:bCs/>
        </w:rPr>
        <w:t>Điều 9. Hiệu lực thi hành</w:t>
      </w:r>
    </w:p>
    <w:p>
      <w:pPr>
        <w:pStyle w:val="Normal"/>
        <w:spacing w:lineRule="exact" w:line="320" w:before="120" w:after="120"/>
        <w:ind w:firstLine="720"/>
        <w:jc w:val="both"/>
        <w:rPr/>
      </w:pPr>
      <w:r>
        <w:rPr/>
        <w:t>1. Thông tư này có hiệu lực thi hành kể từ ngày 21 tháng 11 năm 2014.</w:t>
      </w:r>
    </w:p>
    <w:p>
      <w:pPr>
        <w:pStyle w:val="Normal"/>
        <w:spacing w:lineRule="exact" w:line="320" w:before="120" w:after="120"/>
        <w:ind w:firstLine="720"/>
        <w:jc w:val="both"/>
        <w:rPr/>
      </w:pPr>
      <w:r>
        <w:rPr/>
        <w:t>2. Thông tư liên tịch số 04/2006/TTLT/BLĐTBXH-TLĐLĐVN ngày 21 tháng 6 năm 2006 hướng dẫn thi hành khoản 3, Điều 1 Nghị định số 145/2004/NĐ-CP ngày 14 tháng 7 năm 2004 của Chính phủ quy định việc tham gia ý kiến của đại diện người lao động và đại diện người sử dụng lao động với cơ quan nhà nước ở cấp tỉnh trong quan hệ lao động hết hiệu lực thi hành kể từ ngày Thông tư này có hiệu lực thi hành.</w:t>
      </w:r>
    </w:p>
    <w:p>
      <w:pPr>
        <w:pStyle w:val="Normal"/>
        <w:spacing w:lineRule="exact" w:line="320" w:before="120" w:after="120"/>
        <w:ind w:firstLine="720"/>
        <w:jc w:val="both"/>
        <w:rPr/>
      </w:pPr>
      <w:r>
        <w:rPr/>
        <w:t xml:space="preserve">3. Chủ tịch </w:t>
      </w:r>
      <w:r>
        <w:rPr>
          <w:shd w:fill="FFFFFF" w:val="clear"/>
        </w:rPr>
        <w:t>Ủy ban</w:t>
      </w:r>
      <w:r>
        <w:rPr/>
        <w:t xml:space="preserve"> nhân dân tỉnh, </w:t>
      </w:r>
      <w:r>
        <w:rPr>
          <w:shd w:fill="FFFFFF" w:val="clear"/>
        </w:rPr>
        <w:t>thành phố</w:t>
      </w:r>
      <w:r>
        <w:rPr/>
        <w:t xml:space="preserve"> trực thuộc Trung ương có trách nhiệm phân công cơ quan chuyên môn thực hiện các nội dung quy định tại Thông tư này.</w:t>
      </w:r>
    </w:p>
    <w:p>
      <w:pPr>
        <w:pStyle w:val="Normal"/>
        <w:spacing w:lineRule="exact" w:line="320" w:before="120" w:after="120"/>
        <w:ind w:firstLine="720"/>
        <w:jc w:val="both"/>
        <w:rPr/>
      </w:pPr>
      <w:r>
        <w:rPr/>
        <w:t>4. Đề nghị Chủ tịch Tổng Liên đoàn Lao động Việt Nam, Chủ tịch Phòng Thương mại và Công nghiệp Việt Nam, Chủ tịch Hiệp hội Doanh nghiệp nhỏ và vừa Việt Nam, Chủ tịch Liên minh Hợp tác xã Việt Nam chỉ đạo, hướng dẫn các tổ chức thành viên cấp tỉnh thực hiện theo quy định tại Thông tư này.</w:t>
      </w:r>
    </w:p>
    <w:p>
      <w:pPr>
        <w:pStyle w:val="Normal"/>
        <w:spacing w:lineRule="exact" w:line="320" w:before="120" w:after="120"/>
        <w:ind w:firstLine="720"/>
        <w:jc w:val="both"/>
        <w:rPr/>
      </w:pPr>
      <w:r>
        <w:rPr/>
        <w:t>5. Trong quá trình thực hiện, nếu có vướng mắc, đề nghị các cơ quan, tổ chức, cá nhân phản ánh về Bộ Lao động - Thương binh và Xã hội để được hướng dẫn, bổ sung./.</w:t>
      </w:r>
    </w:p>
    <w:tbl>
      <w:tblPr>
        <w:tblW w:w="8856" w:type="dxa"/>
        <w:jc w:val="left"/>
        <w:tblInd w:w="-108" w:type="dxa"/>
        <w:tblLayout w:type="fixed"/>
        <w:tblCellMar>
          <w:top w:w="0" w:type="dxa"/>
          <w:left w:w="108" w:type="dxa"/>
          <w:bottom w:w="0" w:type="dxa"/>
          <w:right w:w="108" w:type="dxa"/>
        </w:tblCellMar>
      </w:tblPr>
      <w:tblGrid>
        <w:gridCol w:w="4608"/>
        <w:gridCol w:w="4248"/>
      </w:tblGrid>
      <w:tr>
        <w:trPr/>
        <w:tc>
          <w:tcPr>
            <w:tcW w:w="4608" w:type="dxa"/>
            <w:tcBorders/>
          </w:tcPr>
          <w:p>
            <w:pPr>
              <w:pStyle w:val="Normal"/>
              <w:spacing w:before="120" w:after="0"/>
              <w:rPr/>
            </w:pPr>
            <w:r>
              <w:rPr/>
              <w:t> </w:t>
            </w:r>
            <w:r>
              <w:rPr>
                <w:b/>
                <w:bCs/>
                <w:i/>
                <w:iCs/>
              </w:rPr>
              <w:t>Nơi nhận:</w:t>
            </w:r>
            <w:r>
              <w:rPr>
                <w:sz w:val="22"/>
                <w:szCs w:val="22"/>
              </w:rPr>
              <w:br/>
              <w:t xml:space="preserve">- Thủ tướng, các Phó Thủ tướng </w:t>
            </w:r>
            <w:r>
              <w:rPr>
                <w:sz w:val="22"/>
                <w:szCs w:val="22"/>
                <w:shd w:fill="FFFFFF" w:val="clear"/>
              </w:rPr>
              <w:t>Chính phủ</w:t>
            </w:r>
            <w:r>
              <w:rPr>
                <w:sz w:val="22"/>
                <w:szCs w:val="22"/>
              </w:rPr>
              <w:t>;</w:t>
              <w:br/>
              <w:t>- Các Bộ, cơ quan ngang Bộ, cơ quan thuộc CP;</w:t>
              <w:br/>
              <w:t>- HĐND, UBND các tỉnh, TP trực thuộc TW;</w:t>
              <w:br/>
              <w:t xml:space="preserve">- Văn phòng Trung ương và các Ban </w:t>
            </w:r>
            <w:r>
              <w:rPr>
                <w:sz w:val="22"/>
                <w:szCs w:val="22"/>
                <w:shd w:fill="FFFFFF" w:val="clear"/>
              </w:rPr>
              <w:t>của</w:t>
            </w:r>
            <w:r>
              <w:rPr>
                <w:sz w:val="22"/>
                <w:szCs w:val="22"/>
              </w:rPr>
              <w:t xml:space="preserve"> Đảng;</w:t>
              <w:br/>
              <w:t>- Văn phòng Tổng Bí thư;</w:t>
              <w:br/>
              <w:t>- Văn phòng Chủ tịch nước;</w:t>
              <w:br/>
              <w:t xml:space="preserve">- Hội đồng Dân tộc và các </w:t>
            </w:r>
            <w:r>
              <w:rPr>
                <w:sz w:val="22"/>
                <w:szCs w:val="22"/>
                <w:shd w:fill="FFFFFF" w:val="clear"/>
              </w:rPr>
              <w:t>Ủy ban</w:t>
            </w:r>
            <w:r>
              <w:rPr>
                <w:sz w:val="22"/>
                <w:szCs w:val="22"/>
              </w:rPr>
              <w:t xml:space="preserve"> của Quốc hội;</w:t>
              <w:br/>
              <w:t>- Văn phòng Quốc hội;</w:t>
              <w:br/>
              <w:t>- Tòa án nhân dân tối cao;</w:t>
              <w:br/>
              <w:t>- Viện kiểm sát nhân dân tối cao;</w:t>
              <w:br/>
              <w:t>- Kiểm toán Nhà nước;</w:t>
              <w:br/>
              <w:t>- UBTW Mặt trận Tổ quốc Việt Nam;</w:t>
              <w:br/>
              <w:t>- Sở LĐ-TBXH các tỉnh, thành phố trực thuộc TW;</w:t>
              <w:br/>
              <w:t xml:space="preserve">- Cơ quan Trung ương </w:t>
            </w:r>
            <w:r>
              <w:rPr>
                <w:sz w:val="22"/>
                <w:szCs w:val="22"/>
                <w:shd w:fill="FFFFFF" w:val="clear"/>
              </w:rPr>
              <w:t>của</w:t>
            </w:r>
            <w:r>
              <w:rPr>
                <w:sz w:val="22"/>
                <w:szCs w:val="22"/>
              </w:rPr>
              <w:t xml:space="preserve"> các đoàn thể;</w:t>
              <w:br/>
              <w:t>- VPCP: BTCN, các PCN, Trợ lý TTCP, Cổng TTĐT, các Vụ, Cục, đơn vị trực thuộc, Công báo;</w:t>
              <w:br/>
              <w:t>- Bộ Tư pháp (Cục Kiểm tra văn bản);</w:t>
              <w:br/>
              <w:t>- Lưu: Văn thư, Vụ LĐTL, PC.</w:t>
            </w:r>
          </w:p>
        </w:tc>
        <w:tc>
          <w:tcPr>
            <w:tcW w:w="4248" w:type="dxa"/>
            <w:tcBorders/>
          </w:tcPr>
          <w:p>
            <w:pPr>
              <w:pStyle w:val="Normal"/>
              <w:jc w:val="center"/>
              <w:rPr>
                <w:b/>
                <w:b/>
              </w:rPr>
            </w:pPr>
            <w:r>
              <w:rPr>
                <w:b/>
                <w:bCs/>
              </w:rPr>
              <w:t>KT. BỘ TRƯỞNG</w:t>
              <w:br/>
              <w:t>THỨ TRƯỞNG</w:t>
              <w:br/>
              <w:br/>
              <w:t>(</w:t>
            </w:r>
            <w:r>
              <w:rPr>
                <w:b/>
                <w:bCs/>
                <w:lang w:val="vi-VN"/>
              </w:rPr>
              <w:t>Đã ký</w:t>
            </w:r>
            <w:r>
              <w:rPr>
                <w:b/>
                <w:bCs/>
              </w:rPr>
              <w:t>)</w:t>
              <w:br/>
              <w:br/>
              <w:br/>
              <w:t>Phạm Minh Huân</w:t>
            </w:r>
          </w:p>
        </w:tc>
      </w:tr>
    </w:tbl>
    <w:p>
      <w:pPr>
        <w:pStyle w:val="Normal"/>
        <w:spacing w:before="120" w:after="280"/>
        <w:rPr/>
      </w:pPr>
      <w:r>
        <w:rPr/>
        <w:t> </w:t>
      </w:r>
    </w:p>
    <w:sectPr>
      <w:type w:val="nextPage"/>
      <w:pgSz w:w="11906" w:h="16838"/>
      <w:pgMar w:left="1701" w:right="850" w:gutter="0" w:header="0" w:top="1134" w:footer="0" w:bottom="899"/>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2014-11-01T10:19:00Z</dcterms:created>
  <dc:creator>User</dc:creator>
  <dc:description/>
  <cp:keywords/>
  <dc:language>en-US</dc:language>
  <cp:lastModifiedBy>User</cp:lastModifiedBy>
  <dcterms:modified xsi:type="dcterms:W3CDTF">2014-11-04T16:24:00Z</dcterms:modified>
  <cp:revision>3</cp:revision>
  <dc:subject/>
  <dc:title>BỘ LAO ĐỘNG - THƯƠNG BINH VÀ XÃ HỘI</dc:title>
</cp:coreProperties>
</file>