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12" w:type="dxa"/>
        <w:jc w:val="left"/>
        <w:tblInd w:w="0" w:type="dxa"/>
        <w:tblLayout w:type="fixed"/>
        <w:tblCellMar>
          <w:top w:w="0" w:type="dxa"/>
          <w:left w:w="108" w:type="dxa"/>
          <w:bottom w:w="0" w:type="dxa"/>
          <w:right w:w="108" w:type="dxa"/>
        </w:tblCellMar>
      </w:tblPr>
      <w:tblGrid>
        <w:gridCol w:w="3000"/>
        <w:gridCol w:w="240"/>
        <w:gridCol w:w="5372"/>
      </w:tblGrid>
      <w:tr>
        <w:trPr/>
        <w:tc>
          <w:tcPr>
            <w:tcW w:w="3000" w:type="dxa"/>
            <w:tcBorders/>
          </w:tcPr>
          <w:p>
            <w:pPr>
              <w:pStyle w:val="Normal"/>
              <w:widowControl w:val="false"/>
              <w:jc w:val="center"/>
              <w:rPr>
                <w:b/>
                <w:b/>
                <w:bCs/>
                <w:color w:val="0000FF"/>
                <w:lang w:val="nl-NL"/>
              </w:rPr>
            </w:pPr>
            <w:r>
              <w:rPr>
                <w:b/>
                <w:bCs/>
                <w:color w:val="0000FF"/>
                <w:lang w:val="nl-NL"/>
              </w:rPr>
              <w:t>BỘ TÀI CHÍNH</w:t>
            </w:r>
          </w:p>
        </w:tc>
        <w:tc>
          <w:tcPr>
            <w:tcW w:w="240" w:type="dxa"/>
            <w:tcBorders/>
          </w:tcPr>
          <w:p>
            <w:pPr>
              <w:pStyle w:val="Normal"/>
              <w:widowControl w:val="false"/>
              <w:snapToGrid w:val="false"/>
              <w:jc w:val="center"/>
              <w:rPr>
                <w:b/>
                <w:b/>
                <w:bCs/>
                <w:color w:val="0000FF"/>
                <w:lang w:val="nl-NL"/>
              </w:rPr>
            </w:pPr>
            <w:r>
              <w:rPr>
                <w:b/>
                <w:bCs/>
                <w:color w:val="0000FF"/>
                <w:lang w:val="nl-NL"/>
              </w:rPr>
            </w:r>
          </w:p>
        </w:tc>
        <w:tc>
          <w:tcPr>
            <w:tcW w:w="5372" w:type="dxa"/>
            <w:tcBorders/>
          </w:tcPr>
          <w:p>
            <w:pPr>
              <w:pStyle w:val="Normal"/>
              <w:widowControl w:val="false"/>
              <w:jc w:val="center"/>
              <w:rPr>
                <w:b/>
                <w:b/>
                <w:bCs/>
                <w:color w:val="0000FF"/>
                <w:lang w:val="nl-NL"/>
              </w:rPr>
            </w:pPr>
            <w:r>
              <w:rPr>
                <w:b/>
                <w:bCs/>
                <w:color w:val="0000FF"/>
                <w:lang w:val="nl-NL"/>
              </w:rPr>
              <w:t>CỘNG HOÀ XÃ HỘI CHỦ NGHĨA VIỆT NAM</w:t>
            </w:r>
          </w:p>
        </w:tc>
      </w:tr>
      <w:tr>
        <w:trPr/>
        <w:tc>
          <w:tcPr>
            <w:tcW w:w="3000" w:type="dxa"/>
            <w:tcBorders/>
          </w:tcPr>
          <w:p>
            <w:pPr>
              <w:pStyle w:val="Normal"/>
              <w:widowControl w:val="false"/>
              <w:jc w:val="center"/>
              <w:rPr>
                <w:bCs/>
                <w:color w:val="0000FF"/>
                <w:lang w:val="nl-NL"/>
              </w:rPr>
            </w:pPr>
            <w:r>
              <w:rPr>
                <w:bCs/>
                <w:color w:val="0000FF"/>
                <w:lang w:val="nl-NL"/>
              </w:rPr>
              <w:t>----------</w:t>
            </w:r>
          </w:p>
        </w:tc>
        <w:tc>
          <w:tcPr>
            <w:tcW w:w="240" w:type="dxa"/>
            <w:tcBorders/>
          </w:tcPr>
          <w:p>
            <w:pPr>
              <w:pStyle w:val="Normal"/>
              <w:widowControl w:val="false"/>
              <w:snapToGrid w:val="false"/>
              <w:jc w:val="center"/>
              <w:rPr>
                <w:b/>
                <w:b/>
                <w:bCs/>
                <w:color w:val="0000FF"/>
                <w:lang w:val="nl-NL"/>
              </w:rPr>
            </w:pPr>
            <w:r>
              <w:rPr>
                <w:b/>
                <w:bCs/>
                <w:color w:val="0000FF"/>
                <w:lang w:val="nl-NL"/>
              </w:rPr>
            </w:r>
          </w:p>
        </w:tc>
        <w:tc>
          <w:tcPr>
            <w:tcW w:w="5372" w:type="dxa"/>
            <w:tcBorders/>
          </w:tcPr>
          <w:p>
            <w:pPr>
              <w:pStyle w:val="Normal"/>
              <w:widowControl w:val="false"/>
              <w:jc w:val="center"/>
              <w:rPr/>
            </w:pPr>
            <w:r>
              <w:rPr>
                <w:b/>
                <w:bCs/>
                <w:color w:val="0000FF"/>
                <w:lang w:val="nl-NL"/>
              </w:rPr>
              <w:t xml:space="preserve">Độc lập </w:t>
            </w:r>
            <w:r>
              <w:rPr>
                <w:bCs/>
                <w:color w:val="0000FF"/>
                <w:lang w:val="nl-NL"/>
              </w:rPr>
              <w:t>–</w:t>
            </w:r>
            <w:r>
              <w:rPr>
                <w:b/>
                <w:bCs/>
                <w:color w:val="0000FF"/>
                <w:lang w:val="nl-NL"/>
              </w:rPr>
              <w:t xml:space="preserve"> Tự do </w:t>
            </w:r>
            <w:r>
              <w:rPr>
                <w:bCs/>
                <w:color w:val="0000FF"/>
                <w:lang w:val="nl-NL"/>
              </w:rPr>
              <w:t>–</w:t>
            </w:r>
            <w:r>
              <w:rPr>
                <w:b/>
                <w:bCs/>
                <w:color w:val="0000FF"/>
                <w:lang w:val="nl-NL"/>
              </w:rPr>
              <w:t xml:space="preserve"> Hạnh phúc</w:t>
            </w:r>
          </w:p>
        </w:tc>
      </w:tr>
      <w:tr>
        <w:trPr/>
        <w:tc>
          <w:tcPr>
            <w:tcW w:w="3000" w:type="dxa"/>
            <w:tcBorders/>
          </w:tcPr>
          <w:p>
            <w:pPr>
              <w:pStyle w:val="Normal"/>
              <w:widowControl w:val="false"/>
              <w:jc w:val="center"/>
              <w:rPr/>
            </w:pPr>
            <w:r>
              <w:rPr>
                <w:color w:val="0000FF"/>
                <w:lang w:val="nl-NL"/>
              </w:rPr>
              <w:t>Số: 06/2010</w:t>
            </w:r>
            <w:r>
              <w:rPr>
                <w:b/>
                <w:color w:val="0000FF"/>
                <w:lang w:val="nl-NL"/>
              </w:rPr>
              <w:t>/</w:t>
            </w:r>
            <w:r>
              <w:rPr>
                <w:color w:val="0000FF"/>
                <w:lang w:val="nl-NL"/>
              </w:rPr>
              <w:t>TT-BTC</w:t>
            </w:r>
          </w:p>
        </w:tc>
        <w:tc>
          <w:tcPr>
            <w:tcW w:w="240" w:type="dxa"/>
            <w:tcBorders/>
          </w:tcPr>
          <w:p>
            <w:pPr>
              <w:pStyle w:val="Normal"/>
              <w:widowControl w:val="false"/>
              <w:snapToGrid w:val="false"/>
              <w:jc w:val="center"/>
              <w:rPr>
                <w:color w:val="0000FF"/>
                <w:lang w:val="nl-NL"/>
              </w:rPr>
            </w:pPr>
            <w:r>
              <w:rPr>
                <w:color w:val="0000FF"/>
                <w:lang w:val="nl-NL"/>
              </w:rPr>
            </w:r>
          </w:p>
        </w:tc>
        <w:tc>
          <w:tcPr>
            <w:tcW w:w="5372" w:type="dxa"/>
            <w:tcBorders/>
          </w:tcPr>
          <w:p>
            <w:pPr>
              <w:pStyle w:val="Normal"/>
              <w:widowControl w:val="false"/>
              <w:jc w:val="center"/>
              <w:rPr>
                <w:color w:val="0000FF"/>
                <w:lang w:val="nl-NL"/>
              </w:rPr>
            </w:pPr>
            <w:r>
              <w:rPr>
                <w:color w:val="0000FF"/>
                <w:lang w:val="nl-NL"/>
              </w:rPr>
              <w:t>-------------------------------------</w:t>
            </w:r>
          </w:p>
        </w:tc>
      </w:tr>
      <w:tr>
        <w:trPr/>
        <w:tc>
          <w:tcPr>
            <w:tcW w:w="3000" w:type="dxa"/>
            <w:tcBorders/>
          </w:tcPr>
          <w:p>
            <w:pPr>
              <w:pStyle w:val="Normal"/>
              <w:widowControl w:val="false"/>
              <w:snapToGrid w:val="false"/>
              <w:jc w:val="center"/>
              <w:rPr>
                <w:color w:val="0000FF"/>
                <w:lang w:val="nl-NL"/>
              </w:rPr>
            </w:pPr>
            <w:r>
              <w:rPr>
                <w:color w:val="0000FF"/>
                <w:lang w:val="nl-NL"/>
              </w:rPr>
            </w:r>
          </w:p>
        </w:tc>
        <w:tc>
          <w:tcPr>
            <w:tcW w:w="240" w:type="dxa"/>
            <w:tcBorders/>
          </w:tcPr>
          <w:p>
            <w:pPr>
              <w:pStyle w:val="Normal"/>
              <w:widowControl w:val="false"/>
              <w:snapToGrid w:val="false"/>
              <w:jc w:val="center"/>
              <w:rPr>
                <w:color w:val="0000FF"/>
                <w:lang w:val="nl-NL"/>
              </w:rPr>
            </w:pPr>
            <w:r>
              <w:rPr>
                <w:color w:val="0000FF"/>
                <w:lang w:val="nl-NL"/>
              </w:rPr>
            </w:r>
          </w:p>
        </w:tc>
        <w:tc>
          <w:tcPr>
            <w:tcW w:w="5372" w:type="dxa"/>
            <w:tcBorders/>
          </w:tcPr>
          <w:p>
            <w:pPr>
              <w:pStyle w:val="Heading7"/>
              <w:keepNext w:val="false"/>
              <w:widowControl w:val="false"/>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Hà Nội, ngày 13 tháng 01 năm 2010</w:t>
            </w:r>
          </w:p>
        </w:tc>
      </w:tr>
    </w:tbl>
    <w:p>
      <w:pPr>
        <w:pStyle w:val="Normal"/>
        <w:widowControl w:val="false"/>
        <w:rPr>
          <w:color w:val="0000FF"/>
          <w:lang w:val="nl-NL"/>
        </w:rPr>
      </w:pPr>
      <w:r>
        <w:rPr>
          <w:color w:val="0000FF"/>
          <w:lang w:val="nl-NL"/>
        </w:rPr>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t>THÔNG TƯ</w:t>
      </w:r>
    </w:p>
    <w:p>
      <w:pPr>
        <w:pStyle w:val="Normal"/>
        <w:widowControl w:val="false"/>
        <w:jc w:val="center"/>
        <w:rPr/>
      </w:pPr>
      <w:r>
        <w:rPr>
          <w:b/>
          <w:color w:val="0000FF"/>
          <w:spacing w:val="-8"/>
          <w:kern w:val="2"/>
          <w:lang w:val="pt-BR"/>
        </w:rPr>
        <w:t xml:space="preserve">Hướng dẫn xác định doanh thu tính thuế </w:t>
      </w:r>
      <w:r>
        <w:rPr>
          <w:b/>
          <w:color w:val="0000FF"/>
          <w:lang w:val="pt-BR"/>
        </w:rPr>
        <w:t>thu nhập doanh nghiệp</w:t>
      </w:r>
      <w:r>
        <w:rPr>
          <w:b/>
          <w:color w:val="0000FF"/>
          <w:spacing w:val="-8"/>
          <w:kern w:val="2"/>
          <w:lang w:val="pt-BR"/>
        </w:rPr>
        <w:t xml:space="preserve"> </w:t>
      </w:r>
    </w:p>
    <w:p>
      <w:pPr>
        <w:pStyle w:val="Normal"/>
        <w:widowControl w:val="false"/>
        <w:jc w:val="center"/>
        <w:rPr>
          <w:b/>
          <w:b/>
          <w:color w:val="0000FF"/>
          <w:lang w:val="pt-BR"/>
        </w:rPr>
      </w:pPr>
      <w:r>
        <w:rPr>
          <w:b/>
          <w:color w:val="0000FF"/>
          <w:spacing w:val="-8"/>
          <w:kern w:val="2"/>
          <w:lang w:val="pt-BR"/>
        </w:rPr>
        <w:t xml:space="preserve">đối với hoạt động bán vé, </w:t>
      </w:r>
      <w:r>
        <w:rPr>
          <w:b/>
          <w:color w:val="0000FF"/>
          <w:lang w:val="pt-BR"/>
        </w:rPr>
        <w:t xml:space="preserve">bán </w:t>
      </w:r>
      <w:r>
        <w:rPr>
          <w:b/>
          <w:color w:val="0000FF"/>
          <w:spacing w:val="-8"/>
          <w:kern w:val="2"/>
          <w:lang w:val="pt-BR"/>
        </w:rPr>
        <w:t>thẻ hội viên sân gôn</w:t>
      </w:r>
    </w:p>
    <w:p>
      <w:pPr>
        <w:pStyle w:val="Normal"/>
        <w:widowControl w:val="false"/>
        <w:jc w:val="center"/>
        <w:rPr>
          <w:color w:val="0000FF"/>
          <w:lang w:val="nl-NL"/>
        </w:rPr>
      </w:pPr>
      <w:r>
        <w:rPr>
          <w:color w:val="0000FF"/>
          <w:lang w:val="nl-NL"/>
        </w:rPr>
        <w:t>----------------------------------</w:t>
      </w:r>
    </w:p>
    <w:p>
      <w:pPr>
        <w:pStyle w:val="Normal"/>
        <w:widowControl w:val="false"/>
        <w:spacing w:before="120" w:after="120"/>
        <w:jc w:val="both"/>
        <w:rPr>
          <w:color w:val="0000FF"/>
          <w:lang w:val="nl-NL"/>
        </w:rPr>
      </w:pPr>
      <w:r>
        <w:rPr>
          <w:color w:val="0000FF"/>
          <w:lang w:val="nl-NL"/>
        </w:rPr>
      </w:r>
    </w:p>
    <w:p>
      <w:pPr>
        <w:pStyle w:val="Normal"/>
        <w:spacing w:before="120" w:after="0"/>
        <w:ind w:firstLine="720"/>
        <w:jc w:val="both"/>
        <w:rPr>
          <w:color w:val="0000FF"/>
          <w:lang w:val="nl-NL"/>
        </w:rPr>
      </w:pPr>
      <w:r>
        <w:rPr>
          <w:color w:val="0000FF"/>
          <w:lang w:val="nl-NL"/>
        </w:rPr>
        <w:t xml:space="preserve">Căn cứ Luật thuế thu nhập doanh nghiệp số 14/2008/QH12 ngày 03 tháng 6 năm 2008 và Nghị định số 124/2008/NĐ-CP ngày 11 tháng 12 năm 2008 của Chính phủ </w:t>
      </w:r>
      <w:r>
        <w:rPr>
          <w:bCs/>
          <w:color w:val="0000FF"/>
          <w:lang w:val="nl-NL"/>
        </w:rPr>
        <w:t>quy định chi tiết và hướng dẫn thi hành một số điều của Luật Thuế thu nhập doanh nghiệp;</w:t>
      </w:r>
    </w:p>
    <w:p>
      <w:pPr>
        <w:pStyle w:val="Normal"/>
        <w:widowControl w:val="false"/>
        <w:spacing w:before="120" w:after="0"/>
        <w:ind w:firstLine="720"/>
        <w:jc w:val="both"/>
        <w:rPr>
          <w:rFonts w:eastAsia="SimSun;宋体"/>
          <w:color w:val="0000FF"/>
          <w:lang w:val="nl-NL"/>
        </w:rPr>
      </w:pPr>
      <w:r>
        <w:rPr>
          <w:rFonts w:eastAsia="SimSun;宋体"/>
          <w:color w:val="0000FF"/>
          <w:lang w:val="nl-NL"/>
        </w:rPr>
        <w:t>Căn cứ Nghị định số 118/2008/NĐ-CP ngày 27 tháng 11 năm 2008 của Chính phủ quy định chức năng, nhiệm vụ, quyền hạn và cơ cấu tổ chức của Bộ Tài chính;</w:t>
      </w:r>
    </w:p>
    <w:p>
      <w:pPr>
        <w:pStyle w:val="Normal"/>
        <w:widowControl w:val="false"/>
        <w:spacing w:before="120" w:after="0"/>
        <w:ind w:firstLine="720"/>
        <w:jc w:val="both"/>
        <w:rPr/>
      </w:pPr>
      <w:r>
        <w:rPr>
          <w:bCs/>
          <w:color w:val="0000FF"/>
          <w:lang w:val="nl-NL"/>
        </w:rPr>
        <w:t xml:space="preserve">Bộ Tài chính hướng dẫn bổ sung </w:t>
      </w:r>
      <w:r>
        <w:rPr>
          <w:color w:val="0000FF"/>
          <w:lang w:val="nl-NL"/>
        </w:rPr>
        <w:t>cách xác định doanh thu tính thuế thu nhập doanh nghiệp đối với hoạt động bán vé, bán thẻ hội viên sân gôn</w:t>
      </w:r>
      <w:r>
        <w:rPr>
          <w:bCs/>
          <w:color w:val="0000FF"/>
          <w:lang w:val="nl-NL"/>
        </w:rPr>
        <w:t xml:space="preserve"> như sau:</w:t>
      </w:r>
    </w:p>
    <w:p>
      <w:pPr>
        <w:pStyle w:val="Normal"/>
        <w:spacing w:before="120" w:after="0"/>
        <w:ind w:firstLine="561"/>
        <w:jc w:val="both"/>
        <w:rPr>
          <w:b/>
          <w:b/>
          <w:color w:val="0000FF"/>
          <w:lang w:val="nl-NL"/>
        </w:rPr>
      </w:pPr>
      <w:r>
        <w:rPr>
          <w:b/>
          <w:color w:val="0000FF"/>
          <w:lang w:val="nl-NL"/>
        </w:rPr>
        <w:t>Điều 1. Sửa đổi điểm 3.9 khoản 3 mục III phần C Thông tư số 130/2008/TT-BTC ngày 26 tháng 12 năm 2008 của Bộ Tài chính như sau</w:t>
      </w:r>
    </w:p>
    <w:p>
      <w:pPr>
        <w:pStyle w:val="Normal"/>
        <w:spacing w:before="120" w:after="0"/>
        <w:ind w:firstLine="720"/>
        <w:jc w:val="both"/>
        <w:rPr/>
      </w:pPr>
      <w:r>
        <w:rPr>
          <w:rFonts w:eastAsia="SimSun;宋体"/>
          <w:color w:val="0000FF"/>
          <w:lang w:val="pt-BR"/>
        </w:rPr>
        <w:t>“</w:t>
      </w:r>
      <w:r>
        <w:rPr>
          <w:rFonts w:eastAsia="SimSun;宋体"/>
          <w:color w:val="0000FF"/>
          <w:lang w:val="vi-VN"/>
        </w:rPr>
        <w:t>3.</w:t>
      </w:r>
      <w:r>
        <w:rPr>
          <w:rFonts w:eastAsia="SimSun;宋体"/>
          <w:color w:val="0000FF"/>
          <w:lang w:val="nl-NL"/>
        </w:rPr>
        <w:t>9</w:t>
      </w:r>
      <w:r>
        <w:rPr>
          <w:rFonts w:eastAsia="SimSun;宋体"/>
          <w:color w:val="0000FF"/>
          <w:lang w:val="vi-VN"/>
        </w:rPr>
        <w:t xml:space="preserve">. </w:t>
      </w:r>
      <w:r>
        <w:rPr>
          <w:rFonts w:eastAsia="SimSun;宋体"/>
          <w:color w:val="0000FF"/>
          <w:lang w:val="nl-NL"/>
        </w:rPr>
        <w:t>Đối với hoạt động kinh doanh sân gôn là tiền bán thẻ hội viên, bán vé chơi gôn và các khoản thu khác trong kỳ tính thuế được xác định như sau:</w:t>
      </w:r>
    </w:p>
    <w:p>
      <w:pPr>
        <w:pStyle w:val="Normal"/>
        <w:spacing w:before="120" w:after="0"/>
        <w:ind w:firstLine="720"/>
        <w:jc w:val="both"/>
        <w:rPr>
          <w:rFonts w:eastAsia="SimSun;宋体"/>
          <w:color w:val="0000FF"/>
          <w:lang w:val="pt-BR"/>
        </w:rPr>
      </w:pPr>
      <w:r>
        <w:rPr>
          <w:rFonts w:eastAsia="SimSun;宋体"/>
          <w:color w:val="0000FF"/>
          <w:lang w:val="pt-BR"/>
        </w:rPr>
        <w:t>a) Đối với hình thức bán vé, bán thẻ chơi gôn theo ngày, doanh thu kinh doanh sân gôn làm căn cứ xác định thu nhập tính thuế thu nhập doanh nghiệp là số tiền thu được từ bán vé, bán thẻ phát sinh trong kỳ tính thuế.</w:t>
      </w:r>
    </w:p>
    <w:p>
      <w:pPr>
        <w:pStyle w:val="Normal"/>
        <w:spacing w:before="120" w:after="0"/>
        <w:ind w:firstLine="720"/>
        <w:jc w:val="both"/>
        <w:rPr/>
      </w:pPr>
      <w:r>
        <w:rPr>
          <w:color w:val="0000FF"/>
          <w:lang w:val="pt-BR"/>
        </w:rPr>
        <w:t>b) Đ</w:t>
      </w:r>
      <w:r>
        <w:rPr>
          <w:rFonts w:eastAsia="SimSun;宋体"/>
          <w:color w:val="0000FF"/>
          <w:lang w:val="pt-BR"/>
        </w:rPr>
        <w:t>ối với hình thức bán vé, bán thẻ hội viên loại thẻ trả trước cho nhiều năm, doanh thu làm căn cứ xác định thu nhập tính thuế thu nhập doanh nghiệp của từng năm là số tiền bán thẻ thực thu được</w:t>
      </w:r>
      <w:r>
        <w:rPr>
          <w:rFonts w:eastAsia="SimSun;宋体"/>
          <w:i/>
          <w:color w:val="0000FF"/>
          <w:lang w:val="pt-BR"/>
        </w:rPr>
        <w:t xml:space="preserve"> </w:t>
      </w:r>
      <w:r>
        <w:rPr>
          <w:rFonts w:eastAsia="SimSun;宋体"/>
          <w:color w:val="0000FF"/>
          <w:lang w:val="pt-BR"/>
        </w:rPr>
        <w:t>chia cho số năm sử dụng thẻ.</w:t>
      </w:r>
    </w:p>
    <w:p>
      <w:pPr>
        <w:pStyle w:val="Normal"/>
        <w:spacing w:before="120" w:after="0"/>
        <w:ind w:firstLine="720"/>
        <w:jc w:val="both"/>
        <w:rPr/>
      </w:pPr>
      <w:r>
        <w:rPr>
          <w:rFonts w:eastAsia="SimSun;宋体"/>
          <w:color w:val="0000FF"/>
          <w:lang w:val="pt-BR"/>
        </w:rPr>
        <w:t xml:space="preserve">Ví dụ 1: Công ty TNHH A1 là doanh nghiệp kinh doanh sân gôn, năm 2009 Công ty bán 1 thẻ hội viên cho khách hàng B1 với giá là 36.000 USD (đã có </w:t>
      </w:r>
      <w:r>
        <w:rPr>
          <w:color w:val="0000FF"/>
          <w:lang w:val="pt-BR"/>
        </w:rPr>
        <w:t>thuế tiêu thụ đặc biệt và chưa có thuế giá trị gia tăng)</w:t>
      </w:r>
      <w:r>
        <w:rPr>
          <w:rFonts w:eastAsia="SimSun;宋体"/>
          <w:color w:val="0000FF"/>
          <w:lang w:val="pt-BR"/>
        </w:rPr>
        <w:t>, thời hạn cung cấp dịch vụ là 40 năm, thanh toán 1 lần ngay thời điểm mua thẻ.</w:t>
      </w:r>
    </w:p>
    <w:p>
      <w:pPr>
        <w:pStyle w:val="Normal"/>
        <w:spacing w:before="120" w:after="0"/>
        <w:ind w:firstLine="720"/>
        <w:jc w:val="both"/>
        <w:rPr>
          <w:rFonts w:eastAsia="SimSun;宋体"/>
          <w:color w:val="0000FF"/>
          <w:lang w:val="pt-BR"/>
        </w:rPr>
      </w:pPr>
      <w:r>
        <w:rPr>
          <w:rFonts w:eastAsia="SimSun;宋体"/>
          <w:color w:val="0000FF"/>
          <w:lang w:val="pt-BR"/>
        </w:rPr>
        <w:t>Trường hợp này, khi xác định doanh thu tính thuế thu nhập doanh nghiệp đối với hoạt động bán thẻ hội viên sân gôn cho khách hàng B1, hàng năm Công ty TNHH A1 thực hiện phân bổ doanh thu thu được do bán thẻ theo thời hạn thẻ (36.000 USD chia (:) 40 năm bằng (=) 900 USD/năm)</w:t>
      </w:r>
    </w:p>
    <w:p>
      <w:pPr>
        <w:pStyle w:val="Normal"/>
        <w:spacing w:before="120" w:after="0"/>
        <w:ind w:firstLine="720"/>
        <w:jc w:val="both"/>
        <w:rPr>
          <w:rFonts w:eastAsia="SimSun;宋体"/>
          <w:color w:val="0000FF"/>
          <w:lang w:val="pt-BR"/>
        </w:rPr>
      </w:pPr>
      <w:r>
        <w:rPr>
          <w:rFonts w:eastAsia="SimSun;宋体"/>
          <w:color w:val="0000FF"/>
          <w:lang w:val="pt-BR"/>
        </w:rPr>
        <w:t xml:space="preserve">Ví dụ 2: Công ty TNHH A2 là doanh nghiệp kinh doanh sân gôn, năm 2009 Công ty bán 1 thẻ hội viên cho khách hàng B2 với giá là 36.000 USD (đã có </w:t>
      </w:r>
      <w:r>
        <w:rPr>
          <w:color w:val="0000FF"/>
          <w:lang w:val="pt-BR"/>
        </w:rPr>
        <w:t>thuế tiêu thụ đặc biệt và chưa có thuế giá trị gia tăng)</w:t>
      </w:r>
      <w:r>
        <w:rPr>
          <w:rFonts w:eastAsia="SimSun;宋体"/>
          <w:color w:val="0000FF"/>
          <w:lang w:val="pt-BR"/>
        </w:rPr>
        <w:t>, thời hạn cung cấp dịch vụ là 40 năm, thời hạn thanh toán trong 5 năm đầu tiên theo hợp đồng như sau:</w:t>
      </w:r>
    </w:p>
    <w:p>
      <w:pPr>
        <w:pStyle w:val="Normal"/>
        <w:spacing w:before="120" w:after="0"/>
        <w:ind w:firstLine="720"/>
        <w:jc w:val="both"/>
        <w:rPr>
          <w:rFonts w:eastAsia="SimSun;宋体"/>
          <w:color w:val="0000FF"/>
          <w:lang w:val="pt-BR"/>
        </w:rPr>
      </w:pPr>
      <w:r>
        <w:rPr>
          <w:rFonts w:eastAsia="SimSun;宋体"/>
          <w:color w:val="0000FF"/>
          <w:lang w:val="pt-BR"/>
        </w:rPr>
      </w:r>
    </w:p>
    <w:tbl>
      <w:tblPr>
        <w:tblW w:w="4800" w:type="dxa"/>
        <w:jc w:val="center"/>
        <w:tblInd w:w="0" w:type="dxa"/>
        <w:tblLayout w:type="fixed"/>
        <w:tblCellMar>
          <w:top w:w="0" w:type="dxa"/>
          <w:left w:w="108" w:type="dxa"/>
          <w:bottom w:w="0" w:type="dxa"/>
          <w:right w:w="108" w:type="dxa"/>
        </w:tblCellMar>
      </w:tblPr>
      <w:tblGrid>
        <w:gridCol w:w="2299"/>
        <w:gridCol w:w="2501"/>
      </w:tblGrid>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Năm</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Mức thanh toán</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2009</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10.000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2010</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9.000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2011</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8.000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2012</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7.000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2013</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pPr>
            <w:r>
              <w:rPr>
                <w:rFonts w:eastAsia="SimSun;宋体"/>
                <w:color w:val="0000FF"/>
                <w:lang w:val="pt-BR"/>
              </w:rPr>
              <w:t>2.000 USD</w:t>
            </w:r>
          </w:p>
        </w:tc>
      </w:tr>
    </w:tbl>
    <w:p>
      <w:pPr>
        <w:pStyle w:val="Normal"/>
        <w:spacing w:before="120" w:after="240"/>
        <w:ind w:firstLine="720"/>
        <w:jc w:val="both"/>
        <w:rPr>
          <w:rFonts w:eastAsia="SimSun;宋体"/>
          <w:color w:val="0000FF"/>
          <w:lang w:val="pt-BR"/>
        </w:rPr>
      </w:pPr>
      <w:r>
        <w:rPr>
          <w:rFonts w:eastAsia="SimSun;宋体"/>
          <w:color w:val="0000FF"/>
          <w:lang w:val="pt-BR"/>
        </w:rPr>
        <w:t>Trường hợp này, khi xác định doanh thu tính thuế thu nhập doanh nghiệp đối với hoạt động bán thẻ hội viên sân gôn cho khách hàng B2, hàng năm Công ty TNHH A2 thực hiện phân bổ doanh thu thu được do bán thẻ theo thời hạn thẻ (36.000 USD chia (:) 40 năm bằng (=) 900 USD/năm)</w:t>
      </w:r>
    </w:p>
    <w:p>
      <w:pPr>
        <w:pStyle w:val="Normal"/>
        <w:spacing w:before="0" w:after="240"/>
        <w:ind w:firstLine="720"/>
        <w:jc w:val="both"/>
        <w:rPr/>
      </w:pPr>
      <w:r>
        <w:rPr>
          <w:rFonts w:eastAsia="SimSun;宋体"/>
          <w:color w:val="0000FF"/>
          <w:lang w:val="pt-BR"/>
        </w:rPr>
        <w:t xml:space="preserve">Ví dụ 3: Công ty TNHH A3 là doanh nghiệp kinh doanh sân gôn, năm 2009 Công ty bán 1 thẻ hội viên cho khách hàng B3 với giá là 36.000 USD (đã có </w:t>
      </w:r>
      <w:r>
        <w:rPr>
          <w:color w:val="0000FF"/>
          <w:lang w:val="pt-BR"/>
        </w:rPr>
        <w:t>thuế tiêu thụ đặc biệt và chưa có thuế giá trị gia tăng)</w:t>
      </w:r>
      <w:r>
        <w:rPr>
          <w:rFonts w:eastAsia="SimSun;宋体"/>
          <w:color w:val="0000FF"/>
          <w:lang w:val="pt-BR"/>
        </w:rPr>
        <w:t xml:space="preserve">, thời hạn cung cấp dịch vụ là 40 năm, hình thức thanh toán tiền mua thẻ theo kỳ 5 năm/lần, mỗi lần thanh toán một khoản tiền bằng nhau. Cụ thể như sau: </w:t>
      </w:r>
    </w:p>
    <w:tbl>
      <w:tblPr>
        <w:tblW w:w="4800" w:type="dxa"/>
        <w:jc w:val="center"/>
        <w:tblInd w:w="0" w:type="dxa"/>
        <w:tblLayout w:type="fixed"/>
        <w:tblCellMar>
          <w:top w:w="0" w:type="dxa"/>
          <w:left w:w="108" w:type="dxa"/>
          <w:bottom w:w="0" w:type="dxa"/>
          <w:right w:w="108" w:type="dxa"/>
        </w:tblCellMar>
      </w:tblPr>
      <w:tblGrid>
        <w:gridCol w:w="2299"/>
        <w:gridCol w:w="2501"/>
      </w:tblGrid>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Năm</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Mức thanh toán</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2009</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2014</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2019</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2024</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2029</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2034</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2039</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2044</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rFonts w:eastAsia="SimSun;宋体"/>
                <w:color w:val="0000FF"/>
                <w:lang w:val="pt-BR"/>
              </w:rPr>
            </w:pPr>
            <w:r>
              <w:rPr>
                <w:rFonts w:eastAsia="SimSun;宋体"/>
                <w:color w:val="0000FF"/>
                <w:lang w:val="pt-BR"/>
              </w:rPr>
              <w:t>2049</w:t>
            </w:r>
          </w:p>
        </w:tc>
        <w:tc>
          <w:tcPr>
            <w:tcW w:w="2501"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color w:val="0000FF"/>
              </w:rPr>
            </w:pPr>
            <w:r>
              <w:rPr>
                <w:rFonts w:eastAsia="SimSun;宋体"/>
                <w:color w:val="0000FF"/>
                <w:lang w:val="pt-BR"/>
              </w:rPr>
              <w:t>4.500 USD</w:t>
            </w:r>
          </w:p>
        </w:tc>
      </w:tr>
    </w:tbl>
    <w:p>
      <w:pPr>
        <w:pStyle w:val="Normal"/>
        <w:spacing w:before="0" w:after="240"/>
        <w:ind w:firstLine="720"/>
        <w:jc w:val="both"/>
        <w:rPr>
          <w:rFonts w:eastAsia="SimSun;宋体"/>
          <w:color w:val="0000FF"/>
          <w:lang w:val="pt-BR"/>
        </w:rPr>
      </w:pPr>
      <w:r>
        <w:rPr>
          <w:rFonts w:eastAsia="SimSun;宋体"/>
          <w:color w:val="0000FF"/>
          <w:lang w:val="pt-BR"/>
        </w:rPr>
        <w:t>Trường hợp này, khi xác định doanh thu tính thuế thu nhập doanh nghiệp đối với hoạt động bán thẻ hội viên sân gôn cho khách hàng B3, hàng năm Công ty TNHH A3 thực hiện phân bổ doanh thu thu được do bán thẻ theo thời hạn thẻ (36.000 USD chia (:) 40 năm bằng (=) 900 USD/năm).”</w:t>
      </w:r>
    </w:p>
    <w:p>
      <w:pPr>
        <w:pStyle w:val="BodyTextIndent2"/>
        <w:spacing w:before="0" w:after="240"/>
        <w:ind w:left="0" w:firstLine="720"/>
        <w:rPr>
          <w:rFonts w:ascii="Times New Roman" w:hAnsi="Times New Roman" w:cs="Times New Roman"/>
          <w:color w:val="0000FF"/>
          <w:sz w:val="24"/>
          <w:lang w:val="it-IT"/>
        </w:rPr>
      </w:pPr>
      <w:r>
        <w:rPr>
          <w:rFonts w:cs="Times New Roman" w:ascii="Times New Roman" w:hAnsi="Times New Roman"/>
          <w:color w:val="0000FF"/>
          <w:sz w:val="24"/>
          <w:lang w:val="it-IT"/>
        </w:rPr>
        <w:t>Điều 2. Tổ chức thực hiện và hiệu lực thi hành</w:t>
      </w:r>
    </w:p>
    <w:p>
      <w:pPr>
        <w:pStyle w:val="Normal"/>
        <w:spacing w:before="0" w:after="240"/>
        <w:ind w:firstLine="720"/>
        <w:jc w:val="both"/>
        <w:rPr/>
      </w:pPr>
      <w:r>
        <w:rPr>
          <w:color w:val="0000FF"/>
          <w:lang w:val="it-IT"/>
        </w:rPr>
        <w:t>1.</w:t>
      </w:r>
      <w:r>
        <w:rPr>
          <w:b/>
          <w:color w:val="0000FF"/>
          <w:lang w:val="it-IT"/>
        </w:rPr>
        <w:t xml:space="preserve"> </w:t>
      </w:r>
      <w:r>
        <w:rPr>
          <w:color w:val="0000FF"/>
          <w:lang w:val="pt-BR"/>
        </w:rPr>
        <w:t>Thông tư này có hiệu lực thi hành kể từ ngày ký và áp dụng t</w:t>
      </w:r>
      <w:r>
        <w:rPr>
          <w:rFonts w:eastAsia="SimSun;宋体"/>
          <w:color w:val="0000FF"/>
          <w:lang w:val="pt-BR"/>
        </w:rPr>
        <w:t>ừ kỳ tính thuế năm 2009.</w:t>
      </w:r>
    </w:p>
    <w:p>
      <w:pPr>
        <w:pStyle w:val="Normal"/>
        <w:widowControl w:val="false"/>
        <w:spacing w:before="0" w:after="240"/>
        <w:ind w:firstLine="720"/>
        <w:jc w:val="both"/>
        <w:rPr>
          <w:color w:val="0000FF"/>
          <w:lang w:val="pt-BR"/>
        </w:rPr>
      </w:pPr>
      <w:r>
        <w:rPr>
          <w:color w:val="0000FF"/>
          <w:lang w:val="pt-BR"/>
        </w:rPr>
        <w:t>2. Trong quá trình thực hiện nếu có vướng mắc, đề nghị các tổ chức, cá nhân phản ánh về Bộ Tài chính để được hướng dẫn giải quyết kịp thời./.</w:t>
      </w:r>
    </w:p>
    <w:p>
      <w:pPr>
        <w:pStyle w:val="Normal"/>
        <w:widowControl w:val="false"/>
        <w:spacing w:before="120" w:after="240"/>
        <w:ind w:firstLine="720"/>
        <w:jc w:val="both"/>
        <w:rPr>
          <w:color w:val="0000FF"/>
          <w:lang w:val="pt-BR"/>
        </w:rPr>
      </w:pPr>
      <w:r>
        <w:rPr>
          <w:color w:val="0000FF"/>
          <w:lang w:val="pt-BR"/>
        </w:rPr>
      </w:r>
    </w:p>
    <w:tbl>
      <w:tblPr>
        <w:tblW w:w="8428" w:type="dxa"/>
        <w:jc w:val="left"/>
        <w:tblInd w:w="-28" w:type="dxa"/>
        <w:tblLayout w:type="fixed"/>
        <w:tblCellMar>
          <w:top w:w="0" w:type="dxa"/>
          <w:left w:w="28" w:type="dxa"/>
          <w:bottom w:w="0" w:type="dxa"/>
          <w:right w:w="28" w:type="dxa"/>
        </w:tblCellMar>
      </w:tblPr>
      <w:tblGrid>
        <w:gridCol w:w="4828"/>
        <w:gridCol w:w="3600"/>
      </w:tblGrid>
      <w:tr>
        <w:trPr/>
        <w:tc>
          <w:tcPr>
            <w:tcW w:w="4828" w:type="dxa"/>
            <w:tcBorders/>
          </w:tcPr>
          <w:p>
            <w:pPr>
              <w:pStyle w:val="Normal"/>
              <w:widowControl w:val="false"/>
              <w:jc w:val="both"/>
              <w:rPr>
                <w:b/>
                <w:b/>
                <w:i/>
                <w:i/>
                <w:color w:val="0000FF"/>
                <w:lang w:val="nl-NL"/>
              </w:rPr>
            </w:pPr>
            <w:r>
              <w:rPr>
                <w:b/>
                <w:i/>
                <w:color w:val="0000FF"/>
                <w:lang w:val="nl-NL"/>
              </w:rPr>
              <w:t>Nơi nhận:</w:t>
            </w:r>
          </w:p>
        </w:tc>
        <w:tc>
          <w:tcPr>
            <w:tcW w:w="3600" w:type="dxa"/>
            <w:tcBorders/>
          </w:tcPr>
          <w:p>
            <w:pPr>
              <w:pStyle w:val="Normal"/>
              <w:widowControl w:val="false"/>
              <w:jc w:val="center"/>
              <w:rPr>
                <w:b/>
                <w:b/>
                <w:color w:val="0000FF"/>
                <w:lang w:val="nl-NL"/>
              </w:rPr>
            </w:pPr>
            <w:r>
              <w:rPr>
                <w:b/>
                <w:color w:val="0000FF"/>
                <w:lang w:val="nl-NL"/>
              </w:rPr>
              <w:t>KT. BỘ TRƯỞNG</w:t>
            </w:r>
          </w:p>
        </w:tc>
      </w:tr>
      <w:tr>
        <w:trPr/>
        <w:tc>
          <w:tcPr>
            <w:tcW w:w="4828" w:type="dxa"/>
            <w:vMerge w:val="restart"/>
            <w:tcBorders/>
          </w:tcPr>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Trung ương và các Ban của Đảng;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Quốc hội;</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Chủ tịch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Viện Kiểm sát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Toà án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Kiểm toán nhà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ban chỉ đạo TW về phòng, chống tham nhũng;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Các Bộ, cơ quan ngang Bộ, cơ quan thuộc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Cơ quan Trung ương của các đoàn thể;</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Hội đồng nhân dân, Uỷ ban nhân dân;</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Sở Tài chính, Cục Thuế, Cục Hải quan, Kho bạc nhà nước các tỉnh, thành phố trực thuộc Trung ương;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Công báo;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Cục Kiểm tra văn bản (Bộ Tư pháp);</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Bộ Tài chính;</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Các đơn vị thuộc Bộ Tài chính;</w:t>
            </w:r>
          </w:p>
          <w:p>
            <w:pPr>
              <w:pStyle w:val="Normal"/>
              <w:widowControl w:val="false"/>
              <w:jc w:val="both"/>
              <w:rPr>
                <w:i/>
                <w:i/>
                <w:color w:val="0000FF"/>
              </w:rPr>
            </w:pPr>
            <w:r>
              <w:rPr>
                <w:color w:val="0000FF"/>
              </w:rPr>
              <w:t>- Lưu: VT, CST (TN).</w:t>
            </w:r>
          </w:p>
        </w:tc>
        <w:tc>
          <w:tcPr>
            <w:tcW w:w="3600" w:type="dxa"/>
            <w:tcBorders/>
          </w:tcPr>
          <w:p>
            <w:pPr>
              <w:pStyle w:val="Normal"/>
              <w:widowControl w:val="false"/>
              <w:jc w:val="center"/>
              <w:rPr>
                <w:b/>
                <w:b/>
                <w:color w:val="0000FF"/>
                <w:lang w:val="nl-NL"/>
              </w:rPr>
            </w:pPr>
            <w:r>
              <w:rPr>
                <w:b/>
                <w:color w:val="0000FF"/>
                <w:lang w:val="nl-NL"/>
              </w:rPr>
              <w:t>THỨ TRƯỞNG</w:t>
            </w:r>
          </w:p>
        </w:tc>
      </w:tr>
      <w:tr>
        <w:trPr/>
        <w:tc>
          <w:tcPr>
            <w:tcW w:w="4828" w:type="dxa"/>
            <w:vMerge w:val="continue"/>
            <w:tcBorders/>
          </w:tcPr>
          <w:p>
            <w:pPr>
              <w:pStyle w:val="Normal"/>
              <w:widowControl w:val="false"/>
              <w:snapToGrid w:val="false"/>
              <w:jc w:val="both"/>
              <w:rPr>
                <w:b/>
                <w:b/>
                <w:color w:val="0000FF"/>
                <w:lang w:val="nl-NL"/>
              </w:rPr>
            </w:pPr>
            <w:r>
              <w:rPr>
                <w:b/>
                <w:color w:val="0000FF"/>
                <w:lang w:val="nl-NL"/>
              </w:rPr>
            </w:r>
          </w:p>
        </w:tc>
        <w:tc>
          <w:tcPr>
            <w:tcW w:w="3600" w:type="dxa"/>
            <w:tcBorders/>
          </w:tcPr>
          <w:p>
            <w:pPr>
              <w:pStyle w:val="Normal"/>
              <w:widowControl w:val="false"/>
              <w:snapToGrid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t>(đã ký)</w:t>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t>Đỗ Hoàng Anh Tuấn</w:t>
            </w:r>
          </w:p>
        </w:tc>
      </w:tr>
    </w:tbl>
    <w:p>
      <w:pPr>
        <w:pStyle w:val="Normal"/>
        <w:spacing w:before="120" w:after="120"/>
        <w:ind w:firstLine="720"/>
        <w:jc w:val="both"/>
        <w:rPr>
          <w:color w:val="0000FF"/>
          <w:lang w:val="pt-BR"/>
        </w:rPr>
      </w:pPr>
      <w:r>
        <w:rPr>
          <w:color w:val="0000FF"/>
          <w:lang w:val="pt-BR"/>
        </w:rPr>
      </w:r>
    </w:p>
    <w:p>
      <w:pPr>
        <w:pStyle w:val="Normal"/>
        <w:rPr>
          <w:color w:val="0000FF"/>
          <w:lang w:val="pt-BR"/>
        </w:rPr>
      </w:pPr>
      <w:r>
        <w:rPr>
          <w:color w:val="0000FF"/>
          <w:lang w:val="pt-BR"/>
        </w:rPr>
      </w:r>
    </w:p>
    <w:p>
      <w:pPr>
        <w:pStyle w:val="Normal"/>
        <w:rPr>
          <w:color w:val="0000FF"/>
        </w:rPr>
      </w:pPr>
      <w:r>
        <w:rPr>
          <w:color w:val="0000FF"/>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4">
              <wp:simplePos x="0" y="0"/>
              <wp:positionH relativeFrom="margin">
                <wp:align>center</wp:align>
              </wp:positionH>
              <wp:positionV relativeFrom="paragraph">
                <wp:posOffset>635</wp:posOffset>
              </wp:positionV>
              <wp:extent cx="76835" cy="175260"/>
              <wp:effectExtent l="0" t="0" r="0" b="0"/>
              <wp:wrapSquare wrapText="largest"/>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3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numPr>
        <w:ilvl w:val="6"/>
        <w:numId w:val="1"/>
      </w:numPr>
      <w:jc w:val="center"/>
      <w:outlineLvl w:val="6"/>
    </w:pPr>
    <w:rPr>
      <w:rFonts w:ascii=".VnTime" w:hAnsi=".VnTime" w:cs=".VnTime"/>
      <w:i/>
      <w:iCs/>
      <w:sz w:val="28"/>
      <w:szCs w:val="28"/>
    </w:rPr>
  </w:style>
  <w:style w:type="character" w:styleId="DefaultParagraphFont">
    <w:name w:val="Default Paragraph Font"/>
    <w:qFormat/>
    <w:rPr/>
  </w:style>
  <w:style w:type="character" w:styleId="CharChar5">
    <w:name w:val=" Char Char5"/>
    <w:basedOn w:val="DefaultParagraphFont"/>
    <w:qFormat/>
    <w:rPr>
      <w:rFonts w:ascii=".VnTime" w:hAnsi=".VnTime" w:cs=".VnTime"/>
      <w:i/>
      <w:iCs/>
      <w:sz w:val="28"/>
      <w:szCs w:val="28"/>
      <w:lang w:val="en-US" w:bidi="ar-SA"/>
    </w:rPr>
  </w:style>
  <w:style w:type="character" w:styleId="CharChar2">
    <w:name w:val=" Char Char2"/>
    <w:basedOn w:val="DefaultParagraphFont"/>
    <w:qFormat/>
    <w:rPr>
      <w:rFonts w:ascii=".VnTime" w:hAnsi=".VnTime" w:cs=".VnTime"/>
      <w:sz w:val="28"/>
      <w:szCs w:val="24"/>
      <w:lang w:val="en-US" w:bidi="ar-SA"/>
    </w:rPr>
  </w:style>
  <w:style w:type="character" w:styleId="CharChar">
    <w:name w:val=" Char Char"/>
    <w:basedOn w:val="DefaultParagraphFont"/>
    <w:qFormat/>
    <w:rPr>
      <w:rFonts w:ascii=".VnTime" w:hAnsi=".VnTime" w:cs=".VnTime"/>
      <w:b/>
      <w:bCs/>
      <w:sz w:val="28"/>
      <w:szCs w:val="24"/>
      <w:lang w:val="en-US" w:bidi="ar-SA"/>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Arial" w:hAnsi="Arial" w:cs="Arial"/>
      <w:sz w:val="22"/>
      <w:szCs w:val="22"/>
    </w:rPr>
  </w:style>
  <w:style w:type="paragraph" w:styleId="BodyTextIndent2">
    <w:name w:val="Body Text Indent 2"/>
    <w:basedOn w:val="Normal"/>
    <w:qFormat/>
    <w:pPr>
      <w:spacing w:before="60" w:after="0"/>
      <w:ind w:left="1440" w:hanging="0"/>
      <w:jc w:val="both"/>
    </w:pPr>
    <w:rPr>
      <w:rFonts w:ascii=".VnTime" w:hAnsi=".VnTime" w:cs=".VnTime"/>
      <w:b/>
      <w:bCs/>
      <w:sz w:val="28"/>
    </w:rPr>
  </w:style>
  <w:style w:type="paragraph" w:styleId="TextBodyIndent">
    <w:name w:val="Body Text Indent"/>
    <w:basedOn w:val="Normal"/>
    <w:pPr>
      <w:widowControl w:val="false"/>
      <w:spacing w:before="120" w:after="0"/>
      <w:ind w:firstLine="720"/>
      <w:jc w:val="both"/>
    </w:pPr>
    <w:rPr>
      <w:rFonts w:ascii=".VnTime" w:hAnsi=".VnTime" w:cs=".VnTime"/>
      <w:sz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2010-01-18T08:57:00Z</dcterms:created>
  <dc:creator>mof</dc:creator>
  <dc:description/>
  <cp:keywords/>
  <dc:language>en-US</dc:language>
  <cp:lastModifiedBy>mof</cp:lastModifiedBy>
  <dcterms:modified xsi:type="dcterms:W3CDTF">2010-01-18T08:57:00Z</dcterms:modified>
  <cp:revision>1</cp:revision>
  <dc:subject/>
  <dc:title>BỘ TÀI CHÍNH</dc:title>
</cp:coreProperties>
</file>