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108" w:type="dxa"/>
        <w:tblLayout w:type="fixed"/>
        <w:tblCellMar>
          <w:top w:w="0" w:type="dxa"/>
          <w:left w:w="108" w:type="dxa"/>
          <w:bottom w:w="0" w:type="dxa"/>
          <w:right w:w="108" w:type="dxa"/>
        </w:tblCellMar>
      </w:tblPr>
      <w:tblGrid>
        <w:gridCol w:w="3441"/>
        <w:gridCol w:w="5630"/>
      </w:tblGrid>
      <w:tr>
        <w:trPr>
          <w:trHeight w:val="288" w:hRule="atLeast"/>
        </w:trPr>
        <w:tc>
          <w:tcPr>
            <w:tcW w:w="3441" w:type="dxa"/>
            <w:tcBorders/>
          </w:tcPr>
          <w:p>
            <w:pPr>
              <w:pStyle w:val="Normal"/>
              <w:jc w:val="center"/>
              <w:rPr>
                <w:sz w:val="26"/>
              </w:rPr>
            </w:pPr>
            <w:r>
              <mc:AlternateContent>
                <mc:Choice Requires="wps">
                  <w:drawing>
                    <wp:anchor behindDoc="0" distT="0" distB="0" distL="114935" distR="114935" simplePos="0" locked="0" layoutInCell="1" allowOverlap="1" relativeHeight="2">
                      <wp:simplePos x="0" y="0"/>
                      <wp:positionH relativeFrom="column">
                        <wp:posOffset>838200</wp:posOffset>
                      </wp:positionH>
                      <wp:positionV relativeFrom="paragraph">
                        <wp:posOffset>228600</wp:posOffset>
                      </wp:positionV>
                      <wp:extent cx="457200" cy="0"/>
                      <wp:effectExtent l="0" t="5080" r="0" b="5080"/>
                      <wp:wrapNone/>
                      <wp:docPr id="1" name=""/>
                      <a:graphic xmlns:a="http://schemas.openxmlformats.org/drawingml/2006/main">
                        <a:graphicData uri="http://schemas.microsoft.com/office/word/2010/wordprocessingShape">
                          <wps:wsp>
                            <wps:cNvSpPr/>
                            <wps:spPr>
                              <a:xfrm>
                                <a:off x="0" y="0"/>
                                <a:ext cx="457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6pt,18pt" to="101.95pt,18pt" stroked="t" o:allowincell="t" style="position:absolute">
                      <v:stroke color="black" weight="9360" joinstyle="miter" endcap="flat"/>
                      <v:fill o:detectmouseclick="t" on="false"/>
                      <w10:wrap type="none"/>
                    </v:line>
                  </w:pict>
                </mc:Fallback>
              </mc:AlternateContent>
            </w:r>
            <w:r>
              <w:rPr>
                <w:b/>
                <w:bCs/>
                <w:sz w:val="26"/>
                <w:lang w:val="vi-VN"/>
              </w:rPr>
              <w:t>BỘ TÀI CHÍNH</w:t>
              <w:br/>
            </w:r>
          </w:p>
        </w:tc>
        <w:tc>
          <w:tcPr>
            <w:tcW w:w="5630" w:type="dxa"/>
            <w:tcBorders/>
          </w:tcPr>
          <w:p>
            <w:pPr>
              <w:pStyle w:val="Normal"/>
              <w:jc w:val="center"/>
              <w:rPr>
                <w:sz w:val="26"/>
              </w:rPr>
            </w:pPr>
            <w:r>
              <mc:AlternateContent>
                <mc:Choice Requires="wps">
                  <w:drawing>
                    <wp:anchor behindDoc="0" distT="0" distB="0" distL="114935" distR="114935" simplePos="0" locked="0" layoutInCell="1" allowOverlap="1" relativeHeight="3">
                      <wp:simplePos x="0" y="0"/>
                      <wp:positionH relativeFrom="column">
                        <wp:posOffset>734695</wp:posOffset>
                      </wp:positionH>
                      <wp:positionV relativeFrom="paragraph">
                        <wp:posOffset>457200</wp:posOffset>
                      </wp:positionV>
                      <wp:extent cx="2057400" cy="0"/>
                      <wp:effectExtent l="0" t="5080" r="0" b="5080"/>
                      <wp:wrapNone/>
                      <wp:docPr id="2" name=""/>
                      <a:graphic xmlns:a="http://schemas.openxmlformats.org/drawingml/2006/main">
                        <a:graphicData uri="http://schemas.microsoft.com/office/word/2010/wordprocessingShape">
                          <wps:wsp>
                            <wps:cNvSpPr/>
                            <wps:spPr>
                              <a:xfrm>
                                <a:off x="0" y="0"/>
                                <a:ext cx="2057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85pt,36pt" to="219.8pt,36pt" stroked="t" o:allowincell="t" style="position:absolute">
                      <v:stroke color="black" weight="9360" joinstyle="miter" endcap="flat"/>
                      <v:fill o:detectmouseclick="t" on="false"/>
                      <w10:wrap type="none"/>
                    </v:line>
                  </w:pict>
                </mc:Fallback>
              </mc:AlternateContent>
            </w:r>
            <w:r>
              <w:rPr>
                <w:b/>
                <w:bCs/>
                <w:sz w:val="26"/>
                <w:lang w:val="vi-VN"/>
              </w:rPr>
              <w:t>CỘNG HÒA XÃ HỘI CHỦ NGHĨA VIỆT NAM</w:t>
              <w:br/>
              <w:t xml:space="preserve">Độc lập - Tự do - Hạnh phúc </w:t>
              <w:br/>
            </w:r>
          </w:p>
        </w:tc>
      </w:tr>
      <w:tr>
        <w:trPr>
          <w:trHeight w:val="256" w:hRule="atLeast"/>
        </w:trPr>
        <w:tc>
          <w:tcPr>
            <w:tcW w:w="3441" w:type="dxa"/>
            <w:tcBorders/>
          </w:tcPr>
          <w:p>
            <w:pPr>
              <w:pStyle w:val="Normal"/>
              <w:jc w:val="center"/>
              <w:rPr/>
            </w:pPr>
            <w:r>
              <w:rPr>
                <w:sz w:val="26"/>
                <w:lang w:val="vi-VN"/>
              </w:rPr>
              <w:t xml:space="preserve">Số: </w:t>
            </w:r>
            <w:r>
              <w:rPr>
                <w:sz w:val="26"/>
              </w:rPr>
              <w:t>116/2012/TT-BTC</w:t>
            </w:r>
          </w:p>
        </w:tc>
        <w:tc>
          <w:tcPr>
            <w:tcW w:w="5630" w:type="dxa"/>
            <w:tcBorders/>
          </w:tcPr>
          <w:p>
            <w:pPr>
              <w:pStyle w:val="Normal"/>
              <w:jc w:val="center"/>
              <w:rPr>
                <w:sz w:val="26"/>
              </w:rPr>
            </w:pPr>
            <w:r>
              <w:rPr>
                <w:i/>
                <w:iCs/>
                <w:sz w:val="26"/>
                <w:lang w:val="vi-VN"/>
              </w:rPr>
              <w:t xml:space="preserve">Hà Nội, ngày </w:t>
            </w:r>
            <w:r>
              <w:rPr>
                <w:i/>
                <w:iCs/>
                <w:sz w:val="26"/>
              </w:rPr>
              <w:t>18</w:t>
            </w:r>
            <w:r>
              <w:rPr>
                <w:i/>
                <w:iCs/>
                <w:sz w:val="26"/>
                <w:lang w:val="vi-VN"/>
              </w:rPr>
              <w:t xml:space="preserve"> tháng 07 năm 2012 </w:t>
            </w:r>
          </w:p>
        </w:tc>
      </w:tr>
    </w:tbl>
    <w:p>
      <w:pPr>
        <w:pStyle w:val="Normal"/>
        <w:spacing w:lineRule="exact" w:line="320" w:before="120" w:after="120"/>
        <w:ind w:firstLine="567"/>
        <w:jc w:val="both"/>
        <w:rPr>
          <w:sz w:val="28"/>
        </w:rPr>
      </w:pPr>
      <w:r>
        <w:rPr>
          <w:color w:val="000000"/>
          <w:sz w:val="28"/>
          <w:lang w:val="vi-VN"/>
        </w:rPr>
        <w:t> </w:t>
      </w:r>
    </w:p>
    <w:p>
      <w:pPr>
        <w:pStyle w:val="Normal"/>
        <w:jc w:val="center"/>
        <w:rPr>
          <w:b/>
          <w:b/>
          <w:sz w:val="28"/>
        </w:rPr>
      </w:pPr>
      <w:r>
        <w:rPr>
          <w:b/>
          <w:bCs/>
          <w:color w:val="000000"/>
          <w:sz w:val="28"/>
          <w:lang w:val="vi-VN"/>
        </w:rPr>
        <w:t>THÔNG TƯ</w:t>
      </w:r>
    </w:p>
    <w:p>
      <w:pPr>
        <w:pStyle w:val="Normal"/>
        <w:jc w:val="center"/>
        <w:rPr>
          <w:b/>
          <w:b/>
          <w:color w:val="000000"/>
          <w:sz w:val="28"/>
          <w:lang w:val="en-US"/>
        </w:rPr>
      </w:pPr>
      <w:r>
        <w:rPr>
          <w:b/>
          <w:color w:val="000000"/>
          <w:sz w:val="28"/>
          <w:lang w:val="en-US"/>
        </w:rPr>
        <w:t>H</w:t>
      </w:r>
      <w:r>
        <w:rPr>
          <w:b/>
          <w:color w:val="000000"/>
          <w:sz w:val="28"/>
          <w:lang w:val="vi-VN"/>
        </w:rPr>
        <w:t xml:space="preserve">ướng dẫn áp dụng thí điểm chính sách thuế thu nhập doanh nghiệp </w:t>
      </w:r>
    </w:p>
    <w:p>
      <w:pPr>
        <w:pStyle w:val="Normal"/>
        <w:jc w:val="center"/>
        <w:rPr>
          <w:b/>
          <w:b/>
          <w:color w:val="000000"/>
          <w:sz w:val="28"/>
          <w:lang w:val="en-US"/>
        </w:rPr>
      </w:pPr>
      <w:r>
        <w:rPr>
          <w:b/>
          <w:color w:val="000000"/>
          <w:sz w:val="28"/>
          <w:lang w:val="vi-VN"/>
        </w:rPr>
        <w:t xml:space="preserve">đối vói tổ chức tài chính quy mô nhỏ trách nhiệm hữu hạn </w:t>
      </w:r>
    </w:p>
    <w:p>
      <w:pPr>
        <w:pStyle w:val="Normal"/>
        <w:jc w:val="center"/>
        <w:rPr>
          <w:b/>
          <w:b/>
          <w:color w:val="000000"/>
          <w:sz w:val="28"/>
          <w:lang w:val="en-US"/>
        </w:rPr>
      </w:pPr>
      <w:r>
        <w:rPr>
          <w:b/>
          <w:color w:val="000000"/>
          <w:sz w:val="28"/>
          <w:lang w:val="vi-VN"/>
        </w:rPr>
        <w:t>một thành viên tình thương</w:t>
      </w:r>
    </w:p>
    <w:p>
      <w:pPr>
        <w:pStyle w:val="Normal"/>
        <w:jc w:val="center"/>
        <w:rPr>
          <w:b/>
          <w:b/>
          <w:color w:val="000000"/>
          <w:sz w:val="28"/>
          <w:lang w:val="en-US" w:eastAsia="en-US"/>
        </w:rPr>
      </w:pPr>
      <w:r>
        <w:rPr>
          <w:b/>
          <w:color w:val="000000"/>
          <w:sz w:val="28"/>
          <w:lang w:val="en-US" w:eastAsia="en-US"/>
        </w:rPr>
        <mc:AlternateContent>
          <mc:Choice Requires="wps">
            <w:drawing>
              <wp:anchor behindDoc="0" distT="0" distB="0" distL="114935" distR="114935" simplePos="0" locked="0" layoutInCell="0" allowOverlap="1" relativeHeight="4">
                <wp:simplePos x="0" y="0"/>
                <wp:positionH relativeFrom="column">
                  <wp:posOffset>2374900</wp:posOffset>
                </wp:positionH>
                <wp:positionV relativeFrom="paragraph">
                  <wp:posOffset>124460</wp:posOffset>
                </wp:positionV>
                <wp:extent cx="990600" cy="0"/>
                <wp:effectExtent l="0" t="5080" r="0" b="5080"/>
                <wp:wrapNone/>
                <wp:docPr id="3" name=""/>
                <a:graphic xmlns:a="http://schemas.openxmlformats.org/drawingml/2006/main">
                  <a:graphicData uri="http://schemas.microsoft.com/office/word/2010/wordprocessingShape">
                    <wps:wsp>
                      <wps:cNvSpPr/>
                      <wps:spPr>
                        <a:xfrm>
                          <a:off x="0" y="0"/>
                          <a:ext cx="990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7pt,9.8pt" to="264.95pt,9.8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567"/>
        <w:jc w:val="both"/>
        <w:rPr>
          <w:sz w:val="28"/>
        </w:rPr>
      </w:pPr>
      <w:r>
        <w:rPr>
          <w:i/>
          <w:iCs/>
          <w:color w:val="000000"/>
          <w:sz w:val="28"/>
          <w:lang w:val="vi-VN"/>
        </w:rPr>
        <w:t>Căn cứ Luật Quản lý thuế số 78/2006/QH11 ngày 29 tháng 11 năm 2006;</w:t>
      </w:r>
    </w:p>
    <w:p>
      <w:pPr>
        <w:pStyle w:val="Normal"/>
        <w:spacing w:lineRule="exact" w:line="320" w:before="120" w:after="120"/>
        <w:ind w:firstLine="567"/>
        <w:jc w:val="both"/>
        <w:rPr>
          <w:sz w:val="28"/>
        </w:rPr>
      </w:pPr>
      <w:r>
        <w:rPr>
          <w:i/>
          <w:iCs/>
          <w:color w:val="000000"/>
          <w:sz w:val="28"/>
          <w:lang w:val="vi-VN"/>
        </w:rPr>
        <w:t>Căn cứ Luật thuế thu nhập doanh nghiệp số 14/2008/QH12 ngày 3 tháng 6 năm 2008 và các văn bản hướng d</w:t>
      </w:r>
      <w:r>
        <w:rPr>
          <w:i/>
          <w:iCs/>
          <w:color w:val="000000"/>
          <w:sz w:val="28"/>
        </w:rPr>
        <w:t>ẫ</w:t>
      </w:r>
      <w:r>
        <w:rPr>
          <w:i/>
          <w:iCs/>
          <w:color w:val="000000"/>
          <w:sz w:val="28"/>
          <w:lang w:val="vi-VN"/>
        </w:rPr>
        <w:t>n;</w:t>
      </w:r>
    </w:p>
    <w:p>
      <w:pPr>
        <w:pStyle w:val="Normal"/>
        <w:spacing w:lineRule="exact" w:line="320" w:before="120" w:after="120"/>
        <w:ind w:firstLine="567"/>
        <w:jc w:val="both"/>
        <w:rPr>
          <w:sz w:val="28"/>
        </w:rPr>
      </w:pPr>
      <w:r>
        <w:rPr>
          <w:i/>
          <w:iCs/>
          <w:color w:val="000000"/>
          <w:sz w:val="28"/>
          <w:lang w:val="vi-VN"/>
        </w:rPr>
        <w:t>Căn cứ Nghị định s</w:t>
      </w:r>
      <w:r>
        <w:rPr>
          <w:i/>
          <w:iCs/>
          <w:color w:val="000000"/>
          <w:sz w:val="28"/>
        </w:rPr>
        <w:t xml:space="preserve">ố </w:t>
      </w:r>
      <w:r>
        <w:rPr>
          <w:i/>
          <w:iCs/>
          <w:color w:val="000000"/>
          <w:sz w:val="28"/>
          <w:lang w:val="vi-VN"/>
        </w:rPr>
        <w:t>118/2008/NĐ-CP ngày 27 tháng 11 năm 2008 của Ch</w:t>
      </w:r>
      <w:r>
        <w:rPr>
          <w:i/>
          <w:iCs/>
          <w:color w:val="000000"/>
          <w:sz w:val="28"/>
        </w:rPr>
        <w:t>í</w:t>
      </w:r>
      <w:r>
        <w:rPr>
          <w:i/>
          <w:iCs/>
          <w:color w:val="000000"/>
          <w:sz w:val="28"/>
          <w:lang w:val="vi-VN"/>
        </w:rPr>
        <w:t>nh phủ quy định chức năng, nhiệm vụ, quy</w:t>
      </w:r>
      <w:r>
        <w:rPr>
          <w:i/>
          <w:iCs/>
          <w:color w:val="000000"/>
          <w:sz w:val="28"/>
        </w:rPr>
        <w:t>ề</w:t>
      </w:r>
      <w:r>
        <w:rPr>
          <w:i/>
          <w:iCs/>
          <w:color w:val="000000"/>
          <w:sz w:val="28"/>
          <w:lang w:val="vi-VN"/>
        </w:rPr>
        <w:t>n hạn và cơ cấu t</w:t>
      </w:r>
      <w:r>
        <w:rPr>
          <w:i/>
          <w:iCs/>
          <w:color w:val="000000"/>
          <w:sz w:val="28"/>
        </w:rPr>
        <w:t xml:space="preserve">ổ </w:t>
      </w:r>
      <w:r>
        <w:rPr>
          <w:i/>
          <w:iCs/>
          <w:color w:val="000000"/>
          <w:sz w:val="28"/>
          <w:lang w:val="vi-VN"/>
        </w:rPr>
        <w:t>chức của Bộ Tài chính;</w:t>
      </w:r>
    </w:p>
    <w:p>
      <w:pPr>
        <w:pStyle w:val="Normal"/>
        <w:spacing w:lineRule="exact" w:line="320" w:before="120" w:after="120"/>
        <w:ind w:firstLine="567"/>
        <w:jc w:val="both"/>
        <w:rPr>
          <w:sz w:val="28"/>
        </w:rPr>
      </w:pPr>
      <w:r>
        <w:rPr>
          <w:i/>
          <w:iCs/>
          <w:color w:val="000000"/>
          <w:sz w:val="28"/>
          <w:lang w:val="vi-VN"/>
        </w:rPr>
        <w:t xml:space="preserve">Căn cứ </w:t>
      </w:r>
      <w:r>
        <w:rPr>
          <w:i/>
          <w:iCs/>
          <w:color w:val="000000"/>
          <w:sz w:val="28"/>
        </w:rPr>
        <w:t xml:space="preserve">ý </w:t>
      </w:r>
      <w:r>
        <w:rPr>
          <w:i/>
          <w:iCs/>
          <w:color w:val="000000"/>
          <w:sz w:val="28"/>
          <w:lang w:val="vi-VN"/>
        </w:rPr>
        <w:t>kiến của Thủ tướng Chỉnh phủ tại công văn số 2151/VPCP- KTTH ngày 03 tháng 4 năm 2012 của Văn phòng Chính phủ v</w:t>
      </w:r>
      <w:r>
        <w:rPr>
          <w:i/>
          <w:iCs/>
          <w:color w:val="000000"/>
          <w:sz w:val="28"/>
        </w:rPr>
        <w:t xml:space="preserve">ề </w:t>
      </w:r>
      <w:r>
        <w:rPr>
          <w:i/>
          <w:iCs/>
          <w:color w:val="000000"/>
          <w:sz w:val="28"/>
          <w:lang w:val="vi-VN"/>
        </w:rPr>
        <w:t>việc thí điếm áp dụng ch</w:t>
      </w:r>
      <w:r>
        <w:rPr>
          <w:i/>
          <w:iCs/>
          <w:color w:val="000000"/>
          <w:sz w:val="28"/>
        </w:rPr>
        <w:t>í</w:t>
      </w:r>
      <w:r>
        <w:rPr>
          <w:i/>
          <w:iCs/>
          <w:color w:val="000000"/>
          <w:sz w:val="28"/>
          <w:lang w:val="vi-VN"/>
        </w:rPr>
        <w:t>nh sách ưu đãi thuế thu nhập doanh nghiệp đ</w:t>
      </w:r>
      <w:r>
        <w:rPr>
          <w:i/>
          <w:iCs/>
          <w:color w:val="000000"/>
          <w:sz w:val="28"/>
        </w:rPr>
        <w:t>ố</w:t>
      </w:r>
      <w:r>
        <w:rPr>
          <w:i/>
          <w:iCs/>
          <w:color w:val="000000"/>
          <w:sz w:val="28"/>
          <w:lang w:val="vi-VN"/>
        </w:rPr>
        <w:t>i với T</w:t>
      </w:r>
      <w:r>
        <w:rPr>
          <w:i/>
          <w:iCs/>
          <w:color w:val="000000"/>
          <w:sz w:val="28"/>
        </w:rPr>
        <w:t xml:space="preserve">ổ </w:t>
      </w:r>
      <w:r>
        <w:rPr>
          <w:i/>
          <w:iCs/>
          <w:color w:val="000000"/>
          <w:sz w:val="28"/>
          <w:lang w:val="vi-VN"/>
        </w:rPr>
        <w:t>chức tài chính quy mô nhỏ trách nhiệm hữu hạn một thành viên T</w:t>
      </w:r>
      <w:r>
        <w:rPr>
          <w:i/>
          <w:iCs/>
          <w:color w:val="000000"/>
          <w:sz w:val="28"/>
        </w:rPr>
        <w:t>ì</w:t>
      </w:r>
      <w:r>
        <w:rPr>
          <w:i/>
          <w:iCs/>
          <w:color w:val="000000"/>
          <w:sz w:val="28"/>
          <w:lang w:val="vi-VN"/>
        </w:rPr>
        <w:t>nh Thương;</w:t>
      </w:r>
    </w:p>
    <w:p>
      <w:pPr>
        <w:pStyle w:val="Normal"/>
        <w:spacing w:lineRule="exact" w:line="320" w:before="120" w:after="120"/>
        <w:ind w:firstLine="567"/>
        <w:jc w:val="both"/>
        <w:rPr>
          <w:sz w:val="28"/>
        </w:rPr>
      </w:pPr>
      <w:r>
        <w:rPr>
          <w:i/>
          <w:iCs/>
          <w:color w:val="000000"/>
          <w:sz w:val="28"/>
          <w:lang w:val="vi-VN"/>
        </w:rPr>
        <w:t xml:space="preserve">Căn cứ </w:t>
      </w:r>
      <w:r>
        <w:rPr>
          <w:i/>
          <w:iCs/>
          <w:color w:val="000000"/>
          <w:sz w:val="28"/>
        </w:rPr>
        <w:t>ý</w:t>
      </w:r>
      <w:r>
        <w:rPr>
          <w:i/>
          <w:iCs/>
          <w:color w:val="000000"/>
          <w:sz w:val="28"/>
          <w:lang w:val="vi-VN"/>
        </w:rPr>
        <w:t xml:space="preserve"> ki</w:t>
      </w:r>
      <w:r>
        <w:rPr>
          <w:i/>
          <w:iCs/>
          <w:color w:val="000000"/>
          <w:sz w:val="28"/>
        </w:rPr>
        <w:t>ế</w:t>
      </w:r>
      <w:r>
        <w:rPr>
          <w:i/>
          <w:iCs/>
          <w:color w:val="000000"/>
          <w:sz w:val="28"/>
          <w:lang w:val="vi-VN"/>
        </w:rPr>
        <w:t>n của Th</w:t>
      </w:r>
      <w:r>
        <w:rPr>
          <w:i/>
          <w:iCs/>
          <w:color w:val="000000"/>
          <w:sz w:val="28"/>
        </w:rPr>
        <w:t>ố</w:t>
      </w:r>
      <w:r>
        <w:rPr>
          <w:i/>
          <w:iCs/>
          <w:color w:val="000000"/>
          <w:sz w:val="28"/>
          <w:lang w:val="vi-VN"/>
        </w:rPr>
        <w:t>ng đ</w:t>
      </w:r>
      <w:r>
        <w:rPr>
          <w:i/>
          <w:iCs/>
          <w:color w:val="000000"/>
          <w:sz w:val="28"/>
        </w:rPr>
        <w:t>ố</w:t>
      </w:r>
      <w:r>
        <w:rPr>
          <w:i/>
          <w:iCs/>
          <w:color w:val="000000"/>
          <w:sz w:val="28"/>
          <w:lang w:val="vi-VN"/>
        </w:rPr>
        <w:t>c Ngân hàng Nhà nước Việt Nam tại công văn s</w:t>
      </w:r>
      <w:r>
        <w:rPr>
          <w:i/>
          <w:iCs/>
          <w:color w:val="000000"/>
          <w:sz w:val="28"/>
        </w:rPr>
        <w:t>ố</w:t>
      </w:r>
      <w:r>
        <w:rPr>
          <w:i/>
          <w:iCs/>
          <w:color w:val="000000"/>
          <w:sz w:val="28"/>
          <w:lang w:val="vi-VN"/>
        </w:rPr>
        <w:t xml:space="preserve"> 3635/NHNN-TTGSNH ngày 15 th</w:t>
      </w:r>
      <w:r>
        <w:rPr>
          <w:i/>
          <w:iCs/>
          <w:color w:val="000000"/>
          <w:sz w:val="28"/>
        </w:rPr>
        <w:t>á</w:t>
      </w:r>
      <w:r>
        <w:rPr>
          <w:i/>
          <w:iCs/>
          <w:color w:val="000000"/>
          <w:sz w:val="28"/>
          <w:lang w:val="vi-VN"/>
        </w:rPr>
        <w:t>ng 6 năm 2012;</w:t>
      </w:r>
    </w:p>
    <w:p>
      <w:pPr>
        <w:pStyle w:val="Normal"/>
        <w:spacing w:lineRule="exact" w:line="320" w:before="120" w:after="120"/>
        <w:ind w:firstLine="567"/>
        <w:jc w:val="both"/>
        <w:rPr>
          <w:sz w:val="28"/>
        </w:rPr>
      </w:pPr>
      <w:r>
        <w:rPr>
          <w:i/>
          <w:iCs/>
          <w:color w:val="000000"/>
          <w:sz w:val="28"/>
          <w:lang w:val="vi-VN"/>
        </w:rPr>
        <w:t>Xét đ</w:t>
      </w:r>
      <w:r>
        <w:rPr>
          <w:i/>
          <w:iCs/>
          <w:color w:val="000000"/>
          <w:sz w:val="28"/>
        </w:rPr>
        <w:t xml:space="preserve">ề </w:t>
      </w:r>
      <w:r>
        <w:rPr>
          <w:i/>
          <w:iCs/>
          <w:color w:val="000000"/>
          <w:sz w:val="28"/>
          <w:lang w:val="vi-VN"/>
        </w:rPr>
        <w:t>nghị của Vụ trưởng Vụ Chính sách thuế;</w:t>
      </w:r>
    </w:p>
    <w:p>
      <w:pPr>
        <w:pStyle w:val="Normal"/>
        <w:spacing w:lineRule="exact" w:line="320" w:before="120" w:after="120"/>
        <w:ind w:firstLine="567"/>
        <w:jc w:val="both"/>
        <w:rPr>
          <w:sz w:val="28"/>
        </w:rPr>
      </w:pPr>
      <w:r>
        <w:rPr>
          <w:color w:val="000000"/>
          <w:sz w:val="28"/>
          <w:lang w:val="vi-VN"/>
        </w:rPr>
        <w:t>Bộ trưởng Bộ Tài ch</w:t>
      </w:r>
      <w:r>
        <w:rPr>
          <w:color w:val="000000"/>
          <w:sz w:val="28"/>
        </w:rPr>
        <w:t>í</w:t>
      </w:r>
      <w:r>
        <w:rPr>
          <w:color w:val="000000"/>
          <w:sz w:val="28"/>
          <w:lang w:val="vi-VN"/>
        </w:rPr>
        <w:t>nh ban hành Thông tư hướng dẫn thí điểm áp dụng chính sách ưu đãi thuế thu nhập doanh nghiệp đ</w:t>
      </w:r>
      <w:r>
        <w:rPr>
          <w:color w:val="000000"/>
          <w:sz w:val="28"/>
        </w:rPr>
        <w:t>ố</w:t>
      </w:r>
      <w:r>
        <w:rPr>
          <w:color w:val="000000"/>
          <w:sz w:val="28"/>
          <w:lang w:val="vi-VN"/>
        </w:rPr>
        <w:t>i với T</w:t>
      </w:r>
      <w:r>
        <w:rPr>
          <w:color w:val="000000"/>
          <w:sz w:val="28"/>
        </w:rPr>
        <w:t xml:space="preserve">ổ </w:t>
      </w:r>
      <w:r>
        <w:rPr>
          <w:color w:val="000000"/>
          <w:sz w:val="28"/>
          <w:lang w:val="vi-VN"/>
        </w:rPr>
        <w:t>chức tài chính quy mô nhỏ trách nhiệm hữu hạn một thành viên T</w:t>
      </w:r>
      <w:r>
        <w:rPr>
          <w:color w:val="000000"/>
          <w:sz w:val="28"/>
        </w:rPr>
        <w:t>ì</w:t>
      </w:r>
      <w:r>
        <w:rPr>
          <w:color w:val="000000"/>
          <w:sz w:val="28"/>
          <w:lang w:val="vi-VN"/>
        </w:rPr>
        <w:t>nh Thương.</w:t>
      </w:r>
    </w:p>
    <w:p>
      <w:pPr>
        <w:pStyle w:val="Normal"/>
        <w:spacing w:lineRule="exact" w:line="320" w:before="120" w:after="120"/>
        <w:ind w:firstLine="567"/>
        <w:jc w:val="both"/>
        <w:rPr>
          <w:sz w:val="28"/>
        </w:rPr>
      </w:pPr>
      <w:bookmarkStart w:id="0" w:name="dieu_1"/>
      <w:r>
        <w:rPr>
          <w:b/>
          <w:bCs/>
          <w:color w:val="000000"/>
          <w:sz w:val="28"/>
          <w:lang w:val="vi-VN"/>
        </w:rPr>
        <w:t>Điều 1. Đối tượng và phạm vi áp dụng</w:t>
      </w:r>
      <w:bookmarkEnd w:id="0"/>
    </w:p>
    <w:p>
      <w:pPr>
        <w:pStyle w:val="Normal"/>
        <w:spacing w:lineRule="exact" w:line="320" w:before="120" w:after="120"/>
        <w:ind w:firstLine="567"/>
        <w:jc w:val="both"/>
        <w:rPr>
          <w:sz w:val="28"/>
        </w:rPr>
      </w:pPr>
      <w:r>
        <w:rPr>
          <w:color w:val="000000"/>
          <w:sz w:val="28"/>
          <w:lang w:val="vi-VN"/>
        </w:rPr>
        <w:t>Thông tư này hướng dẫn về việc thí điểm áp dụng chính sách ưu đãi thuế thu nhập doanh nghiệp đối với Tổ chức tài chính quy mô nhỏ trách nhiệm hữu hạn một thành viên Tình Thương.</w:t>
      </w:r>
    </w:p>
    <w:p>
      <w:pPr>
        <w:pStyle w:val="Normal"/>
        <w:spacing w:lineRule="exact" w:line="320" w:before="120" w:after="120"/>
        <w:ind w:firstLine="567"/>
        <w:jc w:val="both"/>
        <w:rPr>
          <w:sz w:val="28"/>
        </w:rPr>
      </w:pPr>
      <w:bookmarkStart w:id="1" w:name="dieu_2"/>
      <w:r>
        <w:rPr>
          <w:b/>
          <w:bCs/>
          <w:color w:val="000000"/>
          <w:sz w:val="28"/>
          <w:lang w:val="vi-VN"/>
        </w:rPr>
        <w:t>Điều 2. Chính sách ưu đãi thuế</w:t>
      </w:r>
      <w:bookmarkEnd w:id="1"/>
    </w:p>
    <w:p>
      <w:pPr>
        <w:pStyle w:val="Normal"/>
        <w:spacing w:lineRule="exact" w:line="320" w:before="120" w:after="120"/>
        <w:ind w:firstLine="567"/>
        <w:jc w:val="both"/>
        <w:rPr>
          <w:sz w:val="28"/>
        </w:rPr>
      </w:pPr>
      <w:r>
        <w:rPr>
          <w:color w:val="000000"/>
          <w:sz w:val="28"/>
          <w:lang w:val="vi-VN"/>
        </w:rPr>
        <w:t>Tổ chức tài chính quy mô nhỏ trách nhiệm hữu hạn một thành viên Tình Thương được áp dụng ưu đãi thuế như sau:</w:t>
      </w:r>
    </w:p>
    <w:p>
      <w:pPr>
        <w:pStyle w:val="Normal"/>
        <w:spacing w:lineRule="exact" w:line="320" w:before="120" w:after="120"/>
        <w:ind w:firstLine="567"/>
        <w:jc w:val="both"/>
        <w:rPr>
          <w:sz w:val="28"/>
        </w:rPr>
      </w:pPr>
      <w:r>
        <w:rPr>
          <w:color w:val="000000"/>
          <w:sz w:val="28"/>
        </w:rPr>
        <w:t xml:space="preserve">1. </w:t>
      </w:r>
      <w:r>
        <w:rPr>
          <w:color w:val="000000"/>
          <w:sz w:val="28"/>
          <w:lang w:val="vi-VN"/>
        </w:rPr>
        <w:t>Thuế suất thuế thu nhập doanh nghiệp 20% trong suốt thời gian hoạt động đối với phần thu nhập có được từ việc thực hiện hoạt động tài chính vi mô.</w:t>
      </w:r>
    </w:p>
    <w:p>
      <w:pPr>
        <w:pStyle w:val="Normal"/>
        <w:spacing w:lineRule="exact" w:line="320" w:before="120" w:after="120"/>
        <w:ind w:firstLine="567"/>
        <w:jc w:val="both"/>
        <w:rPr>
          <w:sz w:val="28"/>
        </w:rPr>
      </w:pPr>
      <w:r>
        <w:rPr>
          <w:color w:val="000000"/>
          <w:sz w:val="28"/>
        </w:rPr>
        <w:t xml:space="preserve">2. </w:t>
      </w:r>
      <w:r>
        <w:rPr>
          <w:color w:val="000000"/>
          <w:sz w:val="28"/>
          <w:lang w:val="vi-VN"/>
        </w:rPr>
        <w:t>Miễn thuế thu nhập doanh nghiệp trong 2 năm, giảm 50% số thuế phải nộp trong 4 năm tiếp theo đối với phần thu nhập có được từ việc thực hiện hoạt động tài chính vi mô.</w:t>
      </w:r>
    </w:p>
    <w:p>
      <w:pPr>
        <w:pStyle w:val="Normal"/>
        <w:spacing w:lineRule="exact" w:line="320" w:before="120" w:after="120"/>
        <w:ind w:firstLine="567"/>
        <w:jc w:val="both"/>
        <w:rPr>
          <w:sz w:val="28"/>
        </w:rPr>
      </w:pPr>
      <w:r>
        <w:rPr>
          <w:color w:val="000000"/>
          <w:sz w:val="28"/>
          <w:lang w:val="vi-VN"/>
        </w:rPr>
        <w:t>Thời gian miễn thuế, giảm thuế quy định tại khoản 2 Điều này được tính liên tục từ kỳ tính thuế năm 2012.</w:t>
      </w:r>
    </w:p>
    <w:p>
      <w:pPr>
        <w:pStyle w:val="Normal"/>
        <w:spacing w:lineRule="exact" w:line="320" w:before="120" w:after="120"/>
        <w:ind w:firstLine="567"/>
        <w:jc w:val="both"/>
        <w:rPr>
          <w:sz w:val="28"/>
        </w:rPr>
      </w:pPr>
      <w:r>
        <w:rPr>
          <w:color w:val="000000"/>
          <w:sz w:val="28"/>
          <w:lang w:val="vi-VN"/>
        </w:rPr>
        <w:t>Hoạt động tài chính vi mô quy định tại Điều này là các hoạt động mà Tổ chức tài chính quy mô nhỏ trách nhiệm hữu hạn một thành viên Tình thương được phép thực hiện theo quy định tại Điều 119, Điều 120, Điều 121 và Điều 122 Luật các tổ chức tín dụng số 47/2010/QH12 và các văn bản hướng dẫn.</w:t>
      </w:r>
    </w:p>
    <w:p>
      <w:pPr>
        <w:pStyle w:val="Normal"/>
        <w:spacing w:lineRule="exact" w:line="320" w:before="120" w:after="120"/>
        <w:ind w:firstLine="567"/>
        <w:jc w:val="both"/>
        <w:rPr>
          <w:sz w:val="28"/>
        </w:rPr>
      </w:pPr>
      <w:r>
        <w:rPr>
          <w:sz w:val="28"/>
        </w:rPr>
        <w:t xml:space="preserve">3. </w:t>
      </w:r>
      <w:r>
        <w:rPr>
          <w:color w:val="000000"/>
          <w:sz w:val="28"/>
          <w:lang w:val="vi-VN"/>
        </w:rPr>
        <w:t>Chính sách ưu đãi thuế thí điểm đối với Tổ chức tài chính quy mô nhỏ trách nhiệm hữu hạn một thành viên Tình Thương quy định tại Thông tư này được áp dụng từ kỳ tính thuế năm 2012 đến khi Luật thuế thu nhập doanh nghiệp số 14/2008/QH12 được sửa đổi, bổ sung và có hiệu lực thi hành.</w:t>
      </w:r>
    </w:p>
    <w:p>
      <w:pPr>
        <w:pStyle w:val="Normal"/>
        <w:spacing w:lineRule="exact" w:line="320" w:before="120" w:after="120"/>
        <w:ind w:firstLine="567"/>
        <w:jc w:val="both"/>
        <w:rPr>
          <w:sz w:val="28"/>
        </w:rPr>
      </w:pPr>
      <w:r>
        <w:rPr>
          <w:sz w:val="28"/>
        </w:rPr>
        <w:t xml:space="preserve">4. </w:t>
      </w:r>
      <w:r>
        <w:rPr>
          <w:color w:val="000000"/>
          <w:sz w:val="28"/>
          <w:lang w:val="vi-VN"/>
        </w:rPr>
        <w:t>Nguyên tắc, thủ tục miễn thuế, giảm thuế thu nhập doanh nghiệp thực hiện theo qu</w:t>
      </w:r>
      <w:r>
        <w:rPr>
          <w:color w:val="000000"/>
          <w:sz w:val="28"/>
        </w:rPr>
        <w:t xml:space="preserve">y </w:t>
      </w:r>
      <w:r>
        <w:rPr>
          <w:color w:val="000000"/>
          <w:sz w:val="28"/>
          <w:lang w:val="vi-VN"/>
        </w:rPr>
        <w:t>định của Luật thuế thu nhập doanh nghiệp số 14/2008/QH12, Luật Quản lý thuế số 78/2006/QH11 và các văn bản hướng dẫn.</w:t>
      </w:r>
    </w:p>
    <w:p>
      <w:pPr>
        <w:pStyle w:val="Normal"/>
        <w:spacing w:lineRule="exact" w:line="320" w:before="120" w:after="120"/>
        <w:ind w:firstLine="567"/>
        <w:jc w:val="both"/>
        <w:rPr>
          <w:sz w:val="28"/>
        </w:rPr>
      </w:pPr>
      <w:bookmarkStart w:id="2" w:name="dieu_3"/>
      <w:r>
        <w:rPr>
          <w:b/>
          <w:bCs/>
          <w:color w:val="000000"/>
          <w:sz w:val="28"/>
          <w:lang w:val="vi-VN"/>
        </w:rPr>
        <w:t>Điều 3. Tổ chức thực hiện</w:t>
      </w:r>
      <w:bookmarkEnd w:id="2"/>
    </w:p>
    <w:p>
      <w:pPr>
        <w:pStyle w:val="Normal"/>
        <w:spacing w:lineRule="exact" w:line="320" w:before="120" w:after="120"/>
        <w:ind w:firstLine="567"/>
        <w:jc w:val="both"/>
        <w:rPr>
          <w:sz w:val="28"/>
        </w:rPr>
      </w:pPr>
      <w:r>
        <w:rPr>
          <w:color w:val="000000"/>
          <w:sz w:val="28"/>
        </w:rPr>
        <w:t xml:space="preserve">1. </w:t>
      </w:r>
      <w:r>
        <w:rPr>
          <w:color w:val="000000"/>
          <w:sz w:val="28"/>
          <w:lang w:val="vi-VN"/>
        </w:rPr>
        <w:t xml:space="preserve">Thông tư này có hiệu lực thi hành từ ngày </w:t>
      </w:r>
      <w:r>
        <w:rPr>
          <w:color w:val="000000"/>
          <w:sz w:val="28"/>
        </w:rPr>
        <w:t>01</w:t>
      </w:r>
      <w:r>
        <w:rPr>
          <w:color w:val="000000"/>
          <w:sz w:val="28"/>
          <w:lang w:val="vi-VN"/>
        </w:rPr>
        <w:t xml:space="preserve"> tháng </w:t>
      </w:r>
      <w:r>
        <w:rPr>
          <w:color w:val="000000"/>
          <w:sz w:val="28"/>
        </w:rPr>
        <w:t>9</w:t>
      </w:r>
      <w:r>
        <w:rPr>
          <w:color w:val="000000"/>
          <w:sz w:val="28"/>
          <w:lang w:val="vi-VN"/>
        </w:rPr>
        <w:t xml:space="preserve"> năm 2012.</w:t>
      </w:r>
    </w:p>
    <w:p>
      <w:pPr>
        <w:pStyle w:val="Normal"/>
        <w:spacing w:lineRule="exact" w:line="320" w:before="120" w:after="120"/>
        <w:ind w:firstLine="567"/>
        <w:jc w:val="both"/>
        <w:rPr>
          <w:sz w:val="28"/>
        </w:rPr>
      </w:pPr>
      <w:r>
        <w:rPr>
          <w:color w:val="000000"/>
          <w:sz w:val="28"/>
        </w:rPr>
        <w:t xml:space="preserve">2. </w:t>
      </w:r>
      <w:r>
        <w:rPr>
          <w:color w:val="000000"/>
          <w:sz w:val="28"/>
          <w:lang w:val="vi-VN"/>
        </w:rPr>
        <w:t>Các nội dung không hướng dẫn tại Thông tư này và các nội dung không trái với hướng dẫn tại Thông tư này được thực hiện theo quy định hiện hành.</w:t>
      </w:r>
    </w:p>
    <w:p>
      <w:pPr>
        <w:pStyle w:val="Normal"/>
        <w:spacing w:lineRule="exact" w:line="320" w:before="120" w:after="120"/>
        <w:ind w:firstLine="567"/>
        <w:jc w:val="both"/>
        <w:rPr>
          <w:sz w:val="28"/>
        </w:rPr>
      </w:pPr>
      <w:r>
        <w:rPr>
          <w:color w:val="000000"/>
          <w:sz w:val="28"/>
          <w:lang w:val="vi-VN"/>
        </w:rPr>
        <w:t xml:space="preserve">Trong quá trình thực hiện nếu có vướng mắc, đề nghị Tổ chức tài chính quy mô nhỏ trách nhiệm hữu hạn một thành viên Tình Thương và các tổ chức, cá nhân phản ánh kịp thời về Bộ Tài chính để nghiên cứu, hướng dẫn bổ sung </w:t>
      </w:r>
      <w:r>
        <w:rPr>
          <w:color w:val="000000"/>
          <w:sz w:val="28"/>
        </w:rPr>
        <w:t>kịp thời.</w:t>
      </w:r>
    </w:p>
    <w:p>
      <w:pPr>
        <w:pStyle w:val="Normal"/>
        <w:spacing w:lineRule="exact" w:line="320" w:before="120" w:after="120"/>
        <w:ind w:firstLine="567"/>
        <w:jc w:val="both"/>
        <w:rPr>
          <w:color w:val="000000"/>
          <w:sz w:val="28"/>
        </w:rPr>
      </w:pPr>
      <w:r>
        <w:rPr>
          <w:color w:val="000000"/>
          <w:sz w:val="28"/>
        </w:rPr>
        <w:t> </w:t>
      </w:r>
    </w:p>
    <w:tbl>
      <w:tblPr>
        <w:tblW w:w="5000" w:type="pct"/>
        <w:jc w:val="left"/>
        <w:tblInd w:w="-108"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rPr>
                <w:sz w:val="22"/>
              </w:rPr>
            </w:pPr>
            <w:r>
              <w:rPr>
                <w:b/>
                <w:bCs/>
                <w:i/>
                <w:iCs/>
                <w:sz w:val="22"/>
                <w:lang w:val="vi-VN"/>
              </w:rPr>
              <w:t> </w:t>
            </w:r>
          </w:p>
          <w:p>
            <w:pPr>
              <w:pStyle w:val="Normal"/>
              <w:rPr>
                <w:sz w:val="22"/>
              </w:rPr>
            </w:pPr>
            <w:r>
              <w:rPr>
                <w:b/>
                <w:bCs/>
                <w:i/>
                <w:iCs/>
                <w:lang w:val="vi-VN"/>
              </w:rPr>
              <w:t>Nơi nhận:</w:t>
            </w:r>
            <w:r>
              <w:rPr>
                <w:b/>
                <w:bCs/>
                <w:i/>
                <w:iCs/>
                <w:sz w:val="22"/>
                <w:lang w:val="vi-VN"/>
              </w:rPr>
              <w:br/>
            </w:r>
            <w:r>
              <w:rPr>
                <w:i/>
                <w:iCs/>
                <w:sz w:val="22"/>
              </w:rPr>
              <w:t xml:space="preserve">- </w:t>
            </w:r>
            <w:r>
              <w:rPr>
                <w:color w:val="000000"/>
                <w:sz w:val="22"/>
                <w:lang w:val="vi-VN"/>
              </w:rPr>
              <w:t>Văn phòng TW và các Ban của Đảng;</w:t>
              <w:br/>
              <w:t>- Văn phòng Quốc hội;</w:t>
              <w:br/>
              <w:t>- Văn phòng Chủ tịch nước;</w:t>
              <w:br/>
              <w:t xml:space="preserve">- </w:t>
            </w:r>
            <w:r>
              <w:rPr>
                <w:color w:val="000000"/>
                <w:sz w:val="22"/>
              </w:rPr>
              <w:t>V</w:t>
            </w:r>
            <w:r>
              <w:rPr>
                <w:color w:val="000000"/>
                <w:sz w:val="22"/>
                <w:lang w:val="vi-VN"/>
              </w:rPr>
              <w:t xml:space="preserve">ăn phòng </w:t>
            </w:r>
            <w:r>
              <w:rPr>
                <w:color w:val="000000"/>
                <w:sz w:val="22"/>
              </w:rPr>
              <w:t>T</w:t>
            </w:r>
            <w:r>
              <w:rPr>
                <w:color w:val="000000"/>
                <w:sz w:val="22"/>
                <w:lang w:val="vi-VN"/>
              </w:rPr>
              <w:t xml:space="preserve">ổng </w:t>
            </w:r>
            <w:r>
              <w:rPr>
                <w:color w:val="000000"/>
                <w:sz w:val="22"/>
              </w:rPr>
              <w:t>B</w:t>
            </w:r>
            <w:r>
              <w:rPr>
                <w:color w:val="000000"/>
                <w:sz w:val="22"/>
                <w:lang w:val="vi-VN"/>
              </w:rPr>
              <w:t>í thư;</w:t>
              <w:br/>
              <w:t xml:space="preserve">- </w:t>
            </w:r>
            <w:r>
              <w:rPr>
                <w:color w:val="000000"/>
                <w:sz w:val="22"/>
              </w:rPr>
              <w:t>V</w:t>
            </w:r>
            <w:r>
              <w:rPr>
                <w:color w:val="000000"/>
                <w:sz w:val="22"/>
                <w:lang w:val="vi-VN"/>
              </w:rPr>
              <w:t xml:space="preserve">iện </w:t>
            </w:r>
            <w:r>
              <w:rPr>
                <w:color w:val="000000"/>
                <w:sz w:val="22"/>
              </w:rPr>
              <w:t>K</w:t>
            </w:r>
            <w:r>
              <w:rPr>
                <w:color w:val="000000"/>
                <w:sz w:val="22"/>
                <w:lang w:val="vi-VN"/>
              </w:rPr>
              <w:t>iểm sát nhân dân tối cao;</w:t>
              <w:br/>
              <w:t xml:space="preserve">- </w:t>
            </w:r>
            <w:r>
              <w:rPr>
                <w:color w:val="000000"/>
                <w:sz w:val="22"/>
              </w:rPr>
              <w:t>T</w:t>
            </w:r>
            <w:r>
              <w:rPr>
                <w:color w:val="000000"/>
                <w:sz w:val="22"/>
                <w:lang w:val="vi-VN"/>
              </w:rPr>
              <w:t>oà án nhân dân tối cao;</w:t>
              <w:br/>
            </w:r>
            <w:r>
              <w:rPr>
                <w:color w:val="000000"/>
                <w:sz w:val="22"/>
              </w:rPr>
              <w:t>- K</w:t>
            </w:r>
            <w:r>
              <w:rPr>
                <w:color w:val="000000"/>
                <w:sz w:val="22"/>
                <w:lang w:val="vi-VN"/>
              </w:rPr>
              <w:t>iểm toán nhà nước;</w:t>
              <w:br/>
            </w:r>
            <w:r>
              <w:rPr>
                <w:color w:val="000000"/>
                <w:sz w:val="22"/>
              </w:rPr>
              <w:t>- V</w:t>
            </w:r>
            <w:r>
              <w:rPr>
                <w:color w:val="000000"/>
                <w:sz w:val="22"/>
                <w:lang w:val="vi-VN"/>
              </w:rPr>
              <w:t>ăn phòng ban chi đạo TW về phòng, chống tham nhũng;</w:t>
              <w:br/>
            </w:r>
            <w:r>
              <w:rPr>
                <w:color w:val="000000"/>
                <w:sz w:val="22"/>
              </w:rPr>
              <w:t>- C</w:t>
            </w:r>
            <w:r>
              <w:rPr>
                <w:color w:val="000000"/>
                <w:sz w:val="22"/>
                <w:lang w:val="vi-VN"/>
              </w:rPr>
              <w:t xml:space="preserve">ác </w:t>
            </w:r>
            <w:r>
              <w:rPr>
                <w:color w:val="000000"/>
                <w:sz w:val="22"/>
              </w:rPr>
              <w:t>B</w:t>
            </w:r>
            <w:r>
              <w:rPr>
                <w:color w:val="000000"/>
                <w:sz w:val="22"/>
                <w:lang w:val="vi-VN"/>
              </w:rPr>
              <w:t xml:space="preserve">ộ, cơ quan ngang </w:t>
            </w:r>
            <w:r>
              <w:rPr>
                <w:color w:val="000000"/>
                <w:sz w:val="22"/>
              </w:rPr>
              <w:t>B</w:t>
            </w:r>
            <w:r>
              <w:rPr>
                <w:color w:val="000000"/>
                <w:sz w:val="22"/>
                <w:lang w:val="vi-VN"/>
              </w:rPr>
              <w:t xml:space="preserve">ộ, cơ quan thuộc </w:t>
            </w:r>
            <w:r>
              <w:rPr>
                <w:color w:val="000000"/>
                <w:sz w:val="22"/>
              </w:rPr>
              <w:t>C</w:t>
            </w:r>
            <w:r>
              <w:rPr>
                <w:color w:val="000000"/>
                <w:sz w:val="22"/>
                <w:lang w:val="vi-VN"/>
              </w:rPr>
              <w:t>hính phủ</w:t>
            </w:r>
            <w:r>
              <w:rPr>
                <w:color w:val="000000"/>
                <w:sz w:val="22"/>
              </w:rPr>
              <w:t>;</w:t>
            </w:r>
            <w:r>
              <w:rPr>
                <w:color w:val="000000"/>
                <w:sz w:val="22"/>
                <w:lang w:val="vi-VN"/>
              </w:rPr>
              <w:br/>
            </w:r>
            <w:r>
              <w:rPr>
                <w:color w:val="000000"/>
                <w:sz w:val="22"/>
              </w:rPr>
              <w:t>- C</w:t>
            </w:r>
            <w:r>
              <w:rPr>
                <w:color w:val="000000"/>
                <w:sz w:val="22"/>
                <w:lang w:val="vi-VN"/>
              </w:rPr>
              <w:t xml:space="preserve">ơ quan </w:t>
            </w:r>
            <w:r>
              <w:rPr>
                <w:color w:val="000000"/>
                <w:sz w:val="22"/>
              </w:rPr>
              <w:t>T</w:t>
            </w:r>
            <w:r>
              <w:rPr>
                <w:color w:val="000000"/>
                <w:sz w:val="22"/>
                <w:lang w:val="vi-VN"/>
              </w:rPr>
              <w:t>rung ương của các đoàn thể;</w:t>
              <w:br/>
            </w:r>
            <w:r>
              <w:rPr>
                <w:color w:val="000000"/>
                <w:sz w:val="22"/>
              </w:rPr>
              <w:t>- H</w:t>
            </w:r>
            <w:r>
              <w:rPr>
                <w:color w:val="000000"/>
                <w:sz w:val="22"/>
                <w:lang w:val="vi-VN"/>
              </w:rPr>
              <w:t xml:space="preserve">ội đồng nhân dân, </w:t>
            </w:r>
            <w:r>
              <w:rPr>
                <w:color w:val="000000"/>
                <w:sz w:val="22"/>
              </w:rPr>
              <w:t>Ủy</w:t>
            </w:r>
            <w:r>
              <w:rPr>
                <w:color w:val="000000"/>
                <w:sz w:val="22"/>
                <w:lang w:val="vi-VN"/>
              </w:rPr>
              <w:t xml:space="preserve"> ban nhân dân, </w:t>
            </w:r>
            <w:r>
              <w:rPr>
                <w:color w:val="000000"/>
                <w:sz w:val="22"/>
              </w:rPr>
              <w:t>C</w:t>
            </w:r>
            <w:r>
              <w:rPr>
                <w:color w:val="000000"/>
                <w:sz w:val="22"/>
                <w:lang w:val="vi-VN"/>
              </w:rPr>
              <w:t xml:space="preserve">ục </w:t>
            </w:r>
            <w:r>
              <w:rPr>
                <w:color w:val="000000"/>
                <w:sz w:val="22"/>
              </w:rPr>
              <w:t>T</w:t>
            </w:r>
            <w:r>
              <w:rPr>
                <w:color w:val="000000"/>
                <w:sz w:val="22"/>
                <w:lang w:val="vi-VN"/>
              </w:rPr>
              <w:t>huế các t</w:t>
            </w:r>
            <w:r>
              <w:rPr>
                <w:color w:val="000000"/>
                <w:sz w:val="22"/>
              </w:rPr>
              <w:t>ỉ</w:t>
            </w:r>
            <w:r>
              <w:rPr>
                <w:color w:val="000000"/>
                <w:sz w:val="22"/>
                <w:lang w:val="vi-VN"/>
              </w:rPr>
              <w:t xml:space="preserve">nh, thành phố trực thuộc </w:t>
            </w:r>
            <w:r>
              <w:rPr>
                <w:color w:val="000000"/>
                <w:sz w:val="22"/>
              </w:rPr>
              <w:t>T</w:t>
            </w:r>
            <w:r>
              <w:rPr>
                <w:color w:val="000000"/>
                <w:sz w:val="22"/>
                <w:lang w:val="vi-VN"/>
              </w:rPr>
              <w:t>rung ương;</w:t>
              <w:br/>
            </w:r>
            <w:r>
              <w:rPr>
                <w:color w:val="000000"/>
                <w:sz w:val="22"/>
              </w:rPr>
              <w:t>- C</w:t>
            </w:r>
            <w:r>
              <w:rPr>
                <w:color w:val="000000"/>
                <w:sz w:val="22"/>
                <w:lang w:val="vi-VN"/>
              </w:rPr>
              <w:t>ông báo;</w:t>
              <w:br/>
            </w:r>
            <w:r>
              <w:rPr>
                <w:color w:val="000000"/>
                <w:sz w:val="22"/>
              </w:rPr>
              <w:t>- C</w:t>
            </w:r>
            <w:r>
              <w:rPr>
                <w:color w:val="000000"/>
                <w:sz w:val="22"/>
                <w:lang w:val="vi-VN"/>
              </w:rPr>
              <w:t xml:space="preserve">ục </w:t>
            </w:r>
            <w:r>
              <w:rPr>
                <w:color w:val="000000"/>
                <w:sz w:val="22"/>
              </w:rPr>
              <w:t>K</w:t>
            </w:r>
            <w:r>
              <w:rPr>
                <w:color w:val="000000"/>
                <w:sz w:val="22"/>
                <w:lang w:val="vi-VN"/>
              </w:rPr>
              <w:t>iểm tra văn bản (</w:t>
            </w:r>
            <w:r>
              <w:rPr>
                <w:color w:val="000000"/>
                <w:sz w:val="22"/>
              </w:rPr>
              <w:t>B</w:t>
            </w:r>
            <w:r>
              <w:rPr>
                <w:color w:val="000000"/>
                <w:sz w:val="22"/>
                <w:lang w:val="vi-VN"/>
              </w:rPr>
              <w:t xml:space="preserve">ộ </w:t>
            </w:r>
            <w:r>
              <w:rPr>
                <w:color w:val="000000"/>
                <w:sz w:val="22"/>
              </w:rPr>
              <w:t>T</w:t>
            </w:r>
            <w:r>
              <w:rPr>
                <w:color w:val="000000"/>
                <w:sz w:val="22"/>
                <w:lang w:val="vi-VN"/>
              </w:rPr>
              <w:t>ư pháp);</w:t>
              <w:br/>
            </w:r>
            <w:r>
              <w:rPr>
                <w:color w:val="000000"/>
                <w:sz w:val="22"/>
              </w:rPr>
              <w:t>- W</w:t>
            </w:r>
            <w:r>
              <w:rPr>
                <w:color w:val="000000"/>
                <w:sz w:val="22"/>
                <w:lang w:val="vi-VN"/>
              </w:rPr>
              <w:t xml:space="preserve">ebsite </w:t>
            </w:r>
            <w:r>
              <w:rPr>
                <w:color w:val="000000"/>
                <w:sz w:val="22"/>
              </w:rPr>
              <w:t>C</w:t>
            </w:r>
            <w:r>
              <w:rPr>
                <w:color w:val="000000"/>
                <w:sz w:val="22"/>
                <w:lang w:val="vi-VN"/>
              </w:rPr>
              <w:t>hính phủ;</w:t>
              <w:br/>
            </w:r>
            <w:r>
              <w:rPr>
                <w:color w:val="000000"/>
                <w:sz w:val="22"/>
              </w:rPr>
              <w:t>- W</w:t>
            </w:r>
            <w:r>
              <w:rPr>
                <w:color w:val="000000"/>
                <w:sz w:val="22"/>
                <w:lang w:val="vi-VN"/>
              </w:rPr>
              <w:t>ebsite Bộ Tài chính;</w:t>
              <w:br/>
            </w:r>
            <w:r>
              <w:rPr>
                <w:color w:val="000000"/>
                <w:sz w:val="22"/>
              </w:rPr>
              <w:t>- C</w:t>
            </w:r>
            <w:r>
              <w:rPr>
                <w:color w:val="000000"/>
                <w:sz w:val="22"/>
                <w:lang w:val="vi-VN"/>
              </w:rPr>
              <w:t>ác đơn vị thuộc Bộ Tài chính;</w:t>
              <w:br/>
            </w:r>
            <w:r>
              <w:rPr>
                <w:color w:val="000000"/>
                <w:sz w:val="22"/>
              </w:rPr>
              <w:t>- L</w:t>
            </w:r>
            <w:r>
              <w:rPr>
                <w:color w:val="000000"/>
                <w:sz w:val="22"/>
                <w:lang w:val="vi-VN"/>
              </w:rPr>
              <w:t>ưu: VT, CST.</w:t>
            </w:r>
          </w:p>
        </w:tc>
        <w:tc>
          <w:tcPr>
            <w:tcW w:w="4536" w:type="dxa"/>
            <w:tcBorders/>
          </w:tcPr>
          <w:p>
            <w:pPr>
              <w:pStyle w:val="Normal"/>
              <w:jc w:val="center"/>
              <w:rPr>
                <w:sz w:val="26"/>
              </w:rPr>
            </w:pPr>
            <w:r>
              <w:rPr>
                <w:b/>
                <w:bCs/>
                <w:sz w:val="26"/>
                <w:lang w:val="vi-VN"/>
              </w:rPr>
              <w:t xml:space="preserve">KT. </w:t>
            </w:r>
            <w:r>
              <w:rPr>
                <w:b/>
                <w:bCs/>
                <w:sz w:val="26"/>
              </w:rPr>
              <w:t>BỘ TRƯỞNG</w:t>
              <w:br/>
              <w:t>THỨ TRƯỞNG</w:t>
            </w:r>
            <w:r>
              <w:rPr>
                <w:b/>
                <w:bCs/>
                <w:sz w:val="26"/>
                <w:lang w:val="vi-VN"/>
              </w:rPr>
              <w:br/>
              <w:br/>
            </w:r>
            <w:r>
              <w:rPr>
                <w:b/>
                <w:bCs/>
                <w:i/>
                <w:sz w:val="26"/>
                <w:lang w:val="en-US"/>
              </w:rPr>
              <w:t>(Đã ký)</w:t>
            </w:r>
            <w:r>
              <w:rPr>
                <w:b/>
                <w:bCs/>
                <w:sz w:val="26"/>
                <w:lang w:val="en-US"/>
              </w:rPr>
              <w:t xml:space="preserve"> </w:t>
            </w:r>
            <w:r>
              <w:rPr>
                <w:b/>
                <w:bCs/>
                <w:sz w:val="26"/>
                <w:lang w:val="vi-VN"/>
              </w:rPr>
              <w:br/>
              <w:br/>
              <w:t xml:space="preserve">Vũ </w:t>
            </w:r>
            <w:r>
              <w:rPr>
                <w:b/>
                <w:bCs/>
                <w:sz w:val="26"/>
              </w:rPr>
              <w:t>Thị Mai</w:t>
            </w:r>
          </w:p>
        </w:tc>
      </w:tr>
    </w:tbl>
    <w:p>
      <w:pPr>
        <w:pStyle w:val="Normal"/>
        <w:spacing w:lineRule="exact" w:line="320" w:before="120" w:after="120"/>
        <w:ind w:firstLine="567"/>
        <w:jc w:val="both"/>
        <w:rPr>
          <w:sz w:val="28"/>
        </w:rPr>
      </w:pPr>
      <w:r>
        <w:rPr>
          <w:sz w:val="28"/>
        </w:rPr>
        <w:t> </w:t>
      </w:r>
    </w:p>
    <w:sectPr>
      <w:type w:val="nextPage"/>
      <w:pgSz w:w="11906" w:h="16838"/>
      <w:pgMar w:left="1701" w:right="1134"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2015-07-23T07:31:00Z</dcterms:created>
  <dc:creator/>
  <dc:description/>
  <cp:keywords/>
  <dc:language>en-US</dc:language>
  <cp:lastModifiedBy>User</cp:lastModifiedBy>
  <dcterms:modified xsi:type="dcterms:W3CDTF">2015-07-23T07:32:00Z</dcterms:modified>
  <cp:revision>2</cp:revision>
  <dc:subject/>
  <dc:title/>
</cp:coreProperties>
</file>