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114" w:type="dxa"/>
        <w:jc w:val="left"/>
        <w:tblInd w:w="0" w:type="dxa"/>
        <w:tblLayout w:type="fixed"/>
        <w:tblCellMar>
          <w:top w:w="0" w:type="dxa"/>
          <w:left w:w="108" w:type="dxa"/>
          <w:bottom w:w="0" w:type="dxa"/>
          <w:right w:w="108" w:type="dxa"/>
        </w:tblCellMar>
      </w:tblPr>
      <w:tblGrid>
        <w:gridCol w:w="3441"/>
        <w:gridCol w:w="5673"/>
      </w:tblGrid>
      <w:tr>
        <w:trPr>
          <w:trHeight w:val="293" w:hRule="atLeast"/>
        </w:trPr>
        <w:tc>
          <w:tcPr>
            <w:tcW w:w="3441" w:type="dxa"/>
            <w:tcBorders/>
          </w:tcPr>
          <w:p>
            <w:pPr>
              <w:pStyle w:val="Normal"/>
              <w:jc w:val="center"/>
              <w:rPr>
                <w:b/>
                <w:b/>
                <w:bCs/>
                <w:color w:val="000000"/>
                <w:sz w:val="26"/>
                <w:szCs w:val="26"/>
                <w:lang w:val="nl-NL"/>
              </w:rPr>
            </w:pPr>
            <w:r>
              <w:rPr>
                <w:b/>
                <w:bCs/>
                <w:color w:val="000000"/>
                <w:sz w:val="26"/>
                <w:szCs w:val="26"/>
                <w:lang w:val="nl-NL"/>
              </w:rPr>
              <w:t>BỘ TÀI CHÍNH</w:t>
            </w:r>
          </w:p>
        </w:tc>
        <w:tc>
          <w:tcPr>
            <w:tcW w:w="5673" w:type="dxa"/>
            <w:tcBorders/>
          </w:tcPr>
          <w:p>
            <w:pPr>
              <w:pStyle w:val="Normal"/>
              <w:jc w:val="center"/>
              <w:rPr>
                <w:b/>
                <w:b/>
                <w:bCs/>
                <w:color w:val="000000"/>
                <w:sz w:val="26"/>
                <w:szCs w:val="26"/>
                <w:lang w:val="nl-NL"/>
              </w:rPr>
            </w:pPr>
            <w:r>
              <w:rPr>
                <w:b/>
                <w:bCs/>
                <w:color w:val="000000"/>
                <w:sz w:val="26"/>
                <w:szCs w:val="26"/>
                <w:lang w:val="nl-NL"/>
              </w:rPr>
              <w:t>CỘNG HOÀ XÃ HỘI CHỦ NGHĨA VIỆT NAM</w:t>
            </w:r>
          </w:p>
        </w:tc>
      </w:tr>
      <w:tr>
        <w:trPr>
          <w:trHeight w:val="335" w:hRule="atLeast"/>
        </w:trPr>
        <w:tc>
          <w:tcPr>
            <w:tcW w:w="3441" w:type="dxa"/>
            <w:tcBorders/>
          </w:tcPr>
          <w:p>
            <w:pPr>
              <w:pStyle w:val="Normal"/>
              <w:jc w:val="center"/>
              <w:rPr>
                <w:color w:val="000000"/>
                <w:sz w:val="16"/>
                <w:szCs w:val="16"/>
                <w:lang w:val="nl-NL"/>
              </w:rPr>
            </w:pPr>
            <w:r>
              <w:rPr>
                <w:rFonts w:cs=".VnFree" w:ascii=".VnFree" w:hAnsi=".VnFree"/>
                <w:color w:val="000000"/>
                <w:sz w:val="16"/>
                <w:szCs w:val="16"/>
                <w:lang w:val="nl-NL"/>
              </w:rPr>
              <w:t>------------------</w:t>
            </w:r>
          </w:p>
        </w:tc>
        <w:tc>
          <w:tcPr>
            <w:tcW w:w="5673" w:type="dxa"/>
            <w:tcBorders/>
          </w:tcPr>
          <w:p>
            <w:pPr>
              <w:pStyle w:val="Normal"/>
              <w:jc w:val="center"/>
              <w:rPr>
                <w:b/>
                <w:b/>
                <w:color w:val="000000"/>
                <w:sz w:val="28"/>
                <w:szCs w:val="28"/>
                <w:lang w:val="nl-NL"/>
              </w:rPr>
            </w:pPr>
            <w:r>
              <w:rPr>
                <w:b/>
                <w:color w:val="000000"/>
                <w:sz w:val="28"/>
                <w:szCs w:val="28"/>
                <w:lang w:val="nl-NL"/>
              </w:rPr>
              <w:t>Độc lập - Tự do - Hạnh phúc</w:t>
            </w:r>
          </w:p>
        </w:tc>
      </w:tr>
      <w:tr>
        <w:trPr>
          <w:trHeight w:val="307" w:hRule="atLeast"/>
        </w:trPr>
        <w:tc>
          <w:tcPr>
            <w:tcW w:w="3441" w:type="dxa"/>
            <w:tcBorders/>
          </w:tcPr>
          <w:p>
            <w:pPr>
              <w:pStyle w:val="Normal"/>
              <w:snapToGrid w:val="false"/>
              <w:jc w:val="center"/>
              <w:rPr>
                <w:b/>
                <w:b/>
                <w:color w:val="000000"/>
                <w:sz w:val="26"/>
                <w:szCs w:val="28"/>
                <w:lang w:val="nl-NL"/>
              </w:rPr>
            </w:pPr>
            <w:r>
              <w:rPr>
                <w:b/>
                <w:color w:val="000000"/>
                <w:sz w:val="26"/>
                <w:szCs w:val="28"/>
                <w:lang w:val="nl-NL"/>
              </w:rPr>
            </w:r>
          </w:p>
        </w:tc>
        <w:tc>
          <w:tcPr>
            <w:tcW w:w="5673" w:type="dxa"/>
            <w:tcBorders/>
          </w:tcPr>
          <w:p>
            <w:pPr>
              <w:pStyle w:val="Normal"/>
              <w:jc w:val="center"/>
              <w:rPr/>
            </w:pPr>
            <w:r>
              <w:rPr>
                <w:rFonts w:cs=".VnFree" w:ascii=".VnFree" w:hAnsi=".VnFree"/>
                <w:color w:val="000000"/>
                <w:sz w:val="16"/>
                <w:szCs w:val="16"/>
                <w:lang w:val="nl-NL"/>
              </w:rPr>
              <w:t>------------------------------------------------------------------------------------</w:t>
            </w:r>
          </w:p>
        </w:tc>
      </w:tr>
      <w:tr>
        <w:trPr>
          <w:trHeight w:val="372" w:hRule="atLeast"/>
        </w:trPr>
        <w:tc>
          <w:tcPr>
            <w:tcW w:w="3441" w:type="dxa"/>
            <w:tcBorders/>
          </w:tcPr>
          <w:p>
            <w:pPr>
              <w:pStyle w:val="Normal"/>
              <w:jc w:val="center"/>
              <w:rPr>
                <w:color w:val="000000"/>
                <w:lang w:val="nl-NL"/>
              </w:rPr>
            </w:pPr>
            <w:r>
              <w:rPr>
                <w:color w:val="000000"/>
                <w:sz w:val="26"/>
                <w:lang w:val="nl-NL"/>
              </w:rPr>
              <w:t>Số:  71 /2019/TT-BTC</w:t>
            </w:r>
          </w:p>
          <w:p>
            <w:pPr>
              <w:pStyle w:val="Normal"/>
              <w:jc w:val="both"/>
              <w:rPr>
                <w:color w:val="000000"/>
                <w:sz w:val="22"/>
                <w:szCs w:val="22"/>
                <w:lang w:val="pt-BR"/>
              </w:rPr>
            </w:pPr>
            <w:r>
              <w:rPr>
                <w:color w:val="000000"/>
                <w:sz w:val="22"/>
                <w:szCs w:val="22"/>
                <w:lang w:val="pt-BR"/>
              </w:rPr>
            </w:r>
          </w:p>
        </w:tc>
        <w:tc>
          <w:tcPr>
            <w:tcW w:w="5673" w:type="dxa"/>
            <w:tcBorders/>
          </w:tcPr>
          <w:p>
            <w:pPr>
              <w:pStyle w:val="Heading1"/>
              <w:rPr>
                <w:rFonts w:ascii="Times New Roman" w:hAnsi="Times New Roman" w:cs="Times New Roman"/>
                <w:color w:val="000000"/>
                <w:sz w:val="27"/>
                <w:szCs w:val="27"/>
                <w:lang w:val="nl-NL"/>
              </w:rPr>
            </w:pPr>
            <w:r>
              <w:rPr>
                <w:rFonts w:cs="Times New Roman" w:ascii="Times New Roman" w:hAnsi="Times New Roman"/>
                <w:color w:val="000000"/>
                <w:sz w:val="27"/>
                <w:szCs w:val="27"/>
                <w:lang w:val="nl-NL"/>
              </w:rPr>
              <w:t>Hà Nội, ngày  08  tháng  10  năm 2019</w:t>
            </w:r>
          </w:p>
        </w:tc>
      </w:tr>
    </w:tbl>
    <w:p>
      <w:pPr>
        <w:pStyle w:val="Normal"/>
        <w:spacing w:before="120" w:after="120"/>
        <w:rPr>
          <w:b/>
          <w:b/>
          <w:color w:val="000000"/>
          <w:lang w:val="nl-NL"/>
        </w:rPr>
      </w:pPr>
      <w:r>
        <w:rPr>
          <w:b/>
          <w:color w:val="000000"/>
          <w:lang w:val="nl-NL"/>
        </w:rPr>
      </w:r>
    </w:p>
    <w:p>
      <w:pPr>
        <w:pStyle w:val="Normal"/>
        <w:spacing w:before="120" w:after="120"/>
        <w:jc w:val="center"/>
        <w:rPr>
          <w:b/>
          <w:b/>
          <w:color w:val="000000"/>
          <w:sz w:val="28"/>
          <w:szCs w:val="28"/>
          <w:lang w:val="nl-NL"/>
        </w:rPr>
      </w:pPr>
      <w:r>
        <w:rPr>
          <w:b/>
          <w:color w:val="000000"/>
          <w:sz w:val="28"/>
          <w:szCs w:val="28"/>
          <w:lang w:val="nl-NL"/>
        </w:rPr>
        <w:t>THÔNG TƯ</w:t>
      </w:r>
    </w:p>
    <w:p>
      <w:pPr>
        <w:pStyle w:val="Normal"/>
        <w:spacing w:before="120" w:after="120"/>
        <w:jc w:val="center"/>
        <w:rPr>
          <w:b/>
          <w:b/>
          <w:color w:val="000000"/>
          <w:sz w:val="28"/>
          <w:szCs w:val="28"/>
          <w:lang w:val="nl-NL"/>
        </w:rPr>
      </w:pPr>
      <w:r>
        <w:rPr>
          <w:b/>
          <w:color w:val="000000"/>
          <w:sz w:val="28"/>
          <w:szCs w:val="28"/>
          <w:lang w:val="nl-NL"/>
        </w:rPr>
        <w:t xml:space="preserve">Bãi bỏ Thông tư số </w:t>
      </w:r>
      <w:r>
        <w:rPr>
          <w:b/>
          <w:sz w:val="28"/>
          <w:szCs w:val="28"/>
          <w:lang w:val="nl-NL"/>
        </w:rPr>
        <w:t xml:space="preserve">116/2012/TT-BTC ngày 18 tháng 7 năm 2012 hướng dẫn áp dụng thí điểm chính sách thuế thu nhập doanh nghiệp đối với Tổ chức tài chính quy mô nhỏ trách nhiệm hữu hạn một thành viên Tình Thương, </w:t>
      </w:r>
      <w:r>
        <w:rPr>
          <w:rFonts w:eastAsia="Arial"/>
          <w:b/>
          <w:sz w:val="28"/>
          <w:szCs w:val="28"/>
          <w:lang w:val="am-ET"/>
        </w:rPr>
        <w:t>Thông tư số 135/2013/TT-BTC ngày 27</w:t>
      </w:r>
      <w:r>
        <w:rPr>
          <w:rFonts w:eastAsia="Arial"/>
          <w:b/>
          <w:sz w:val="28"/>
          <w:szCs w:val="28"/>
          <w:lang w:val="nl-NL"/>
        </w:rPr>
        <w:t xml:space="preserve"> tháng </w:t>
      </w:r>
      <w:r>
        <w:rPr>
          <w:rFonts w:eastAsia="Arial"/>
          <w:b/>
          <w:sz w:val="28"/>
          <w:szCs w:val="28"/>
          <w:lang w:val="am-ET"/>
        </w:rPr>
        <w:t>9</w:t>
      </w:r>
      <w:r>
        <w:rPr>
          <w:rFonts w:eastAsia="Arial"/>
          <w:b/>
          <w:sz w:val="28"/>
          <w:szCs w:val="28"/>
          <w:lang w:val="nl-NL"/>
        </w:rPr>
        <w:t xml:space="preserve"> năm </w:t>
      </w:r>
      <w:r>
        <w:rPr>
          <w:rFonts w:eastAsia="Arial"/>
          <w:b/>
          <w:sz w:val="28"/>
          <w:szCs w:val="28"/>
          <w:lang w:val="am-ET"/>
        </w:rPr>
        <w:t xml:space="preserve">2013 hướng dẫn áp dụng thí điểm </w:t>
      </w:r>
      <w:r>
        <w:rPr>
          <w:rFonts w:eastAsia="Arial"/>
          <w:b/>
          <w:sz w:val="28"/>
          <w:szCs w:val="28"/>
          <w:lang w:val="nl-NL"/>
        </w:rPr>
        <w:t xml:space="preserve">chính sách thuế </w:t>
      </w:r>
      <w:r>
        <w:rPr>
          <w:b/>
          <w:sz w:val="28"/>
          <w:szCs w:val="28"/>
          <w:lang w:val="nl-NL"/>
        </w:rPr>
        <w:t>thu nhập doanh nghiệp</w:t>
      </w:r>
      <w:r>
        <w:rPr>
          <w:rFonts w:eastAsia="Arial"/>
          <w:b/>
          <w:sz w:val="28"/>
          <w:szCs w:val="28"/>
          <w:lang w:val="nl-NL"/>
        </w:rPr>
        <w:t xml:space="preserve"> </w:t>
      </w:r>
      <w:r>
        <w:rPr>
          <w:b/>
          <w:sz w:val="28"/>
          <w:szCs w:val="28"/>
          <w:lang w:val="am-ET"/>
        </w:rPr>
        <w:t>đối</w:t>
      </w:r>
      <w:r>
        <w:rPr>
          <w:rFonts w:eastAsia="Arial"/>
          <w:b/>
          <w:sz w:val="28"/>
          <w:szCs w:val="28"/>
          <w:lang w:val="am-ET"/>
        </w:rPr>
        <w:t xml:space="preserve"> với các tổ chức tài chính vi mô</w:t>
      </w:r>
    </w:p>
    <w:p>
      <w:pPr>
        <w:pStyle w:val="Normal"/>
        <w:jc w:val="center"/>
        <w:rPr>
          <w:spacing w:val="-4"/>
          <w:sz w:val="16"/>
          <w:szCs w:val="16"/>
          <w:lang w:val="nl-NL"/>
        </w:rPr>
      </w:pPr>
      <w:r>
        <w:rPr>
          <w:spacing w:val="-4"/>
          <w:sz w:val="16"/>
          <w:szCs w:val="16"/>
          <w:lang w:val="nl-NL"/>
        </w:rPr>
        <w:t>_______________________________</w:t>
      </w:r>
    </w:p>
    <w:p>
      <w:pPr>
        <w:pStyle w:val="Normal"/>
        <w:jc w:val="center"/>
        <w:rPr>
          <w:spacing w:val="-4"/>
          <w:sz w:val="16"/>
          <w:szCs w:val="16"/>
          <w:lang w:val="nl-NL"/>
        </w:rPr>
      </w:pPr>
      <w:r>
        <w:rPr>
          <w:spacing w:val="-4"/>
          <w:sz w:val="16"/>
          <w:szCs w:val="16"/>
          <w:lang w:val="nl-NL"/>
        </w:rPr>
      </w:r>
    </w:p>
    <w:p>
      <w:pPr>
        <w:pStyle w:val="Normal"/>
        <w:jc w:val="center"/>
        <w:rPr>
          <w:spacing w:val="-4"/>
          <w:sz w:val="16"/>
          <w:szCs w:val="16"/>
          <w:lang w:val="nl-NL"/>
        </w:rPr>
      </w:pPr>
      <w:r>
        <w:rPr>
          <w:spacing w:val="-4"/>
          <w:sz w:val="16"/>
          <w:szCs w:val="16"/>
          <w:lang w:val="nl-NL"/>
        </w:rPr>
      </w:r>
    </w:p>
    <w:p>
      <w:pPr>
        <w:pStyle w:val="Normal"/>
        <w:jc w:val="center"/>
        <w:rPr>
          <w:spacing w:val="-4"/>
          <w:sz w:val="16"/>
          <w:szCs w:val="16"/>
          <w:lang w:val="nl-NL"/>
        </w:rPr>
      </w:pPr>
      <w:r>
        <w:rPr>
          <w:spacing w:val="-4"/>
          <w:sz w:val="16"/>
          <w:szCs w:val="16"/>
          <w:lang w:val="nl-NL"/>
        </w:rPr>
      </w:r>
    </w:p>
    <w:p>
      <w:pPr>
        <w:pStyle w:val="Normal"/>
        <w:spacing w:lineRule="auto" w:line="360" w:before="60" w:after="60"/>
        <w:jc w:val="both"/>
        <w:rPr>
          <w:rFonts w:eastAsia="SimSun;ËÎ̀å"/>
          <w:i/>
          <w:i/>
          <w:spacing w:val="-4"/>
          <w:sz w:val="28"/>
          <w:szCs w:val="28"/>
          <w:lang w:val="nl-NL"/>
        </w:rPr>
      </w:pPr>
      <w:r>
        <w:rPr>
          <w:rFonts w:eastAsia="SimSun;ËÎ̀å"/>
          <w:i/>
          <w:spacing w:val="-4"/>
          <w:sz w:val="28"/>
          <w:szCs w:val="28"/>
          <w:lang w:val="nl-NL"/>
        </w:rPr>
        <w:tab/>
        <w:t>Căn cứ Luật ban hành văn bản quy phạm pháp luật năm 2015;</w:t>
      </w:r>
    </w:p>
    <w:p>
      <w:pPr>
        <w:pStyle w:val="Normal"/>
        <w:spacing w:lineRule="auto" w:line="360" w:before="60" w:after="60"/>
        <w:jc w:val="both"/>
        <w:rPr/>
      </w:pPr>
      <w:r>
        <w:rPr>
          <w:rFonts w:eastAsia="SimSun;ËÎ̀å"/>
          <w:i/>
          <w:spacing w:val="-4"/>
          <w:sz w:val="28"/>
          <w:szCs w:val="28"/>
          <w:lang w:val="nl-NL"/>
        </w:rPr>
        <w:tab/>
        <w:t>Căn cứ Nghị định số 87/2017/NĐ-CP ngày 26 tháng 7 năm 2017 của Chính phủ quy định chức năng, nhiệm vụ, quyền hạn và cơ cấu tổ chức của Bộ Tài chính;</w:t>
      </w:r>
    </w:p>
    <w:p>
      <w:pPr>
        <w:pStyle w:val="Normal"/>
        <w:spacing w:lineRule="auto" w:line="360" w:before="60" w:after="60"/>
        <w:jc w:val="both"/>
        <w:rPr>
          <w:rFonts w:eastAsia="SimSun;ËÎ̀å"/>
          <w:i/>
          <w:i/>
          <w:spacing w:val="-4"/>
          <w:sz w:val="28"/>
          <w:szCs w:val="28"/>
          <w:lang w:val="nl-NL"/>
        </w:rPr>
      </w:pPr>
      <w:r>
        <w:rPr>
          <w:rFonts w:eastAsia="SimSun;ËÎ̀å"/>
          <w:i/>
          <w:spacing w:val="-4"/>
          <w:sz w:val="28"/>
          <w:szCs w:val="28"/>
          <w:lang w:val="nl-NL"/>
        </w:rPr>
        <w:tab/>
        <w:t xml:space="preserve">Căn cứ </w:t>
      </w:r>
      <w:r>
        <w:rPr>
          <w:rFonts w:eastAsia="Arial"/>
          <w:i/>
          <w:sz w:val="28"/>
          <w:szCs w:val="28"/>
          <w:lang w:val="am-ET"/>
        </w:rPr>
        <w:t>Quyết định số 2195/QĐ-TTg ngày 06</w:t>
      </w:r>
      <w:r>
        <w:rPr>
          <w:rFonts w:eastAsia="Arial"/>
          <w:i/>
          <w:sz w:val="28"/>
          <w:szCs w:val="28"/>
          <w:lang w:val="nl-NL"/>
        </w:rPr>
        <w:t xml:space="preserve"> tháng </w:t>
      </w:r>
      <w:r>
        <w:rPr>
          <w:rFonts w:eastAsia="Arial"/>
          <w:i/>
          <w:sz w:val="28"/>
          <w:szCs w:val="28"/>
          <w:lang w:val="am-ET"/>
        </w:rPr>
        <w:t>12</w:t>
      </w:r>
      <w:r>
        <w:rPr>
          <w:rFonts w:eastAsia="Arial"/>
          <w:i/>
          <w:sz w:val="28"/>
          <w:szCs w:val="28"/>
          <w:lang w:val="nl-NL"/>
        </w:rPr>
        <w:t xml:space="preserve"> năm </w:t>
      </w:r>
      <w:r>
        <w:rPr>
          <w:rFonts w:eastAsia="Arial"/>
          <w:i/>
          <w:sz w:val="28"/>
          <w:szCs w:val="28"/>
          <w:lang w:val="am-ET"/>
        </w:rPr>
        <w:t xml:space="preserve">2011 của </w:t>
      </w:r>
      <w:r>
        <w:rPr>
          <w:i/>
          <w:sz w:val="28"/>
          <w:szCs w:val="28"/>
          <w:lang w:val="nl-NL"/>
        </w:rPr>
        <w:t xml:space="preserve">Thủ tướng Chính phủ </w:t>
      </w:r>
      <w:r>
        <w:rPr>
          <w:rFonts w:eastAsia="Arial"/>
          <w:i/>
          <w:sz w:val="28"/>
          <w:szCs w:val="28"/>
          <w:lang w:val="am-ET"/>
        </w:rPr>
        <w:t>phê duyệt Đề án xây dựng và phát triển hệ thống tài chính vi mô tại Việt Nam đến năm 2020</w:t>
      </w:r>
      <w:r>
        <w:rPr>
          <w:rFonts w:eastAsia="SimSun;ËÎ̀å"/>
          <w:i/>
          <w:spacing w:val="-4"/>
          <w:sz w:val="28"/>
          <w:szCs w:val="28"/>
          <w:lang w:val="nl-NL"/>
        </w:rPr>
        <w:t xml:space="preserve">; </w:t>
      </w:r>
    </w:p>
    <w:p>
      <w:pPr>
        <w:pStyle w:val="Normal"/>
        <w:spacing w:lineRule="auto" w:line="360" w:before="60" w:after="60"/>
        <w:ind w:firstLine="720"/>
        <w:jc w:val="both"/>
        <w:rPr>
          <w:rFonts w:eastAsia="SimSun;ËÎ̀å"/>
          <w:i/>
          <w:i/>
          <w:spacing w:val="-4"/>
          <w:sz w:val="28"/>
          <w:szCs w:val="28"/>
          <w:lang w:val="nl-NL"/>
        </w:rPr>
      </w:pPr>
      <w:r>
        <w:rPr>
          <w:rFonts w:eastAsia="SimSun;ËÎ̀å"/>
          <w:i/>
          <w:spacing w:val="-4"/>
          <w:sz w:val="28"/>
          <w:szCs w:val="28"/>
          <w:lang w:val="nl-NL"/>
        </w:rPr>
        <w:t xml:space="preserve">Căn cứ ý kiến của Phó Thủ tướng Chính phủ Vương Đình Huệ tại công văn số </w:t>
      </w:r>
      <w:r>
        <w:rPr>
          <w:i/>
          <w:color w:val="000000"/>
          <w:sz w:val="28"/>
          <w:szCs w:val="28"/>
          <w:lang w:val="pt-BR"/>
        </w:rPr>
        <w:t>2190/VPCP-KTTH ngày 08 tháng 8 năm 2019 của Văn phòng Chính phủ;</w:t>
      </w:r>
    </w:p>
    <w:p>
      <w:pPr>
        <w:pStyle w:val="Normal"/>
        <w:spacing w:lineRule="auto" w:line="360" w:before="60" w:after="60"/>
        <w:ind w:firstLine="720"/>
        <w:jc w:val="both"/>
        <w:rPr>
          <w:rFonts w:eastAsia="SimSun;ËÎ̀å"/>
          <w:i/>
          <w:i/>
          <w:spacing w:val="-4"/>
          <w:sz w:val="28"/>
          <w:szCs w:val="28"/>
          <w:lang w:val="nl-NL"/>
        </w:rPr>
      </w:pPr>
      <w:r>
        <w:rPr>
          <w:rFonts w:eastAsia="SimSun;ËÎ̀å"/>
          <w:i/>
          <w:spacing w:val="-4"/>
          <w:sz w:val="28"/>
          <w:szCs w:val="28"/>
          <w:lang w:val="nl-NL"/>
        </w:rPr>
        <w:t xml:space="preserve">Theo đề nghị của Vụ trưởng Vụ Chính sách thuế; </w:t>
      </w:r>
    </w:p>
    <w:p>
      <w:pPr>
        <w:pStyle w:val="Normal"/>
        <w:spacing w:lineRule="auto" w:line="360" w:before="120" w:after="120"/>
        <w:ind w:firstLine="720"/>
        <w:jc w:val="both"/>
        <w:rPr/>
      </w:pPr>
      <w:r>
        <w:rPr>
          <w:rFonts w:eastAsia="SimSun;ËÎ̀å"/>
          <w:i/>
          <w:spacing w:val="-4"/>
          <w:sz w:val="28"/>
          <w:szCs w:val="28"/>
          <w:lang w:val="nl-NL"/>
        </w:rPr>
        <w:t xml:space="preserve">Bộ trưởng Bộ Tài chính ban hành Thông tư bãi bỏ </w:t>
      </w:r>
      <w:r>
        <w:rPr>
          <w:i/>
          <w:color w:val="000000"/>
          <w:sz w:val="28"/>
          <w:szCs w:val="28"/>
          <w:lang w:val="nl-NL"/>
        </w:rPr>
        <w:t xml:space="preserve">Thông tư số </w:t>
      </w:r>
      <w:r>
        <w:rPr>
          <w:i/>
          <w:sz w:val="28"/>
          <w:szCs w:val="28"/>
          <w:lang w:val="nl-NL"/>
        </w:rPr>
        <w:t xml:space="preserve">116/2012/TT-BTC ngày 18 tháng 7 năm 2012 hướng dẫn áp dụng thí điểm chính sách thuế thu nhập doanh nghiệp đối với Tổ chức tài chính quy mô nhỏ trách nhiệm hữu hạn một thành viên Tình Thương, </w:t>
      </w:r>
      <w:r>
        <w:rPr>
          <w:rFonts w:eastAsia="Arial"/>
          <w:i/>
          <w:sz w:val="28"/>
          <w:szCs w:val="28"/>
          <w:lang w:val="am-ET"/>
        </w:rPr>
        <w:t>Thông tư số 135/2013/TT-BTC ngày 27</w:t>
      </w:r>
      <w:r>
        <w:rPr>
          <w:rFonts w:eastAsia="Arial"/>
          <w:i/>
          <w:sz w:val="28"/>
          <w:szCs w:val="28"/>
          <w:lang w:val="nl-NL"/>
        </w:rPr>
        <w:t xml:space="preserve"> tháng </w:t>
      </w:r>
      <w:r>
        <w:rPr>
          <w:rFonts w:eastAsia="Arial"/>
          <w:i/>
          <w:sz w:val="28"/>
          <w:szCs w:val="28"/>
          <w:lang w:val="am-ET"/>
        </w:rPr>
        <w:t>9</w:t>
      </w:r>
      <w:r>
        <w:rPr>
          <w:rFonts w:eastAsia="Arial"/>
          <w:i/>
          <w:sz w:val="28"/>
          <w:szCs w:val="28"/>
          <w:lang w:val="nl-NL"/>
        </w:rPr>
        <w:t xml:space="preserve"> năm </w:t>
      </w:r>
      <w:r>
        <w:rPr>
          <w:rFonts w:eastAsia="Arial"/>
          <w:i/>
          <w:sz w:val="28"/>
          <w:szCs w:val="28"/>
          <w:lang w:val="am-ET"/>
        </w:rPr>
        <w:t xml:space="preserve">2013 hướng dẫn áp dụng thí điểm </w:t>
      </w:r>
      <w:r>
        <w:rPr>
          <w:rFonts w:eastAsia="Arial"/>
          <w:i/>
          <w:sz w:val="28"/>
          <w:szCs w:val="28"/>
          <w:lang w:val="nl-NL"/>
        </w:rPr>
        <w:t xml:space="preserve">chính sách thuế </w:t>
      </w:r>
      <w:r>
        <w:rPr>
          <w:i/>
          <w:sz w:val="28"/>
          <w:szCs w:val="28"/>
          <w:lang w:val="nl-NL"/>
        </w:rPr>
        <w:t>thu nhập doanh nghiệp</w:t>
      </w:r>
      <w:r>
        <w:rPr>
          <w:rFonts w:eastAsia="Arial"/>
          <w:i/>
          <w:sz w:val="28"/>
          <w:szCs w:val="28"/>
          <w:lang w:val="nl-NL"/>
        </w:rPr>
        <w:t xml:space="preserve"> </w:t>
      </w:r>
      <w:r>
        <w:rPr>
          <w:i/>
          <w:sz w:val="28"/>
          <w:szCs w:val="28"/>
          <w:lang w:val="am-ET"/>
        </w:rPr>
        <w:t>đối</w:t>
      </w:r>
      <w:r>
        <w:rPr>
          <w:rFonts w:eastAsia="Arial"/>
          <w:i/>
          <w:sz w:val="28"/>
          <w:szCs w:val="28"/>
          <w:lang w:val="am-ET"/>
        </w:rPr>
        <w:t xml:space="preserve"> với các tổ chức tài chính vi mô</w:t>
      </w:r>
      <w:r>
        <w:rPr>
          <w:rFonts w:eastAsia="Arial"/>
          <w:i/>
          <w:sz w:val="28"/>
          <w:szCs w:val="28"/>
          <w:lang w:val="nl-NL"/>
        </w:rPr>
        <w:t>.</w:t>
      </w:r>
    </w:p>
    <w:p>
      <w:pPr>
        <w:pStyle w:val="Normal"/>
        <w:spacing w:lineRule="auto" w:line="360" w:before="120" w:after="120"/>
        <w:ind w:firstLine="720"/>
        <w:jc w:val="both"/>
        <w:rPr/>
      </w:pPr>
      <w:r>
        <w:rPr>
          <w:b/>
          <w:color w:val="000000"/>
          <w:sz w:val="28"/>
          <w:szCs w:val="28"/>
          <w:lang w:val="nl-NL"/>
        </w:rPr>
        <w:t>Điều 1.</w:t>
      </w:r>
      <w:r>
        <w:rPr>
          <w:color w:val="000000"/>
          <w:sz w:val="28"/>
          <w:szCs w:val="28"/>
          <w:lang w:val="nl-NL"/>
        </w:rPr>
        <w:t xml:space="preserve"> Bãi bỏ các Thông tư sau:</w:t>
      </w:r>
    </w:p>
    <w:p>
      <w:pPr>
        <w:pStyle w:val="Normal"/>
        <w:spacing w:lineRule="auto" w:line="360" w:before="120" w:after="120"/>
        <w:ind w:firstLine="720"/>
        <w:jc w:val="both"/>
        <w:rPr/>
      </w:pPr>
      <w:r>
        <w:rPr>
          <w:color w:val="000000"/>
          <w:sz w:val="28"/>
          <w:szCs w:val="28"/>
          <w:lang w:val="nl-NL"/>
        </w:rPr>
        <w:t xml:space="preserve">1. Bãi bỏ Thông tư số </w:t>
      </w:r>
      <w:r>
        <w:rPr>
          <w:sz w:val="28"/>
          <w:szCs w:val="28"/>
          <w:lang w:val="nl-NL"/>
        </w:rPr>
        <w:t>116/2012/TT-BTC ngày 18 tháng 7 năm 2012 hướng dẫn áp dụng thí điểm chính sách thuế thu nhập doanh nghiệp đối với Tổ chức tài chính quy mô nhỏ trách nhiệm hữu hạn một thành viên Tình Thương.</w:t>
      </w:r>
    </w:p>
    <w:p>
      <w:pPr>
        <w:pStyle w:val="Normal"/>
        <w:spacing w:lineRule="auto" w:line="360" w:before="120" w:after="120"/>
        <w:ind w:firstLine="720"/>
        <w:jc w:val="both"/>
        <w:rPr>
          <w:rFonts w:eastAsia="Arial"/>
          <w:sz w:val="28"/>
          <w:szCs w:val="28"/>
          <w:lang w:val="nl-NL"/>
        </w:rPr>
      </w:pPr>
      <w:r>
        <w:rPr>
          <w:sz w:val="28"/>
          <w:szCs w:val="28"/>
          <w:lang w:val="nl-NL"/>
        </w:rPr>
        <w:t xml:space="preserve">2. Bãi bỏ </w:t>
      </w:r>
      <w:r>
        <w:rPr>
          <w:rFonts w:eastAsia="Arial"/>
          <w:sz w:val="28"/>
          <w:szCs w:val="28"/>
          <w:lang w:val="am-ET"/>
        </w:rPr>
        <w:t>Thông tư số 135/2013/TT-BTC ngày 27</w:t>
      </w:r>
      <w:r>
        <w:rPr>
          <w:rFonts w:eastAsia="Arial"/>
          <w:sz w:val="28"/>
          <w:szCs w:val="28"/>
          <w:lang w:val="nl-NL"/>
        </w:rPr>
        <w:t xml:space="preserve"> tháng </w:t>
      </w:r>
      <w:r>
        <w:rPr>
          <w:rFonts w:eastAsia="Arial"/>
          <w:sz w:val="28"/>
          <w:szCs w:val="28"/>
          <w:lang w:val="am-ET"/>
        </w:rPr>
        <w:t>9</w:t>
      </w:r>
      <w:r>
        <w:rPr>
          <w:rFonts w:eastAsia="Arial"/>
          <w:sz w:val="28"/>
          <w:szCs w:val="28"/>
          <w:lang w:val="nl-NL"/>
        </w:rPr>
        <w:t xml:space="preserve"> năm </w:t>
      </w:r>
      <w:r>
        <w:rPr>
          <w:rFonts w:eastAsia="Arial"/>
          <w:sz w:val="28"/>
          <w:szCs w:val="28"/>
          <w:lang w:val="am-ET"/>
        </w:rPr>
        <w:t xml:space="preserve">2013 hướng dẫn áp dụng thí điểm </w:t>
      </w:r>
      <w:r>
        <w:rPr>
          <w:rFonts w:eastAsia="Arial"/>
          <w:sz w:val="28"/>
          <w:szCs w:val="28"/>
          <w:lang w:val="nl-NL"/>
        </w:rPr>
        <w:t xml:space="preserve">chính sách thuế </w:t>
      </w:r>
      <w:r>
        <w:rPr>
          <w:sz w:val="28"/>
          <w:szCs w:val="28"/>
          <w:lang w:val="nl-NL"/>
        </w:rPr>
        <w:t>thu nhập doanh nghiệp</w:t>
      </w:r>
      <w:r>
        <w:rPr>
          <w:rFonts w:eastAsia="Arial"/>
          <w:sz w:val="28"/>
          <w:szCs w:val="28"/>
          <w:lang w:val="nl-NL"/>
        </w:rPr>
        <w:t xml:space="preserve"> </w:t>
      </w:r>
      <w:r>
        <w:rPr>
          <w:sz w:val="28"/>
          <w:szCs w:val="28"/>
          <w:lang w:val="am-ET"/>
        </w:rPr>
        <w:t>đối</w:t>
      </w:r>
      <w:r>
        <w:rPr>
          <w:rFonts w:eastAsia="Arial"/>
          <w:sz w:val="28"/>
          <w:szCs w:val="28"/>
          <w:lang w:val="am-ET"/>
        </w:rPr>
        <w:t xml:space="preserve"> với các tổ chức tài chính vi mô</w:t>
      </w:r>
      <w:r>
        <w:rPr>
          <w:rFonts w:eastAsia="Arial"/>
          <w:sz w:val="28"/>
          <w:szCs w:val="28"/>
          <w:lang w:val="nl-NL"/>
        </w:rPr>
        <w:t>.</w:t>
      </w:r>
    </w:p>
    <w:p>
      <w:pPr>
        <w:pStyle w:val="Normal"/>
        <w:spacing w:before="120" w:after="120"/>
        <w:ind w:firstLine="720"/>
        <w:jc w:val="both"/>
        <w:rPr/>
      </w:pPr>
      <w:r>
        <w:rPr>
          <w:b/>
          <w:color w:val="000000"/>
          <w:sz w:val="28"/>
          <w:szCs w:val="28"/>
          <w:lang w:val="nl-NL"/>
        </w:rPr>
        <w:t>Điều 2.</w:t>
      </w:r>
      <w:r>
        <w:rPr>
          <w:color w:val="000000"/>
          <w:sz w:val="28"/>
          <w:szCs w:val="28"/>
          <w:lang w:val="nl-NL"/>
        </w:rPr>
        <w:t xml:space="preserve"> Hiệu lực thi hành</w:t>
      </w:r>
    </w:p>
    <w:p>
      <w:pPr>
        <w:pStyle w:val="Normal"/>
        <w:spacing w:before="120" w:after="120"/>
        <w:ind w:firstLine="720"/>
        <w:jc w:val="both"/>
        <w:rPr/>
      </w:pPr>
      <w:r>
        <w:rPr>
          <w:color w:val="000000"/>
          <w:sz w:val="28"/>
          <w:szCs w:val="28"/>
          <w:lang w:val="nl-NL"/>
        </w:rPr>
        <w:t>Thông tư này có hiệu lực thi hành kể từ ngày 22 tháng 11 năm 2019.</w:t>
      </w:r>
    </w:p>
    <w:p>
      <w:pPr>
        <w:pStyle w:val="Normal"/>
        <w:spacing w:before="120" w:after="120"/>
        <w:ind w:firstLine="720"/>
        <w:jc w:val="both"/>
        <w:rPr>
          <w:color w:val="000000"/>
          <w:sz w:val="28"/>
          <w:szCs w:val="28"/>
          <w:lang w:val="nl-NL"/>
        </w:rPr>
      </w:pPr>
      <w:r>
        <w:rPr>
          <w:color w:val="000000"/>
          <w:sz w:val="28"/>
          <w:szCs w:val="28"/>
          <w:lang w:val="nl-NL"/>
        </w:rPr>
      </w:r>
    </w:p>
    <w:tbl>
      <w:tblPr>
        <w:tblW w:w="9464" w:type="dxa"/>
        <w:jc w:val="left"/>
        <w:tblInd w:w="-108" w:type="dxa"/>
        <w:tblLayout w:type="fixed"/>
        <w:tblCellMar>
          <w:top w:w="0" w:type="dxa"/>
          <w:left w:w="108" w:type="dxa"/>
          <w:bottom w:w="0" w:type="dxa"/>
          <w:right w:w="108" w:type="dxa"/>
        </w:tblCellMar>
      </w:tblPr>
      <w:tblGrid>
        <w:gridCol w:w="4644"/>
        <w:gridCol w:w="4820"/>
      </w:tblGrid>
      <w:tr>
        <w:trPr/>
        <w:tc>
          <w:tcPr>
            <w:tcW w:w="4644" w:type="dxa"/>
            <w:tcBorders/>
          </w:tcPr>
          <w:p>
            <w:pPr>
              <w:pStyle w:val="Normal"/>
              <w:jc w:val="both"/>
              <w:rPr>
                <w:b/>
                <w:b/>
                <w:bCs/>
                <w:i/>
                <w:i/>
                <w:color w:val="000000"/>
                <w:lang w:val="pt-BR"/>
              </w:rPr>
            </w:pPr>
            <w:r>
              <w:rPr>
                <w:b/>
                <w:bCs/>
                <w:i/>
                <w:color w:val="000000"/>
                <w:lang w:val="pt-BR"/>
              </w:rPr>
              <w:t>Nơi nhận:</w:t>
            </w:r>
          </w:p>
          <w:p>
            <w:pPr>
              <w:pStyle w:val="Normal"/>
              <w:rPr>
                <w:bCs/>
                <w:color w:val="000000"/>
                <w:sz w:val="27"/>
                <w:szCs w:val="27"/>
                <w:lang w:val="pt-BR"/>
              </w:rPr>
            </w:pPr>
            <w:r>
              <w:rPr>
                <w:color w:val="000000"/>
                <w:sz w:val="22"/>
                <w:szCs w:val="22"/>
                <w:shd w:fill="FFFFFF" w:val="clear"/>
                <w:lang w:val="nl-NL"/>
              </w:rPr>
              <w:t>- Văn phòng Trung ương và các Ban của Đảng;</w:t>
              <w:br/>
              <w:t>- Văn phòng</w:t>
            </w:r>
            <w:r>
              <w:rPr>
                <w:rStyle w:val="Appleconvertedspace"/>
                <w:color w:val="000000"/>
                <w:sz w:val="22"/>
                <w:szCs w:val="22"/>
                <w:shd w:fill="FFFFFF" w:val="clear"/>
                <w:lang w:val="nl-NL"/>
              </w:rPr>
              <w:t> </w:t>
            </w:r>
            <w:r>
              <w:rPr>
                <w:color w:val="000000"/>
                <w:sz w:val="22"/>
                <w:szCs w:val="22"/>
                <w:shd w:fill="FFFFFF" w:val="clear"/>
                <w:lang w:val="nl-NL"/>
              </w:rPr>
              <w:t>Quốc hội;</w:t>
              <w:br/>
              <w:t>- Văn phòng Chủ tịch nước;</w:t>
              <w:br/>
              <w:t>- Văn phòng Tổng Bí thư;</w:t>
              <w:br/>
              <w:t>- Viện Kiểm sát nhân dân tối cao;</w:t>
              <w:br/>
              <w:t>- Tòa án nhân dân tối cao;</w:t>
              <w:br/>
              <w:t>- Kiểm toán nhà nước;</w:t>
              <w:br/>
              <w:t>- Các Bộ, cơ quan ngang Bộ, cơ quan thuộc Chính phủ;</w:t>
              <w:br/>
              <w:t>- Cơ quan Trung ương của các đoàn thể;</w:t>
              <w:br/>
              <w:t>- Hội đồng nhân dân, Ủy ban nhân dân, Sở Tài chính, Cục Thuế, Kho bạc nhà nước các tỉnh, thành phố trực thuộc Trung ương;</w:t>
              <w:br/>
              <w:t>- Công báo;</w:t>
              <w:br/>
              <w:t>- Cục Kiểm tra văn bản (Bộ Tư pháp);</w:t>
              <w:br/>
              <w:t>- Website Chính phủ;</w:t>
              <w:br/>
              <w:t>- Website Bộ Tài chính; Website Tổng cục Thuế;</w:t>
              <w:br/>
              <w:t>- Các đơn vị thuộc Bộ Tài chính;</w:t>
              <w:br/>
            </w:r>
            <w:r>
              <w:rPr>
                <w:bCs/>
                <w:color w:val="000000"/>
                <w:sz w:val="22"/>
                <w:szCs w:val="22"/>
                <w:lang w:val="nl-NL"/>
              </w:rPr>
              <w:t>- Lưu: VT, CST(TN). (230b)</w:t>
            </w:r>
          </w:p>
          <w:p>
            <w:pPr>
              <w:pStyle w:val="Normal"/>
              <w:jc w:val="both"/>
              <w:rPr>
                <w:bCs/>
                <w:color w:val="000000"/>
                <w:sz w:val="27"/>
                <w:szCs w:val="27"/>
                <w:lang w:val="nl-NL"/>
              </w:rPr>
            </w:pPr>
            <w:r>
              <w:rPr>
                <w:bCs/>
                <w:color w:val="000000"/>
                <w:sz w:val="27"/>
                <w:szCs w:val="27"/>
                <w:lang w:val="nl-NL"/>
              </w:rPr>
            </w:r>
          </w:p>
        </w:tc>
        <w:tc>
          <w:tcPr>
            <w:tcW w:w="4820" w:type="dxa"/>
            <w:tcBorders/>
          </w:tcPr>
          <w:p>
            <w:pPr>
              <w:pStyle w:val="Normal"/>
              <w:jc w:val="center"/>
              <w:rPr/>
            </w:pPr>
            <w:r>
              <w:rPr>
                <w:b/>
                <w:bCs/>
                <w:color w:val="000000"/>
                <w:sz w:val="26"/>
                <w:szCs w:val="26"/>
                <w:lang w:val="nl-NL"/>
              </w:rPr>
              <w:t>KT. BỘ TRƯỞNG</w:t>
            </w:r>
          </w:p>
          <w:p>
            <w:pPr>
              <w:pStyle w:val="Normal"/>
              <w:jc w:val="center"/>
              <w:rPr/>
            </w:pPr>
            <w:r>
              <w:rPr>
                <w:b/>
                <w:bCs/>
                <w:color w:val="000000"/>
                <w:sz w:val="26"/>
                <w:szCs w:val="26"/>
                <w:lang w:val="nl-NL"/>
              </w:rPr>
              <w:t>THỨ TRƯỞNG</w:t>
            </w:r>
          </w:p>
          <w:p>
            <w:pPr>
              <w:pStyle w:val="Normal"/>
              <w:jc w:val="center"/>
              <w:rPr>
                <w:b/>
                <w:b/>
                <w:bCs/>
                <w:color w:val="000000"/>
                <w:sz w:val="27"/>
                <w:szCs w:val="27"/>
                <w:lang w:val="nl-NL"/>
              </w:rPr>
            </w:pPr>
            <w:r>
              <w:rPr>
                <w:b/>
                <w:bCs/>
                <w:color w:val="000000"/>
                <w:sz w:val="27"/>
                <w:szCs w:val="27"/>
                <w:lang w:val="nl-NL"/>
              </w:rPr>
            </w:r>
          </w:p>
          <w:p>
            <w:pPr>
              <w:pStyle w:val="Normal"/>
              <w:jc w:val="center"/>
              <w:rPr>
                <w:bCs/>
                <w:color w:val="000000"/>
                <w:sz w:val="27"/>
                <w:szCs w:val="27"/>
                <w:lang w:val="nl-NL"/>
              </w:rPr>
            </w:pPr>
            <w:r>
              <w:rPr>
                <w:bCs/>
                <w:color w:val="000000"/>
                <w:sz w:val="27"/>
                <w:szCs w:val="27"/>
                <w:lang w:val="nl-NL"/>
              </w:rPr>
            </w:r>
          </w:p>
          <w:p>
            <w:pPr>
              <w:pStyle w:val="Normal"/>
              <w:jc w:val="center"/>
              <w:rPr>
                <w:bCs/>
                <w:color w:val="000000"/>
                <w:sz w:val="27"/>
                <w:szCs w:val="27"/>
                <w:lang w:val="nl-NL"/>
              </w:rPr>
            </w:pPr>
            <w:r>
              <w:rPr>
                <w:bCs/>
                <w:color w:val="000000"/>
                <w:sz w:val="27"/>
                <w:szCs w:val="27"/>
                <w:lang w:val="nl-NL"/>
              </w:rPr>
            </w:r>
          </w:p>
          <w:p>
            <w:pPr>
              <w:pStyle w:val="Normal"/>
              <w:jc w:val="center"/>
              <w:rPr>
                <w:bCs/>
                <w:color w:val="000000"/>
                <w:sz w:val="27"/>
                <w:szCs w:val="27"/>
                <w:lang w:val="nl-NL"/>
              </w:rPr>
            </w:pPr>
            <w:r>
              <w:rPr>
                <w:bCs/>
                <w:color w:val="000000"/>
                <w:sz w:val="27"/>
                <w:szCs w:val="27"/>
                <w:lang w:val="nl-NL"/>
              </w:rPr>
            </w:r>
          </w:p>
          <w:p>
            <w:pPr>
              <w:pStyle w:val="Normal"/>
              <w:jc w:val="center"/>
              <w:rPr>
                <w:b/>
                <w:b/>
                <w:bCs/>
                <w:color w:val="000000"/>
                <w:sz w:val="27"/>
                <w:szCs w:val="27"/>
                <w:lang w:val="nl-NL"/>
              </w:rPr>
            </w:pPr>
            <w:r>
              <w:rPr>
                <w:b/>
                <w:bCs/>
                <w:color w:val="000000"/>
                <w:sz w:val="27"/>
                <w:szCs w:val="27"/>
                <w:lang w:val="nl-NL"/>
              </w:rPr>
            </w:r>
          </w:p>
          <w:p>
            <w:pPr>
              <w:pStyle w:val="Normal"/>
              <w:jc w:val="center"/>
              <w:rPr>
                <w:b/>
                <w:b/>
                <w:bCs/>
                <w:color w:val="000000"/>
                <w:sz w:val="28"/>
                <w:szCs w:val="28"/>
                <w:lang w:val="nl-NL"/>
              </w:rPr>
            </w:pPr>
            <w:r>
              <w:rPr>
                <w:b/>
                <w:bCs/>
                <w:color w:val="000000"/>
                <w:sz w:val="28"/>
                <w:szCs w:val="28"/>
                <w:lang w:val="nl-NL"/>
              </w:rPr>
              <w:t>Vũ Thị Mai</w:t>
            </w:r>
          </w:p>
        </w:tc>
      </w:tr>
    </w:tbl>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nl-NL"/>
        </w:rPr>
      </w:pPr>
      <w:r>
        <w:rPr>
          <w:b/>
          <w:color w:val="000000"/>
          <w:lang w:val="nl-NL"/>
        </w:rPr>
      </w:r>
    </w:p>
    <w:p>
      <w:pPr>
        <w:pStyle w:val="Normal"/>
        <w:spacing w:before="120" w:after="120"/>
        <w:rPr>
          <w:b/>
          <w:b/>
          <w:color w:val="000000"/>
          <w:lang w:val="pt-BR"/>
        </w:rPr>
      </w:pPr>
      <w:r>
        <w:rPr>
          <w:b/>
          <w:color w:val="000000"/>
          <w:lang w:val="pt-BR"/>
        </w:rPr>
      </w:r>
    </w:p>
    <w:p>
      <w:pPr>
        <w:pStyle w:val="Normal"/>
        <w:spacing w:before="120" w:after="120"/>
        <w:rPr>
          <w:b/>
          <w:b/>
          <w:color w:val="000000"/>
          <w:lang w:val="pt-BR"/>
        </w:rPr>
      </w:pPr>
      <w:r>
        <w:rPr>
          <w:b/>
          <w:color w:val="000000"/>
          <w:lang w:val="pt-BR"/>
        </w:rPr>
      </w:r>
    </w:p>
    <w:p>
      <w:pPr>
        <w:pStyle w:val="Normal"/>
        <w:spacing w:before="120" w:after="120"/>
        <w:rPr>
          <w:b/>
          <w:b/>
          <w:color w:val="000000"/>
          <w:lang w:val="pt-BR"/>
        </w:rPr>
      </w:pPr>
      <w:r>
        <w:rPr>
          <w:b/>
          <w:color w:val="000000"/>
          <w:lang w:val="pt-BR"/>
        </w:rPr>
      </w:r>
    </w:p>
    <w:p>
      <w:pPr>
        <w:pStyle w:val="Normal"/>
        <w:spacing w:before="120" w:after="120"/>
        <w:rPr>
          <w:b/>
          <w:b/>
          <w:color w:val="000000"/>
          <w:lang w:val="pt-BR"/>
        </w:rPr>
      </w:pPr>
      <w:r>
        <w:rPr>
          <w:b/>
          <w:color w:val="000000"/>
          <w:lang w:val="pt-BR"/>
        </w:rPr>
      </w:r>
    </w:p>
    <w:p>
      <w:pPr>
        <w:pStyle w:val="Normal"/>
        <w:spacing w:before="120" w:after="120"/>
        <w:rPr>
          <w:b/>
          <w:b/>
          <w:color w:val="000000"/>
          <w:lang w:val="pt-BR"/>
        </w:rPr>
      </w:pPr>
      <w:r>
        <w:rPr>
          <w:b/>
          <w:color w:val="000000"/>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p>
      <w:pPr>
        <w:pStyle w:val="Normal"/>
        <w:spacing w:before="120" w:after="120"/>
        <w:ind w:firstLine="720"/>
        <w:jc w:val="right"/>
        <w:rPr>
          <w:b/>
          <w:b/>
          <w:color w:val="000000"/>
          <w:sz w:val="28"/>
          <w:szCs w:val="28"/>
          <w:lang w:val="pt-BR"/>
        </w:rPr>
      </w:pPr>
      <w:r>
        <w:rPr>
          <w:b/>
          <w:color w:val="000000"/>
          <w:sz w:val="28"/>
          <w:szCs w:val="28"/>
          <w:lang w:val="pt-BR"/>
        </w:rPr>
      </w:r>
    </w:p>
    <w:sectPr>
      <w:footerReference w:type="default" r:id="rId2"/>
      <w:footerReference w:type="first" r:id="rId3"/>
      <w:type w:val="nextPage"/>
      <w:pgSz w:w="11906" w:h="16838"/>
      <w:pgMar w:left="1560" w:right="850" w:gutter="0" w:header="0" w:top="1134" w:footer="0" w:bottom="56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3"/>
    <w:family w:val="roman"/>
    <w:pitch w:val="variable"/>
  </w:font>
  <w:font w:name=".VnTime">
    <w:charset w:val="00"/>
    <w:family w:val="swiss"/>
    <w:pitch w:val="variable"/>
  </w:font>
  <w:font w:name=".VnTimeH">
    <w:charset w:val="00"/>
    <w:family w:val="swiss"/>
    <w:pitch w:val="variable"/>
  </w:font>
  <w:font w:name="Courier New">
    <w:charset w:val="a3"/>
    <w:family w:val="modern"/>
    <w:pitch w:val="default"/>
  </w:font>
  <w:font w:name="Wingdings">
    <w:charset w:val="02"/>
    <w:family w:val="auto"/>
    <w:pitch w:val="variable"/>
  </w:font>
  <w:font w:name="Arial">
    <w:charset w:val="a3"/>
    <w:family w:val="swiss"/>
    <w:pitch w:val="variable"/>
  </w:font>
  <w:font w:name="Liberation Sans">
    <w:altName w:val="Arial"/>
    <w:charset w:val="01"/>
    <w:family w:val="swiss"/>
    <w:pitch w:val="variable"/>
  </w:font>
  <w:font w:name="Tahoma">
    <w:charset w:val="a3"/>
    <w:family w:val="swiss"/>
    <w:pitch w:val="variable"/>
  </w:font>
  <w:font w:name="Verdana">
    <w:charset w:val="a3"/>
    <w:family w:val="swiss"/>
    <w:pitch w:val="variable"/>
  </w:font>
  <w:font w:name=".VnFree">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pPr>
    <w:r>
      <w:rPr/>
      <w:fldChar w:fldCharType="begin"/>
    </w:r>
    <w:r>
      <w:rPr/>
      <w:instrText xml:space="preserve"> PAGE </w:instrText>
    </w:r>
    <w:r>
      <w:rPr/>
      <w:fldChar w:fldCharType="separate"/>
    </w:r>
    <w:r>
      <w:rPr/>
      <w:t>4</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jc w:val="center"/>
      <w:outlineLvl w:val="0"/>
    </w:pPr>
    <w:rPr>
      <w:rFonts w:ascii=".VnTime" w:hAnsi=".VnTime" w:cs=".VnTime"/>
      <w:i/>
      <w:sz w:val="28"/>
      <w:lang w:val="en-AU"/>
    </w:rPr>
  </w:style>
  <w:style w:type="paragraph" w:styleId="Heading2">
    <w:name w:val="Heading 2"/>
    <w:basedOn w:val="Normal"/>
    <w:next w:val="Normal"/>
    <w:qFormat/>
    <w:pPr>
      <w:keepNext w:val="true"/>
      <w:numPr>
        <w:ilvl w:val="1"/>
        <w:numId w:val="1"/>
      </w:numPr>
      <w:jc w:val="right"/>
      <w:outlineLvl w:val="1"/>
    </w:pPr>
    <w:rPr>
      <w:rFonts w:ascii=".VnTime" w:hAnsi=".VnTime" w:cs=".VnTime"/>
      <w:i/>
      <w:iCs/>
      <w:sz w:val="28"/>
    </w:rPr>
  </w:style>
  <w:style w:type="paragraph" w:styleId="Heading3">
    <w:name w:val="Heading 3"/>
    <w:basedOn w:val="Normal"/>
    <w:next w:val="Normal"/>
    <w:qFormat/>
    <w:pPr>
      <w:keepNext w:val="true"/>
      <w:numPr>
        <w:ilvl w:val="2"/>
        <w:numId w:val="1"/>
      </w:numPr>
      <w:jc w:val="center"/>
      <w:outlineLvl w:val="2"/>
    </w:pPr>
    <w:rPr>
      <w:rFonts w:ascii=".VnTime" w:hAnsi=".VnTime" w:cs=".VnTime"/>
      <w:b/>
      <w:bCs/>
      <w:lang w:val="en-AU"/>
    </w:rPr>
  </w:style>
  <w:style w:type="paragraph" w:styleId="Heading4">
    <w:name w:val="Heading 4"/>
    <w:basedOn w:val="Normal"/>
    <w:next w:val="Normal"/>
    <w:qFormat/>
    <w:pPr>
      <w:keepNext w:val="true"/>
      <w:numPr>
        <w:ilvl w:val="3"/>
        <w:numId w:val="1"/>
      </w:numPr>
      <w:jc w:val="center"/>
      <w:outlineLvl w:val="3"/>
    </w:pPr>
    <w:rPr>
      <w:rFonts w:ascii=".VnTimeH" w:hAnsi=".VnTimeH" w:cs=".VnTimeH"/>
      <w:b/>
      <w:bCs/>
      <w:sz w:val="28"/>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Times New Roman" w:hAnsi="Times New Roman" w:eastAsia="Times New Roman" w:cs="Times New Roman"/>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3z3">
    <w:name w:val="WW8Num3z3"/>
    <w:qFormat/>
    <w:rPr>
      <w:rFonts w:ascii="Symbol" w:hAnsi="Symbol" w:cs="Symbol"/>
    </w:rPr>
  </w:style>
  <w:style w:type="character" w:styleId="WW8Num4z0">
    <w:name w:val="WW8Num4z0"/>
    <w:qFormat/>
    <w:rPr>
      <w:rFonts w:ascii="Times New Roman" w:hAnsi="Times New Roman" w:eastAsia="Times New Roman" w:cs="Times New Roman"/>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style>
  <w:style w:type="character" w:styleId="WW8Num6z0">
    <w:name w:val="WW8Num6z0"/>
    <w:qFormat/>
    <w:rPr>
      <w:rFonts w:ascii="Times New Roman" w:hAnsi="Times New Roman" w:eastAsia="Times New Roman" w:cs="Times New Roman"/>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style>
  <w:style w:type="character" w:styleId="DefaultParagraphFont">
    <w:name w:val="Default Paragraph Font"/>
    <w:qFormat/>
    <w:rPr/>
  </w:style>
  <w:style w:type="character" w:styleId="PageNumber">
    <w:name w:val="Page Number"/>
    <w:basedOn w:val="DefaultParagraphFont"/>
    <w:rPr/>
  </w:style>
  <w:style w:type="character" w:styleId="Heading1Char">
    <w:name w:val="Heading 1 Char"/>
    <w:basedOn w:val="DefaultParagraphFont"/>
    <w:qFormat/>
    <w:rPr>
      <w:rFonts w:ascii=".VnTime" w:hAnsi=".VnTime" w:cs=".VnTime"/>
      <w:i/>
      <w:sz w:val="28"/>
      <w:szCs w:val="24"/>
      <w:lang w:val="en-AU" w:bidi="ar-SA"/>
    </w:rPr>
  </w:style>
  <w:style w:type="character" w:styleId="Normalh1">
    <w:name w:val="normal-h1"/>
    <w:basedOn w:val="DefaultParagraphFont"/>
    <w:qFormat/>
    <w:rPr>
      <w:rFonts w:ascii=".VnTime" w:hAnsi=".VnTime" w:cs=".VnTime"/>
      <w:color w:val="0000FF"/>
      <w:sz w:val="24"/>
      <w:szCs w:val="24"/>
    </w:rPr>
  </w:style>
  <w:style w:type="character" w:styleId="Normalchar1">
    <w:name w:val="normal__char1"/>
    <w:basedOn w:val="DefaultParagraphFont"/>
    <w:qFormat/>
    <w:rPr>
      <w:rFonts w:ascii="Arial" w:hAnsi="Arial" w:cs="Arial"/>
      <w:sz w:val="22"/>
      <w:szCs w:val="22"/>
    </w:rPr>
  </w:style>
  <w:style w:type="character" w:styleId="Normalchar11">
    <w:name w:val="normalchar1"/>
    <w:basedOn w:val="DefaultParagraphFont"/>
    <w:qFormat/>
    <w:rPr/>
  </w:style>
  <w:style w:type="character" w:styleId="FooterChar">
    <w:name w:val="Footer Char"/>
    <w:basedOn w:val="DefaultParagraphFont"/>
    <w:qFormat/>
    <w:rPr>
      <w:sz w:val="24"/>
      <w:szCs w:val="24"/>
      <w:lang w:val="en-US"/>
    </w:rPr>
  </w:style>
  <w:style w:type="character" w:styleId="DieuChar">
    <w:name w:val="dieu Char"/>
    <w:basedOn w:val="DefaultParagraphFont"/>
    <w:qFormat/>
    <w:rPr>
      <w:b/>
      <w:color w:val="0000FF"/>
      <w:sz w:val="26"/>
      <w:lang w:val="en-US"/>
    </w:rPr>
  </w:style>
  <w:style w:type="character" w:styleId="Glossaryitem">
    <w:name w:val="glossaryitem"/>
    <w:basedOn w:val="DefaultParagraphFont"/>
    <w:qFormat/>
    <w:rPr/>
  </w:style>
  <w:style w:type="character" w:styleId="Ndieuh">
    <w:name w:val="n-dieu-h"/>
    <w:basedOn w:val="DefaultParagraphFont"/>
    <w:qFormat/>
    <w:rPr/>
  </w:style>
  <w:style w:type="character" w:styleId="Normalh">
    <w:name w:val="normal-h"/>
    <w:basedOn w:val="DefaultParagraphFont"/>
    <w:qFormat/>
    <w:rPr/>
  </w:style>
  <w:style w:type="character" w:styleId="Appleconvertedspace">
    <w:name w:val="apple-converted-space"/>
    <w:basedOn w:val="DefaultParagraphFont"/>
    <w:qFormat/>
    <w:rPr/>
  </w:style>
  <w:style w:type="character" w:styleId="InternetLink">
    <w:name w:val="Hyperlink"/>
    <w:basedOn w:val="DefaultParagraphFont"/>
    <w:rPr>
      <w:color w:val="0000FF"/>
      <w:u w:val="single"/>
    </w:rPr>
  </w:style>
  <w:style w:type="character" w:styleId="FootnoteTextChar">
    <w:name w:val="Footnote Text Char"/>
    <w:basedOn w:val="DefaultParagraphFont"/>
    <w:qFormat/>
    <w:rPr>
      <w:lang w:val="en-US"/>
    </w:rPr>
  </w:style>
  <w:style w:type="character" w:styleId="FootnoteTextChar2">
    <w:name w:val="Footnote Text Char2"/>
    <w:basedOn w:val="DefaultParagraphFont"/>
    <w:qFormat/>
    <w:rPr>
      <w:lang w:val="en-US"/>
    </w:rPr>
  </w:style>
  <w:style w:type="paragraph" w:styleId="Heading">
    <w:name w:val="Heading"/>
    <w:basedOn w:val="Normal"/>
    <w:next w:val="TextBody"/>
    <w:qFormat/>
    <w:pPr>
      <w:keepNext w:val="true"/>
      <w:spacing w:before="240" w:after="120"/>
    </w:pPr>
    <w:rPr>
      <w:rFonts w:ascii="Liberation Sans" w:hAnsi="Liberation Sans" w:eastAsia="DejaVu Sans" w:cs="Noto Sans Devanagari"/>
      <w:sz w:val="28"/>
      <w:szCs w:val="28"/>
    </w:rPr>
  </w:style>
  <w:style w:type="paragraph" w:styleId="TextBody">
    <w:name w:val="Body Text"/>
    <w:basedOn w:val="Normal"/>
    <w:pPr>
      <w:tabs>
        <w:tab w:val="clear" w:pos="720"/>
        <w:tab w:val="left" w:pos="0" w:leader="none"/>
        <w:tab w:val="left" w:pos="545" w:leader="none"/>
      </w:tabs>
      <w:spacing w:lineRule="atLeast" w:line="240"/>
      <w:jc w:val="both"/>
    </w:pPr>
    <w:rPr>
      <w:rFonts w:ascii=".VnTime" w:hAnsi=".VnTime" w:cs=".VnTime"/>
      <w:sz w:val="26"/>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Char">
    <w:name w:val=" Char"/>
    <w:basedOn w:val="Normal"/>
    <w:qFormat/>
    <w:pPr>
      <w:pageBreakBefore/>
      <w:spacing w:before="280" w:after="280"/>
    </w:pPr>
    <w:rPr>
      <w:rFonts w:ascii="Tahoma" w:hAnsi="Tahoma" w:cs="Tahoma"/>
      <w:sz w:val="20"/>
      <w:szCs w:val="20"/>
    </w:rPr>
  </w:style>
  <w:style w:type="paragraph" w:styleId="Form">
    <w:name w:val="Form"/>
    <w:basedOn w:val="Normal"/>
    <w:qFormat/>
    <w:pPr>
      <w:tabs>
        <w:tab w:val="clear" w:pos="720"/>
        <w:tab w:val="left" w:pos="1440" w:leader="none"/>
        <w:tab w:val="left" w:pos="2160" w:leader="none"/>
        <w:tab w:val="left" w:pos="2880" w:leader="none"/>
        <w:tab w:val="right" w:pos="7200" w:leader="none"/>
      </w:tabs>
      <w:spacing w:lineRule="auto" w:line="264" w:before="80" w:after="80"/>
      <w:ind w:firstLine="720"/>
      <w:jc w:val="both"/>
    </w:pPr>
    <w:rPr>
      <w:sz w:val="28"/>
      <w:szCs w:val="28"/>
      <w:lang w:val="en-GB"/>
    </w:rPr>
  </w:style>
  <w:style w:type="paragraph" w:styleId="BodyText2">
    <w:name w:val="Body Text 2"/>
    <w:basedOn w:val="Normal"/>
    <w:qFormat/>
    <w:pPr/>
    <w:rPr>
      <w:rFonts w:ascii=".VnTime" w:hAnsi=".VnTime" w:cs=".VnTime"/>
      <w:sz w:val="28"/>
      <w:szCs w:val="28"/>
    </w:rPr>
  </w:style>
  <w:style w:type="paragraph" w:styleId="CharCharCharChar">
    <w:name w:val=" Char Char Char Char"/>
    <w:basedOn w:val="Normal"/>
    <w:qFormat/>
    <w:pPr>
      <w:spacing w:lineRule="exact" w:line="240" w:before="0" w:after="160"/>
    </w:pPr>
    <w:rPr>
      <w:rFonts w:ascii="Arial" w:hAnsi="Arial" w:cs="Arial"/>
      <w:sz w:val="22"/>
      <w:szCs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Center">
    <w:name w:val="center"/>
    <w:basedOn w:val="Normal"/>
    <w:qFormat/>
    <w:pPr>
      <w:spacing w:before="280" w:after="280"/>
    </w:pPr>
    <w:rPr/>
  </w:style>
  <w:style w:type="paragraph" w:styleId="Tenvb">
    <w:name w:val="tenvb"/>
    <w:basedOn w:val="Normal"/>
    <w:qFormat/>
    <w:pPr>
      <w:spacing w:before="280" w:after="280"/>
    </w:pPr>
    <w:rPr/>
  </w:style>
  <w:style w:type="paragraph" w:styleId="Header">
    <w:name w:val="Header"/>
    <w:basedOn w:val="Normal"/>
    <w:pPr>
      <w:tabs>
        <w:tab w:val="clear" w:pos="720"/>
        <w:tab w:val="center" w:pos="4320" w:leader="none"/>
        <w:tab w:val="right" w:pos="8640" w:leader="none"/>
      </w:tabs>
    </w:pPr>
    <w:rPr/>
  </w:style>
  <w:style w:type="paragraph" w:styleId="BodyTextIndent2">
    <w:name w:val="Body Text Indent 2"/>
    <w:basedOn w:val="Normal"/>
    <w:qFormat/>
    <w:pPr>
      <w:spacing w:before="60" w:after="0"/>
      <w:ind w:left="1440" w:hanging="0"/>
      <w:jc w:val="both"/>
    </w:pPr>
    <w:rPr>
      <w:rFonts w:ascii=".VnTime" w:hAnsi=".VnTime" w:cs=".VnTime"/>
      <w:b/>
      <w:bCs/>
      <w:sz w:val="28"/>
    </w:rPr>
  </w:style>
  <w:style w:type="paragraph" w:styleId="CharCharCharCharCharCharCharCharCharChar">
    <w:name w:val=" Char Char Char Char Char Char Char Char Char Char"/>
    <w:basedOn w:val="Normal"/>
    <w:qFormat/>
    <w:pPr>
      <w:spacing w:lineRule="exact" w:line="240" w:before="0" w:after="160"/>
    </w:pPr>
    <w:rPr>
      <w:rFonts w:ascii="Verdana" w:hAnsi="Verdana" w:cs="Verdana"/>
      <w:sz w:val="20"/>
      <w:szCs w:val="20"/>
    </w:rPr>
  </w:style>
  <w:style w:type="paragraph" w:styleId="NormalWeb">
    <w:name w:val="Normal (Web)"/>
    <w:basedOn w:val="Normal"/>
    <w:qFormat/>
    <w:pPr>
      <w:spacing w:before="280" w:after="280"/>
    </w:pPr>
    <w:rPr/>
  </w:style>
  <w:style w:type="paragraph" w:styleId="Tenvb1">
    <w:name w:val="Tenvb"/>
    <w:basedOn w:val="Normal"/>
    <w:qFormat/>
    <w:pPr>
      <w:spacing w:before="120" w:after="120"/>
      <w:jc w:val="center"/>
    </w:pPr>
    <w:rPr>
      <w:b/>
      <w:color w:val="0000FF"/>
      <w:sz w:val="20"/>
      <w:szCs w:val="20"/>
    </w:rPr>
  </w:style>
  <w:style w:type="paragraph" w:styleId="Dieu">
    <w:name w:val="dieu"/>
    <w:basedOn w:val="Normal"/>
    <w:qFormat/>
    <w:pPr>
      <w:spacing w:before="0" w:after="120"/>
      <w:ind w:firstLine="720"/>
    </w:pPr>
    <w:rPr>
      <w:b/>
      <w:color w:val="0000FF"/>
      <w:sz w:val="26"/>
      <w:szCs w:val="20"/>
    </w:rPr>
  </w:style>
  <w:style w:type="paragraph" w:styleId="Normalp">
    <w:name w:val="normal-p"/>
    <w:basedOn w:val="Normal"/>
    <w:qFormat/>
    <w:pPr>
      <w:spacing w:before="280" w:after="280"/>
    </w:pPr>
    <w:rPr/>
  </w:style>
  <w:style w:type="paragraph" w:styleId="Footnote">
    <w:name w:val="Footnote Text"/>
    <w:basedOn w:val="Normal"/>
    <w:pPr/>
    <w:rPr>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30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2019-10-08T03:09:00Z</dcterms:created>
  <dc:creator>User</dc:creator>
  <dc:description/>
  <cp:keywords/>
  <dc:language>en-US</dc:language>
  <cp:lastModifiedBy>caothithanhlan</cp:lastModifiedBy>
  <cp:lastPrinted>2019-10-08T10:37:00Z</cp:lastPrinted>
  <dcterms:modified xsi:type="dcterms:W3CDTF">2019-10-08T04:01:00Z</dcterms:modified>
  <cp:revision>3</cp:revision>
  <dc:subject/>
  <dc:title>VỤ CHÍNH SÁCH THUẾ</dc:title>
</cp:coreProperties>
</file>