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74617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04fb194f35d8457cb8497a0262b224ab%2Fo%2F1791338638536-c.jpg?auth_key=1822876140-0-0-f154d3e797b3f5013c85ea556592d266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会议介绍以太坊学术研究价值及路线图。讲者称以太坊是创新中心，Arbitrum等项目验证了学术到产业的转化；发布跨学科研究议程，聚焦共识、数据和执行层，目标包括秒级终局性和抗量子迁移。会议明确各学科参与路径，强调研究应产出可验证成果以降低不确定性；以太坊基金会学术部门将支持外部专家参与这一公共基础设施建设。</w:t>
      </w:r>
    </w:p>
    <w:bookmarkStart w:id="12" w:name="学术研究驱动协议演进"/>
    <w:p>
      <w:pPr>
        <w:pStyle w:val="Heading2"/>
      </w:pPr>
      <w:r>
        <w:rPr>
          <w:rFonts w:hint="eastAsia"/>
        </w:rPr>
        <w:t xml:space="preserve">学术研究驱动协议演进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共识理论与密码学的工程化落地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共识理论研究直接塑造Ethereum从Proof</w:t>
      </w:r>
      <w:r>
        <w:t xml:space="preserve"> of </w:t>
      </w:r>
      <w:r>
        <w:rPr>
          <w:rFonts w:hint="eastAsia"/>
        </w:rPr>
        <w:t xml:space="preserve">Stake到Casper</w:t>
      </w:r>
      <w:r>
        <w:t xml:space="preserve"> </w:t>
      </w:r>
      <w:r>
        <w:rPr>
          <w:rFonts w:hint="eastAsia"/>
        </w:rPr>
        <w:t xml:space="preserve">FFG、Ghost及当前核心共识层的演进路径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密码学研究使哈希函数、ZK</w:t>
      </w:r>
      <w:r>
        <w:t xml:space="preserve"> </w:t>
      </w:r>
      <w:r>
        <w:rPr>
          <w:rFonts w:hint="eastAsia"/>
        </w:rPr>
        <w:t xml:space="preserve">Proofs等技术规模化应用，保护数十亿美元资产安全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Ethereum是当前最大的ZK</w:t>
      </w:r>
      <w:r>
        <w:t xml:space="preserve"> </w:t>
      </w:r>
      <w:r>
        <w:rPr>
          <w:rFonts w:hint="eastAsia"/>
        </w:rPr>
        <w:t xml:space="preserve">Rollups与隐私证明生产环境，相关概念均源于学术研究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博弈论与虚拟机设计的学术根基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拍卖设计与合作博弈论等基础概念影响EIP-1559交易费用市场机制设计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验证者激励的形式化建模与均衡分析持续指导当前机制研究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EVM设计汲取数十年编程语言理论与基于影响的架构研究成果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Profile优化与形式化验证的学术工作直接贡献于EVM及未来EPA设计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全球顶尖高校的研发生态聚集</w:t>
      </w:r>
    </w:p>
    <w:p>
      <w:pPr>
        <w:pStyle w:val="Compact"/>
        <w:numPr>
          <w:ilvl w:val="1"/>
          <w:numId w:val="1004"/>
        </w:numPr>
      </w:pPr>
      <w:r>
        <w:t xml:space="preserve">Stanford Center for Blockchain and Protocol Design、Game Center for Digital </w:t>
      </w:r>
      <w:r>
        <w:rPr>
          <w:rFonts w:hint="eastAsia"/>
        </w:rPr>
        <w:t xml:space="preserve">Finance等机构聚焦Ethereum关键问题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上海交通大学区块链研究院、Xingwai</w:t>
      </w:r>
      <w:r>
        <w:t xml:space="preserve"> University Research </w:t>
      </w:r>
      <w:r>
        <w:rPr>
          <w:rFonts w:hint="eastAsia"/>
        </w:rPr>
        <w:t xml:space="preserve">Center等中国高校将主要区块链研究资源投入Ethereum技术栈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Ethereum开放的研究驱动设计使其成为从论文原型到生产部署最快的”活体实验室”</w:t>
      </w:r>
    </w:p>
    <w:bookmarkEnd w:id="12"/>
    <w:bookmarkStart w:id="13" w:name="从论文到生产的转化案例"/>
    <w:p>
      <w:pPr>
        <w:pStyle w:val="Heading2"/>
      </w:pPr>
      <w:r>
        <w:rPr>
          <w:rFonts w:hint="eastAsia"/>
        </w:rPr>
        <w:t xml:space="preserve">从论文到生产的转化案例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Arbitrum的大学项目起源</w:t>
      </w:r>
    </w:p>
    <w:p>
      <w:pPr>
        <w:pStyle w:val="Compact"/>
        <w:numPr>
          <w:ilvl w:val="1"/>
          <w:numId w:val="1006"/>
        </w:numPr>
      </w:pPr>
      <w:r>
        <w:t xml:space="preserve">Offchain </w:t>
      </w:r>
      <w:r>
        <w:rPr>
          <w:rFonts w:hint="eastAsia"/>
        </w:rPr>
        <w:t xml:space="preserve">Labs构建的Arbitrum最初是大学教授Felton与两名博士生主导的研究项目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团队早期发表Optimistic</w:t>
      </w:r>
      <w:r>
        <w:t xml:space="preserve"> </w:t>
      </w:r>
      <w:r>
        <w:rPr>
          <w:rFonts w:hint="eastAsia"/>
        </w:rPr>
        <w:t xml:space="preserve">Rollup相关论文与学术原型，后发展为日处理数百万笔交易的L2网络</w:t>
      </w:r>
    </w:p>
    <w:p>
      <w:pPr>
        <w:pStyle w:val="Compact"/>
        <w:numPr>
          <w:ilvl w:val="1"/>
          <w:numId w:val="1006"/>
        </w:numPr>
      </w:pPr>
      <w:r>
        <w:t xml:space="preserve">Offchain </w:t>
      </w:r>
      <w:r>
        <w:rPr>
          <w:rFonts w:hint="eastAsia"/>
        </w:rPr>
        <w:t xml:space="preserve">Labs累计融资超1.2亿美元，验证了从形式化研究到实际扩容基础设施的转化路径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Flashbots从学术白皮书到核心基础设施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Flashbots起源于Cornell</w:t>
      </w:r>
      <w:r>
        <w:t xml:space="preserve"> </w:t>
      </w:r>
      <w:r>
        <w:rPr>
          <w:rFonts w:hint="eastAsia"/>
        </w:rPr>
        <w:t xml:space="preserve">Tech研究者对矿工可提取价值（MEV）的学术研究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团队发表名为”Flashbots:</w:t>
      </w:r>
      <w:r>
        <w:t xml:space="preserve"> </w:t>
      </w:r>
      <w:r>
        <w:rPr>
          <w:rFonts w:hint="eastAsia"/>
        </w:rPr>
        <w:t xml:space="preserve">ToFu”的学术白皮书，随后成立公司推动透明化与开放协调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Flashbots已成为Ethereum核心基础设施，并衍生出Swap、隐私等领域的后续研究</w:t>
      </w:r>
    </w:p>
    <w:bookmarkEnd w:id="13"/>
    <w:bookmarkStart w:id="14" w:name="主流采用的基础条件"/>
    <w:p>
      <w:pPr>
        <w:pStyle w:val="Heading2"/>
      </w:pPr>
      <w:r>
        <w:rPr>
          <w:rFonts w:hint="eastAsia"/>
        </w:rPr>
        <w:t xml:space="preserve">主流采用的基础条件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网络韧性与去中心化程度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Ethereum保持10年不间断运行，展现出其他技术难以比拟的韧性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全球超过110万个验证者保障网络安全，客户端实现多样化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链上流动性与资产规模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日均交易量超过120亿美元，在所有链上环境中流动性最深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稳定币规模达650亿美元，DeFi</w:t>
      </w:r>
      <w:r>
        <w:t xml:space="preserve"> </w:t>
      </w:r>
      <w:r>
        <w:rPr>
          <w:rFonts w:hint="eastAsia"/>
        </w:rPr>
        <w:t xml:space="preserve">TVL超1400亿美元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约90%的链上真实世界资产（RWA）部署在Ethereum及其L2上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可信中立性与经济安全性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无单点故障、无中央协调者、无暂停按钮，代码完全开源且无供应商锁定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质押ETH价值超1000亿美元，使Ethereum成为全球攻击成本最高的智能合约平台</w:t>
      </w:r>
    </w:p>
    <w:bookmarkEnd w:id="14"/>
    <w:bookmarkStart w:id="15" w:name="路线图定位与三层架构"/>
    <w:p>
      <w:pPr>
        <w:pStyle w:val="Heading2"/>
      </w:pPr>
      <w:r>
        <w:rPr>
          <w:rFonts w:hint="eastAsia"/>
        </w:rPr>
        <w:t xml:space="preserve">路线图定位与三层架构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路线图作为协调工件而非预测工具</w:t>
      </w:r>
    </w:p>
    <w:p>
      <w:pPr>
        <w:pStyle w:val="Compact"/>
        <w:numPr>
          <w:ilvl w:val="1"/>
          <w:numId w:val="1013"/>
        </w:numPr>
      </w:pPr>
      <w:r>
        <w:t xml:space="preserve">The Trauma </w:t>
      </w:r>
      <w:r>
        <w:rPr>
          <w:rFonts w:hint="eastAsia"/>
        </w:rPr>
        <w:t xml:space="preserve">Map本质是协调工件（coordination</w:t>
      </w:r>
      <w:r>
        <w:t xml:space="preserve"> </w:t>
      </w:r>
      <w:r>
        <w:rPr>
          <w:rFonts w:hint="eastAsia"/>
        </w:rPr>
        <w:t xml:space="preserve">artifact），并非对Ethereum未来的精确预测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该图谱在单一画布上呈现L1的一致路径，主动邀请批评、比较与协作输入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图中虚线箭头表示非硬性依赖，暴露的假设可直接被学术研究测试与验证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三层核心架构的功能划分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共识层</w:t>
      </w:r>
      <w:r>
        <w:rPr>
          <w:rFonts w:hint="eastAsia"/>
        </w:rPr>
        <w:t xml:space="preserve">：负责区块生产、共识达成与最终性确认，验证者在此层参与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：提供数据可用性与验证能力，支撑L2释放扩展潜力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：处理交易、完成状态变更，承载证明系统、隐私方案与虚拟机</w:t>
      </w:r>
    </w:p>
    <w:bookmarkEnd w:id="15"/>
    <w:bookmarkStart w:id="16" w:name="五大北极星目标与跨层权衡"/>
    <w:p>
      <w:pPr>
        <w:pStyle w:val="Heading2"/>
      </w:pPr>
      <w:r>
        <w:rPr>
          <w:rFonts w:hint="eastAsia"/>
        </w:rPr>
        <w:t xml:space="preserve">五大北极星目标与跨层权衡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五项North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Star目标的具体指标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快速L1终局性</w:t>
      </w:r>
      <w:r>
        <w:rPr>
          <w:rFonts w:hint="eastAsia"/>
        </w:rPr>
        <w:t xml:space="preserve">：目标实现秒级最终性确认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TeraGas L2</w:t>
      </w:r>
      <w:r>
        <w:rPr>
          <w:rFonts w:hint="eastAsia"/>
        </w:rPr>
        <w:t xml:space="preserve">：数据可用性目标为每秒1GB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GigaGas L1</w:t>
      </w:r>
      <w:r>
        <w:rPr>
          <w:rFonts w:hint="eastAsia"/>
        </w:rPr>
        <w:t xml:space="preserve">：执行容量目标为每秒GigaGas级别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隐私优先</w:t>
      </w:r>
      <w:r>
        <w:rPr>
          <w:rFonts w:hint="eastAsia"/>
        </w:rPr>
        <w:t xml:space="preserve">：协议层面支持屏蔽转账（shielded</w:t>
      </w:r>
      <w:r>
        <w:t xml:space="preserve"> </w:t>
      </w:r>
      <w:r>
        <w:rPr>
          <w:rFonts w:hint="eastAsia"/>
        </w:rPr>
        <w:t xml:space="preserve">transfers）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后量子迁移</w:t>
      </w:r>
      <w:r>
        <w:rPr>
          <w:rFonts w:hint="eastAsia"/>
        </w:rPr>
        <w:t xml:space="preserve">：将整个L1技术栈迁移至抗量子加密的未来架构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跨层研究的核心权衡问题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速度与参与度</w:t>
      </w:r>
      <w:r>
        <w:rPr>
          <w:rFonts w:hint="eastAsia"/>
        </w:rPr>
        <w:t xml:space="preserve">：更低延迟何时会排斥家庭验证者，损害生态公平性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吞吐量与可验证性</w:t>
      </w:r>
      <w:r>
        <w:rPr>
          <w:rFonts w:hint="eastAsia"/>
        </w:rPr>
        <w:t xml:space="preserve">：证明带宽与存储成本由谁承担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隐私与问责</w:t>
      </w:r>
      <w:r>
        <w:rPr>
          <w:rFonts w:hint="eastAsia"/>
        </w:rPr>
        <w:t xml:space="preserve">：屏蔽交易在何种条件下仍能提供公共保证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量子安全与迁移</w:t>
      </w:r>
      <w:r>
        <w:rPr>
          <w:rFonts w:hint="eastAsia"/>
        </w:rPr>
        <w:t xml:space="preserve">：现有数十亿美元状态如何在无中断情况下完成迁移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简化与可访问性</w:t>
      </w:r>
      <w:r>
        <w:rPr>
          <w:rFonts w:hint="eastAsia"/>
        </w:rPr>
        <w:t xml:space="preserve">：哪些功能可以移除而不完全关闭未来设计空间</w:t>
      </w:r>
    </w:p>
    <w:bookmarkEnd w:id="16"/>
    <w:bookmarkStart w:id="17" w:name="多学科参与路径与贡献标准"/>
    <w:p>
      <w:pPr>
        <w:pStyle w:val="Heading2"/>
      </w:pPr>
      <w:r>
        <w:rPr>
          <w:rFonts w:hint="eastAsia"/>
        </w:rPr>
        <w:t xml:space="preserve">多学科参与路径与贡献标准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技术与非技术学科的具体入口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密码学与证明系统</w:t>
      </w:r>
      <w:r>
        <w:rPr>
          <w:rFonts w:hint="eastAsia"/>
        </w:rPr>
        <w:t xml:space="preserve">：构造证明、迁移基准、可组合性分析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分布式系统与网络</w:t>
      </w:r>
      <w:r>
        <w:rPr>
          <w:rFonts w:hint="eastAsia"/>
        </w:rPr>
        <w:t xml:space="preserve">：故障模型、协议仿真、延迟研究，入口包括Quick</w:t>
      </w:r>
      <w:r>
        <w:t xml:space="preserve"> </w:t>
      </w:r>
      <w:r>
        <w:rPr>
          <w:rFonts w:hint="eastAsia"/>
        </w:rPr>
        <w:t xml:space="preserve">Slots、共识DA、Shared</w:t>
      </w:r>
      <w:r>
        <w:t xml:space="preserve"> Web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形式化验证</w:t>
      </w:r>
      <w:r>
        <w:rPr>
          <w:rFonts w:hint="eastAsia"/>
        </w:rPr>
        <w:t xml:space="preserve">：机器可检查规范、等价性证明，入口包括Clean</w:t>
      </w:r>
      <w:r>
        <w:t xml:space="preserve"> Specification、Snake </w:t>
      </w:r>
      <w:r>
        <w:rPr>
          <w:rFonts w:hint="eastAsia"/>
        </w:rPr>
        <w:t xml:space="preserve">Rollup简化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编码与信息论</w:t>
      </w:r>
      <w:r>
        <w:rPr>
          <w:rFonts w:hint="eastAsia"/>
        </w:rPr>
        <w:t xml:space="preserve">：纠删码评估、采样策略、托管与流式传输，需给出对抗模型下的实用边界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硬件与系统</w:t>
      </w:r>
      <w:r>
        <w:rPr>
          <w:rFonts w:hint="eastAsia"/>
        </w:rPr>
        <w:t xml:space="preserve">：加速器设计、验证者硬件降本、去中心化基准测试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经济学与博弈论</w:t>
      </w:r>
      <w:r>
        <w:rPr>
          <w:rFonts w:hint="eastAsia"/>
        </w:rPr>
        <w:t xml:space="preserve">：激励机制设计、压力测试，应用于ePBS、Block</w:t>
      </w:r>
      <w:r>
        <w:t xml:space="preserve"> </w:t>
      </w:r>
      <w:r>
        <w:rPr>
          <w:rFonts w:hint="eastAsia"/>
        </w:rPr>
        <w:t xml:space="preserve">Futures、Gas设计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法学与公共政策</w:t>
      </w:r>
      <w:r>
        <w:rPr>
          <w:rFonts w:hint="eastAsia"/>
        </w:rPr>
        <w:t xml:space="preserve">：标准制定、制度接口、迁移治理、审查抵抗与托管合规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HCI与安全</w:t>
      </w:r>
      <w:r>
        <w:rPr>
          <w:rFonts w:hint="eastAsia"/>
        </w:rPr>
        <w:t xml:space="preserve">：用户研究、安全钱包交互模型、防误操作交易设计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政治学与社会学</w:t>
      </w:r>
      <w:r>
        <w:rPr>
          <w:rFonts w:hint="eastAsia"/>
        </w:rPr>
        <w:t xml:space="preserve">：合法性捕获、知识生产研究、客户端多样性与共识社会维度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金融与商学院</w:t>
      </w:r>
      <w:r>
        <w:rPr>
          <w:rFonts w:hint="eastAsia"/>
        </w:rPr>
        <w:t xml:space="preserve">：风险模型、运营研究、语义风险分析，应用于终局性、托管、量子敞口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有用学术贡献的核心特征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降低不确定性</w:t>
      </w:r>
      <w:r>
        <w:rPr>
          <w:rFonts w:hint="eastAsia"/>
        </w:rPr>
        <w:t xml:space="preserve">：理论侧提供群下界、不可能性结果、显式假设；模型侧提供量子仿真、机制模型、跨层场景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产出可检验公共工件</w:t>
      </w:r>
      <w:r>
        <w:rPr>
          <w:rFonts w:hint="eastAsia"/>
        </w:rPr>
        <w:t xml:space="preserve">：开放数据集（延迟/带宽/客户端多样性）、参考代码、基准测试、形式化规范、可复用实验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非技术类工件</w:t>
      </w:r>
      <w:r>
        <w:rPr>
          <w:rFonts w:hint="eastAsia"/>
        </w:rPr>
        <w:t xml:space="preserve">：迁移表、标准提案、治理研究同样被视为重要贡献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连接碎片化研究</w:t>
      </w:r>
      <w:r>
        <w:rPr>
          <w:rFonts w:hint="eastAsia"/>
        </w:rPr>
        <w:t xml:space="preserve">：整合不同研究社区的综述与元模型具有特殊价值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实践入场的四步操作路径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选择一个具体的权衡点（guarantee</w:t>
      </w:r>
      <w:r>
        <w:t xml:space="preserve"> </w:t>
      </w:r>
      <w:r>
        <w:rPr>
          <w:rFonts w:hint="eastAsia"/>
        </w:rPr>
        <w:t xml:space="preserve">tradeoff），无需覆盖整层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追踪路线图中的上下游接口节点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提出可证伪声明：明确威胁模型或故障假设，以及能改变结论的证据标准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发布可检视工件（模型/数据集/原型/研究设计），并通过EIPs等公共流程参与协议塑造</w:t>
      </w:r>
    </w:p>
    <w:bookmarkEnd w:id="17"/>
    <w:bookmarkStart w:id="18" w:name="学术秘书处使命与联系方式"/>
    <w:p>
      <w:pPr>
        <w:pStyle w:val="Heading2"/>
      </w:pPr>
      <w:r>
        <w:rPr>
          <w:rFonts w:hint="eastAsia"/>
        </w:rPr>
        <w:t xml:space="preserve">学术秘书处使命与联系方式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Ethereum </w:t>
      </w:r>
      <w:r>
        <w:rPr>
          <w:rFonts w:hint="eastAsia"/>
          <w:b/>
          <w:bCs/>
        </w:rPr>
        <w:t xml:space="preserve">Foundation学术秘书处的三项核心目标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帮助世界理解Ethereum作为社会技术系统的有用性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培育一批在制度层面可持续关注Ethereum公共物品属性的研究者群体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通过提供无与伦比的创新场域、批判性探究机会与非加密领域专家的新入口来支撑上述使命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讲者联系方式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讲者在结尾表示可通过邮件或X（Twitter）联系，具体地址见演示文稿末页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2026-10-07T02:03:59Z</dcterms:created>
  <dcterms:modified xsi:type="dcterms:W3CDTF">2026-10-07T02:03:59Z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