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TestNG整理 收藏</w:t>
      </w:r>
      <w:r>
        <w:br/>
        <w:t>1 基本概念</w:t>
      </w:r>
      <w:r>
        <w:br/>
        <w:t>TestNG：即Testing, Next Generation，下一代测试技术，是根据JUnit和NUnit思想，采用jdk的annotation技术来强化测试功能并借助XML 文件强化测试组织结构而构建的测试框架。最新版本5.12，Eclipse插件最新版本：testng-eclipse-5.12.0.6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TestNG的应用范围：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Ø单元测试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Ø集成测试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Ø系统测试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使用TestNG的主要步骤：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Ø编写测试业务逻辑，在代码中插入TestNG annotations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Ø在配置文件testng.xml或build.xml中配置测试信息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Ø运行TestNG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TestNG运行方式：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1、命令行方式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java org.testng.TestNG testng1.xml [testng2.xml testng3.xml ...]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2、Ant/Maven集成方式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3、Eclipse集成方式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TestNG提供Eclipse插件，在run configure中进行配置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4、IntelliJ‘s IDEA 及 NetBeans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TestNG的主要特点：</w:t>
      </w:r>
      <w:r>
        <w:br/>
        <w:t>1.Annotation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2.依赖性测试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3.支持并发测试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4.支持错误重运行测试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5.参数化测试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6.支持测试分组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7.通过testng.xml来管理测试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8.详实的报告，可按照自己需要进行二次开发定制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9.可以运行Junit测试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10.不仅仅适用于单元测试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TestNG利用annotation来标注测试类，使用annotation的优点：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方法名称不受任何模式或者格式的束缚；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测试类不需要从任何其他类继承；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如下是TestNG使用的annotation清单：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@BeforeSuite, @BeforeTest, @BeforeClass,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lastRenderedPageBreak/>
        <w:t>@BeforeMethod, @BeforeGroups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@AfterSuite, @AfterTest, @AfterClass, @AfterMethod, @AfterGroups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@DataProvider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@ExpectedExceptions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@Factory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@Test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@Parameters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testNG.xml实例：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br/>
        <w:t>v Suite：由一个XML文件表示，可以包含一个或者多个Test，suite可以通过标签来运行其他testng的xml文件；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v Test：表示一个测试，可以包含一个或者多个TestNG类；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v TestNG类：就是一个简单的Java类，至少包含一个TestNG annotation；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v Method：一个普通的Java方法，其前由@Test标记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v Groups：TestNG可以将不同的Method分类到不同的Groups中，也可以将Class分类到不同的Groups中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v testNG.xml：该文件是TestNG运行时需要的配置文件，描述了要运行哪些测试，主要是对测试进行控制使用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2 基本使用</w:t>
      </w:r>
      <w:r>
        <w:br/>
        <w:t>2.1 处理异常</w:t>
      </w:r>
      <w:r>
        <w:br/>
        <w:t>TestNG可以简单方便的检测异常的发生，通过@ExpectedExceptions标注预期捕获的异常，当确实发生预期的异常，TestNG认为测试通过。也可以指定标注多个异常，例如：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 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2.2 失败处理</w:t>
      </w:r>
      <w:r>
        <w:br/>
        <w:t>当testNG运行的case有失败的时候，会在test-output目录下生成一个testng-failed.xml文件，这对于批量执行测试定位问题很有帮助，testng可以单独执行这些失败的测试；例如：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 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2.3 使用参数</w:t>
      </w:r>
      <w:r>
        <w:br/>
        <w:t>TestNG传参数的两种方式（xml文件，@DataProvider）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l 使用testng.xml设置参数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 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参数在xml文件中可以在suite级别定义，也可以在test级别定义；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TestNG会尝试先在包含当前类的test标签中寻找参数，如果没找到则在上层的suite标签中查找。即在test标签中相同的参数对当前类当前方法的优先级比较高。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TestNG支持这种传参方式的类型如下：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lastRenderedPageBreak/>
        <w:t>■ String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■ int/Integer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■ boolean/Boolean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■ byte/Byte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■ char/Character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■ double/Double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■ float/Float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■ long/Long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■ short/Short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对于非上述类型TestNG无法通过这种方式进行传参，可以通过@DataProvider方式传参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l @DataProvider方式传参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 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只提供了一个字符串属性：名称，供测试方法作为传递参数的annotation使用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两种DataProvider，一种是返回一个二维数组对象，如上面的例子；另外一种DataProvider是返回一个Iterator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DataProvider可以向测试方法传递任意类型任意数目的参数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利用DataProvider提供不同的参数集合对一个测试方法进行多次调用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l @DataProvider和testNG.xml两种方式的比较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  优点</w:t>
      </w:r>
      <w:r>
        <w:br/>
        <w:t> 不足</w:t>
      </w:r>
      <w:r>
        <w:br/>
        <w:t> </w:t>
      </w:r>
      <w:r>
        <w:br/>
        <w:t>testng.xml</w:t>
      </w:r>
      <w:r>
        <w:br/>
        <w:t> 参数值在xml文件中指定，易于修改，修改后无需编译代码</w:t>
      </w:r>
      <w:r>
        <w:br/>
        <w:t> 传递参数的类型有限，只能传递基本的数据类型，复杂的Java对象无法传递</w:t>
      </w:r>
      <w:r>
        <w:br/>
        <w:t> </w:t>
      </w:r>
      <w:r>
        <w:br/>
        <w:t>@DataProvider</w:t>
      </w:r>
      <w:r>
        <w:br/>
        <w:t> 可以向测试方法传递任何类型，任意数量的Java对象</w:t>
      </w:r>
      <w:r>
        <w:br/>
        <w:t> 需要编码实现某些逻辑，以返回正确的对象</w:t>
      </w:r>
      <w:r>
        <w:br/>
        <w:t> 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br/>
        <w:t>2.4 依赖测试</w:t>
      </w:r>
      <w:r>
        <w:br/>
        <w:t>l Groups依赖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TestNG对此用@Test的两个属性标签（dependsOnGroups，dependsOnMethods）进行支持，例如：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 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执行测试的顺序依次为：lanchuServer-&gt;deploy-&gt;test1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l 方法依赖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lastRenderedPageBreak/>
        <w:t>是指由@BeforeMethod、@BeforeTest、@Beforeclase、@BeforeSuite @BeforeGroups等标识指定的内容。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2.5 并发测试</w:t>
      </w:r>
      <w:r>
        <w:br/>
        <w:t>TestNG内建了对并发的支持，可以快速执行测试，并验证代码的线程安全性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 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其可能的执行结果为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11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15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12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14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13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Ø 当将threadPoolSize改为3后，其可能的执行结果如下：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13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12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11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12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• 线程号为: 11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v 并发执行：针对suite来定义并发线程数等，可以提高执行测试的速度。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br/>
        <w:t>parallel="methods" thread-count="2"&gt;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...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br/>
        <w:t>v Parellel = “methods”,每个测试方法在自己的一个线程中执行</w:t>
      </w:r>
    </w:p>
    <w:p w:rsidR="00FF662B" w:rsidRDefault="00FF662B" w:rsidP="00FF662B">
      <w:pPr>
        <w:pStyle w:val="a5"/>
        <w:spacing w:before="0" w:beforeAutospacing="0" w:after="75" w:afterAutospacing="0" w:line="315" w:lineRule="atLeast"/>
      </w:pPr>
      <w:r>
        <w:t>v Parrellel=“tests”,在某个标签内的所有的测试方法在一个线程中执行；在测试线程不安全的代码，通常这样执行</w:t>
      </w:r>
    </w:p>
    <w:p w:rsidR="00305FB4" w:rsidRDefault="00305FB4"/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DA2" w:rsidRDefault="00647DA2" w:rsidP="00FF662B">
      <w:r>
        <w:separator/>
      </w:r>
    </w:p>
  </w:endnote>
  <w:endnote w:type="continuationSeparator" w:id="0">
    <w:p w:rsidR="00647DA2" w:rsidRDefault="00647DA2" w:rsidP="00FF6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DA2" w:rsidRDefault="00647DA2" w:rsidP="00FF662B">
      <w:r>
        <w:separator/>
      </w:r>
    </w:p>
  </w:footnote>
  <w:footnote w:type="continuationSeparator" w:id="0">
    <w:p w:rsidR="00647DA2" w:rsidRDefault="00647DA2" w:rsidP="00FF66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62B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47DA2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1111F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  <w:rsid w:val="00FF6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62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6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426</Words>
  <Characters>2431</Characters>
  <Application>Microsoft Office Word</Application>
  <DocSecurity>0</DocSecurity>
  <Lines>20</Lines>
  <Paragraphs>5</Paragraphs>
  <ScaleCrop>false</ScaleCrop>
  <Company>ufida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2012-11-29T02:00:00Z</dcterms:created>
  <dcterms:modified xsi:type="dcterms:W3CDTF">2012-11-29T02:00:00Z</dcterms:modified>
</cp:coreProperties>
</file>