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80" w:before="0"/>
        <w:jc w:val="left"/>
      </w:pPr>
      <w:r>
        <w:rPr>
          <w:rFonts w:ascii="Arial" w:cs="Arial" w:eastAsia="Arial" w:hAnsi="Arial"/>
          <w:b/>
          <w:bCs/>
          <w:color w:val="3E4C5E"/>
          <w:sz w:val="56"/>
          <w:szCs w:val="56"/>
        </w:rPr>
        <w:t xml:space="preserve">SOCELLE</w:t>
      </w:r>
    </w:p>
    <w:p>
      <w:pPr>
        <w:spacing w:after="80" w:before="0"/>
      </w:pPr>
      <w:r>
        <w:rPr>
          <w:rFonts w:ascii="Arial" w:cs="Arial" w:eastAsia="Arial" w:hAnsi="Arial"/>
          <w:color w:val="181614"/>
          <w:sz w:val="32"/>
          <w:szCs w:val="32"/>
        </w:rPr>
        <w:t xml:space="preserve">Multi-Agent Coordination Document</w:t>
      </w:r>
    </w:p>
    <w:p>
      <w:pPr>
        <w:spacing w:after="200" w:before="0"/>
      </w:pPr>
      <w:r>
        <w:rPr>
          <w:rFonts w:ascii="Arial" w:cs="Arial" w:eastAsia="Arial" w:hAnsi="Arial"/>
          <w:color w:val="6E6A65"/>
          <w:sz w:val="24"/>
          <w:szCs w:val="24"/>
        </w:rPr>
        <w:t xml:space="preserve">Preserve · Redirect · Prioritize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3E4C5E" w:sz="2"/>
              <w:left w:val="single" w:color="3E4C5E" w:sz="2"/>
              <w:bottom w:val="single" w:color="3E4C5E" w:sz="2"/>
              <w:right w:val="single" w:color="3E4C5E" w:sz="2"/>
            </w:tcBorders>
            <w:shd w:fill="3E4C5E" w:val="clear"/>
            <w:tcMar>
              <w:top w:type="dxa" w:w="120"/>
              <w:left w:type="dxa" w:w="320"/>
              <w:bottom w:type="dxa" w:w="120"/>
              <w:right w:type="dxa" w:w="320"/>
            </w:tcMar>
          </w:tcPr>
          <w:p>
            <w:pPr>
              <w:spacing w:after="60" w:before="0"/>
            </w:pPr>
            <w:r>
              <w:rPr>
                <w:rFonts w:ascii="Arial" w:cs="Arial" w:eastAsia="Arial" w:hAnsi="Arial"/>
                <w:b/>
                <w:bCs/>
                <w:color w:val="F5F4F2"/>
                <w:spacing w:val="160"/>
                <w:sz w:val="17"/>
                <w:szCs w:val="17"/>
              </w:rPr>
              <w:t xml:space="preserve">PRIMARY DIRECTIVES</w:t>
            </w:r>
          </w:p>
          <w:p>
            <w:pPr>
              <w:spacing w:after="40" w:before="0"/>
            </w:pPr>
            <w:r>
              <w:rPr>
                <w:rFonts w:ascii="Arial" w:cs="Arial" w:eastAsia="Arial" w:hAnsi="Arial"/>
                <w:color w:val="E8E5DF"/>
                <w:sz w:val="20"/>
                <w:szCs w:val="20"/>
              </w:rPr>
              <w:t xml:space="preserve">① Do not scrap work that serves the new direction.</w:t>
            </w:r>
          </w:p>
          <w:p>
            <w:pPr>
              <w:spacing w:after="40" w:before="0"/>
            </w:pPr>
            <w:r>
              <w:rPr>
                <w:rFonts w:ascii="Arial" w:cs="Arial" w:eastAsia="Arial" w:hAnsi="Arial"/>
                <w:color w:val="E8E5DF"/>
                <w:sz w:val="20"/>
                <w:szCs w:val="20"/>
              </w:rPr>
              <w:t xml:space="preserve">② Fix what is in direct conflict with the visual reset.</w:t>
            </w:r>
          </w:p>
          <w:p>
            <w:pPr>
              <w:spacing w:after="40" w:before="0"/>
            </w:pPr>
            <w:r>
              <w:rPr>
                <w:rFonts w:ascii="Arial" w:cs="Arial" w:eastAsia="Arial" w:hAnsi="Arial"/>
                <w:color w:val="E8E5DF"/>
                <w:sz w:val="20"/>
                <w:szCs w:val="20"/>
              </w:rPr>
              <w:t xml:space="preserve">③ Ship the homepage and For Buyers/Operators page first.</w:t>
            </w:r>
          </w:p>
          <w:p>
            <w:pPr>
              <w:spacing w:after="40" w:before="0"/>
            </w:pPr>
            <w:r>
              <w:rPr>
                <w:rFonts w:ascii="Arial" w:cs="Arial" w:eastAsia="Arial" w:hAnsi="Arial"/>
                <w:color w:val="E8E5DF"/>
                <w:sz w:val="20"/>
                <w:szCs w:val="20"/>
              </w:rPr>
              <w:t xml:space="preserve">④ Build the Intelligence Hub as the strategic wedge for operator acquisition.</w:t>
            </w:r>
          </w:p>
          <w:p>
            <w:pPr>
              <w:spacing w:after="0" w:before="0"/>
            </w:pPr>
            <w:r>
              <w:rPr>
                <w:rFonts w:ascii="Arial" w:cs="Arial" w:eastAsia="Arial" w:hAnsi="Arial"/>
                <w:color w:val="E8E5DF"/>
                <w:sz w:val="20"/>
                <w:szCs w:val="20"/>
              </w:rPr>
              <w:t xml:space="preserve">⑤ Education is inside the Intelligence Hub from day one — not a separate product.</w:t>
            </w:r>
          </w:p>
        </w:tc>
      </w:tr>
    </w:tbl>
    <w:p>
      <w:pPr>
        <w:spacing w:after="80" w:before="160"/>
      </w:pPr>
      <w:r>
        <w:t xml:space="preserve"/>
      </w:r>
    </w:p>
    <w:p>
      <w:pPr>
        <w:spacing w:after="120" w:before="60"/>
      </w:pPr>
      <w:r>
        <w:rPr>
          <w:rFonts w:ascii="Arial" w:cs="Arial" w:eastAsia="Arial" w:hAnsi="Arial"/>
          <w:b w:val="false"/>
          <w:bCs w:val="false"/>
          <w:color w:val="6E6A65"/>
          <w:sz w:val="18"/>
          <w:szCs w:val="18"/>
        </w:rPr>
        <w:t xml:space="preserve">Version 1.0  ·  March 2026  ·  Pre-build coordination document for all eight SOCELLE agents.</w:t>
      </w:r>
    </w:p>
    <w:p>
      <w:r>
        <w:br w:type="page"/>
      </w:r>
    </w:p>
    <w:p>
      <w:pPr>
        <w:pStyle w:val="Heading1"/>
        <w:spacing w:after="200" w:before="480"/>
      </w:pPr>
      <w:r>
        <w:rPr>
          <w:rFonts w:ascii="Arial" w:cs="Arial" w:eastAsia="Arial" w:hAnsi="Arial"/>
          <w:b/>
          <w:bCs/>
          <w:color w:val="181614"/>
          <w:sz w:val="44"/>
          <w:szCs w:val="44"/>
        </w:rPr>
        <w:t xml:space="preserve">A. What Must Be Preserved</w:t>
      </w:r>
    </w:p>
    <w:p>
      <w:pPr>
        <w:spacing w:after="160" w:before="80"/>
      </w:pPr>
      <w:r>
        <w:rPr>
          <w:rFonts w:ascii="Arial" w:cs="Arial" w:eastAsia="Arial" w:hAnsi="Arial"/>
          <w:b w:val="false"/>
          <w:bCs w:val="false"/>
          <w:color w:val="181614"/>
          <w:sz w:val="20"/>
          <w:szCs w:val="20"/>
        </w:rPr>
        <w:t xml:space="preserve">The following items are architecturally sound, strategically correct, and compatible with the new visual direction. Agents must treat these as locked inputs — absorb them, reference them, build on them. Do not rewrite, replace, or ignore.</w:t>
      </w:r>
    </w:p>
    <w:p>
      <w:pPr>
        <w:pStyle w:val="Heading2"/>
        <w:pBdr>
          <w:bottom w:val="single" w:color="C0BCBA" w:sz="3" w:space="4"/>
        </w:pBdr>
        <w:spacing w:after="160" w:before="360"/>
      </w:pPr>
      <w:r>
        <w:rPr>
          <w:rFonts w:ascii="Arial" w:cs="Arial" w:eastAsia="Arial" w:hAnsi="Arial"/>
          <w:b/>
          <w:bCs/>
          <w:color w:val="3E4C5E"/>
          <w:sz w:val="32"/>
          <w:szCs w:val="32"/>
        </w:rPr>
        <w:t xml:space="preserve">A1 — Platform Architecture &amp;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STATUS</w:t>
            </w:r>
          </w:p>
        </w:tc>
        <w:tc>
          <w:tcPr>
            <w:tcW w:type="dxa" w:w="26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ITEM</w:t>
            </w:r>
          </w:p>
        </w:tc>
        <w:tc>
          <w:tcPr>
            <w:tcW w:type="dxa" w:w="53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PRESERVATION NOTE</w:t>
            </w:r>
          </w:p>
        </w:tc>
      </w:tr>
      <w:tr>
        <w:trPr>
          <w:tblHeader w:val="false"/>
        </w:trPr>
        <w:tc>
          <w:tcPr>
            <w:tcW w:type="dxa" w:w="1400"/>
            <w:tcBorders>
              <w:top w:val="single" w:color="C0BCBA" w:sz="2"/>
              <w:left w:val="single" w:color="C0BCBA" w:sz="2"/>
              <w:bottom w:val="single" w:color="C0BCBA" w:sz="2"/>
              <w:right w:val="single" w:color="C0BCBA" w:sz="2"/>
            </w:tcBorders>
            <w:shd w:fill="1A5C2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LOCKED</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React 18 + TypeScript + Vite + Tailwind + Supabase</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Fully intact. No migration. No architecture change. All agents build on this stack.</w:t>
            </w:r>
          </w:p>
        </w:tc>
      </w:tr>
      <w:tr>
        <w:trPr>
          <w:tblHeader w:val="false"/>
        </w:trPr>
        <w:tc>
          <w:tcPr>
            <w:tcW w:type="dxa" w:w="1400"/>
            <w:tcBorders>
              <w:top w:val="single" w:color="C0BCBA" w:sz="2"/>
              <w:left w:val="single" w:color="C0BCBA" w:sz="2"/>
              <w:bottom w:val="single" w:color="C0BCBA" w:sz="2"/>
              <w:right w:val="single" w:color="C0BCBA" w:sz="2"/>
            </w:tcBorders>
            <w:shd w:fill="1A5C2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LOCKED</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Four-portal architecture (public, brand, business, admin)</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Built, functional, sophisticated. Preserve every route and Supabase integration.</w:t>
            </w:r>
          </w:p>
        </w:tc>
      </w:tr>
      <w:tr>
        <w:trPr>
          <w:tblHeader w:val="false"/>
        </w:trPr>
        <w:tc>
          <w:tcPr>
            <w:tcW w:type="dxa" w:w="1400"/>
            <w:tcBorders>
              <w:top w:val="single" w:color="C0BCBA" w:sz="2"/>
              <w:left w:val="single" w:color="C0BCBA" w:sz="2"/>
              <w:bottom w:val="single" w:color="C0BCBA" w:sz="2"/>
              <w:right w:val="single" w:color="C0BCBA" w:sz="2"/>
            </w:tcBorders>
            <w:shd w:fill="1A5C2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LOCKED</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Phase 1 fixes (email, stats, testimonials, meta, Insights)</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Confirmed complete. Do not undo any Phase 1 changes.</w:t>
            </w:r>
          </w:p>
        </w:tc>
      </w:tr>
      <w:tr>
        <w:trPr>
          <w:tblHeader w:val="false"/>
        </w:trPr>
        <w:tc>
          <w:tcPr>
            <w:tcW w:type="dxa" w:w="1400"/>
            <w:tcBorders>
              <w:top w:val="single" w:color="C0BCBA" w:sz="2"/>
              <w:left w:val="single" w:color="C0BCBA" w:sz="2"/>
              <w:bottom w:val="single" w:color="C0BCBA" w:sz="2"/>
              <w:right w:val="single" w:color="C0BCBA" w:sz="2"/>
            </w:tcBorders>
            <w:shd w:fill="1A5C2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LOCKED</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Brand application form (/brand/apply)</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Functional, Supabase-connected. Preserve. Conversion audit still needed.</w:t>
            </w:r>
          </w:p>
        </w:tc>
      </w:tr>
      <w:tr>
        <w:trPr>
          <w:tblHeader w:val="false"/>
        </w:trPr>
        <w:tc>
          <w:tcPr>
            <w:tcW w:type="dxa" w:w="1400"/>
            <w:tcBorders>
              <w:top w:val="single" w:color="C0BCBA" w:sz="2"/>
              <w:left w:val="single" w:color="C0BCBA" w:sz="2"/>
              <w:bottom w:val="single" w:color="C0BCBA" w:sz="2"/>
              <w:right w:val="single" w:color="C0BCBA" w:sz="2"/>
            </w:tcBorders>
            <w:shd w:fill="1A5C2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LOCKED</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Tiered pricing system (Active / Elite / Master)</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Core product mechanic. Preserve in all copy and feature presentations.</w:t>
            </w:r>
          </w:p>
        </w:tc>
      </w:tr>
      <w:tr>
        <w:trPr>
          <w:tblHeader w:val="false"/>
        </w:trPr>
        <w:tc>
          <w:tcPr>
            <w:tcW w:type="dxa" w:w="1400"/>
            <w:tcBorders>
              <w:top w:val="single" w:color="C0BCBA" w:sz="2"/>
              <w:left w:val="single" w:color="C0BCBA" w:sz="2"/>
              <w:bottom w:val="single" w:color="C0BCBA" w:sz="2"/>
              <w:right w:val="single" w:color="C0BCBA" w:sz="2"/>
            </w:tcBorders>
            <w:shd w:fill="1A5C2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LOCKED</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Commission-only economics (92/8 structure)</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Disclosed, trust-building. Preserve exact language in Pricing and For Brands copy.</w:t>
            </w:r>
          </w:p>
        </w:tc>
      </w:tr>
    </w:tbl>
    <w:p>
      <w:pPr>
        <w:pStyle w:val="Heading2"/>
        <w:pBdr>
          <w:bottom w:val="single" w:color="C0BCBA" w:sz="3" w:space="4"/>
        </w:pBdr>
        <w:spacing w:after="160" w:before="360"/>
      </w:pPr>
      <w:r>
        <w:rPr>
          <w:rFonts w:ascii="Arial" w:cs="Arial" w:eastAsia="Arial" w:hAnsi="Arial"/>
          <w:b/>
          <w:bCs/>
          <w:color w:val="3E4C5E"/>
          <w:sz w:val="32"/>
          <w:szCs w:val="32"/>
        </w:rPr>
        <w:t xml:space="preserve">A2 — Brand Strategy &amp; Positioning</w:t>
      </w:r>
    </w:p>
    <w:p>
      <w:pPr>
        <w:spacing w:after="120" w:before="80"/>
      </w:pPr>
      <w:r>
        <w:rPr>
          <w:rFonts w:ascii="Arial" w:cs="Arial" w:eastAsia="Arial" w:hAnsi="Arial"/>
          <w:b w:val="false"/>
          <w:bCs w:val="false"/>
          <w:color w:val="181614"/>
          <w:sz w:val="20"/>
          <w:szCs w:val="20"/>
        </w:rPr>
        <w:t xml:space="preserve">All brand strategy content from SOCELLE_PLAYBOOK.md Section D is preserved verbatim. The visual reset does not affect messaging architecture — it corrects the aesthetic frame, not the strategic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STATUS</w:t>
            </w:r>
          </w:p>
        </w:tc>
        <w:tc>
          <w:tcPr>
            <w:tcW w:type="dxa" w:w="26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ITEM</w:t>
            </w:r>
          </w:p>
        </w:tc>
        <w:tc>
          <w:tcPr>
            <w:tcW w:type="dxa" w:w="53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SOURCE</w:t>
            </w:r>
          </w:p>
        </w:tc>
      </w:tr>
      <w:tr>
        <w:trPr>
          <w:tblHeader w:val="false"/>
        </w:trPr>
        <w:tc>
          <w:tcPr>
            <w:tcW w:type="dxa" w:w="1400"/>
            <w:tcBorders>
              <w:top w:val="single" w:color="C0BCBA" w:sz="2"/>
              <w:left w:val="single" w:color="C0BCBA" w:sz="2"/>
              <w:bottom w:val="single" w:color="C0BCBA" w:sz="2"/>
              <w:right w:val="single" w:color="C0BCBA" w:sz="2"/>
            </w:tcBorders>
            <w:shd w:fill="1A5C2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LOCKED</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Mission / Vision / Purpose / Promise</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Playbook Section D — preserve word for word in all agent contexts.</w:t>
            </w:r>
          </w:p>
        </w:tc>
      </w:tr>
      <w:tr>
        <w:trPr>
          <w:tblHeader w:val="false"/>
        </w:trPr>
        <w:tc>
          <w:tcPr>
            <w:tcW w:type="dxa" w:w="1400"/>
            <w:tcBorders>
              <w:top w:val="single" w:color="C0BCBA" w:sz="2"/>
              <w:left w:val="single" w:color="C0BCBA" w:sz="2"/>
              <w:bottom w:val="single" w:color="C0BCBA" w:sz="2"/>
              <w:right w:val="single" w:color="C0BCBA" w:sz="2"/>
            </w:tcBorders>
            <w:shd w:fill="1A5C2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LOCKED</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Five Brand Pillars</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Vertical authority, mutual alignment, verified trust, commercial clarity, platform intelligence.</w:t>
            </w:r>
          </w:p>
        </w:tc>
      </w:tr>
      <w:tr>
        <w:trPr>
          <w:tblHeader w:val="false"/>
        </w:trPr>
        <w:tc>
          <w:tcPr>
            <w:tcW w:type="dxa" w:w="1400"/>
            <w:tcBorders>
              <w:top w:val="single" w:color="C0BCBA" w:sz="2"/>
              <w:left w:val="single" w:color="C0BCBA" w:sz="2"/>
              <w:bottom w:val="single" w:color="C0BCBA" w:sz="2"/>
              <w:right w:val="single" w:color="C0BCBA" w:sz="2"/>
            </w:tcBorders>
            <w:shd w:fill="1A5C2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LOCKED</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Four customer personas (Sarah, Marcus, Jennifer, David)</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Playbook Section E — primary reference for all page copy and IH content.</w:t>
            </w:r>
          </w:p>
        </w:tc>
      </w:tr>
      <w:tr>
        <w:trPr>
          <w:tblHeader w:val="false"/>
        </w:trPr>
        <w:tc>
          <w:tcPr>
            <w:tcW w:type="dxa" w:w="1400"/>
            <w:tcBorders>
              <w:top w:val="single" w:color="C0BCBA" w:sz="2"/>
              <w:left w:val="single" w:color="C0BCBA" w:sz="2"/>
              <w:bottom w:val="single" w:color="C0BCBA" w:sz="2"/>
              <w:right w:val="single" w:color="C0BCBA" w:sz="2"/>
            </w:tcBorders>
            <w:shd w:fill="1A5C2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LOCKED</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Market opportunity statement and Why Now argument</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$80B market, three converging forces. Preserve intact.</w:t>
            </w:r>
          </w:p>
        </w:tc>
      </w:tr>
      <w:tr>
        <w:trPr>
          <w:tblHeader w:val="false"/>
        </w:trPr>
        <w:tc>
          <w:tcPr>
            <w:tcW w:type="dxa" w:w="1400"/>
            <w:tcBorders>
              <w:top w:val="single" w:color="C0BCBA" w:sz="2"/>
              <w:left w:val="single" w:color="C0BCBA" w:sz="2"/>
              <w:bottom w:val="single" w:color="C0BCBA" w:sz="2"/>
              <w:right w:val="single" w:color="C0BCBA" w:sz="2"/>
            </w:tcBorders>
            <w:shd w:fill="1A5C2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LOCKED</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Differentiation framework (vs Faire, vs brand portals)</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Comparison table is the best strategic asset on the site. Preserve.</w:t>
            </w:r>
          </w:p>
        </w:tc>
      </w:tr>
      <w:tr>
        <w:trPr>
          <w:tblHeader w:val="false"/>
        </w:trPr>
        <w:tc>
          <w:tcPr>
            <w:tcW w:type="dxa" w:w="1400"/>
            <w:tcBorders>
              <w:top w:val="single" w:color="C0BCBA" w:sz="2"/>
              <w:left w:val="single" w:color="C0BCBA" w:sz="2"/>
              <w:bottom w:val="single" w:color="C0BCBA" w:sz="2"/>
              <w:right w:val="single" w:color="C0BCBA" w:sz="2"/>
            </w:tcBorders>
            <w:shd w:fill="1A5C2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LOCKED</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Category ownership statement</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Professional commerce platform — not a marketplace in the Etsy sense.</w:t>
            </w:r>
          </w:p>
        </w:tc>
      </w:tr>
    </w:tbl>
    <w:p>
      <w:pPr>
        <w:pStyle w:val="Heading2"/>
        <w:pBdr>
          <w:bottom w:val="single" w:color="C0BCBA" w:sz="3" w:space="4"/>
        </w:pBdr>
        <w:spacing w:after="160" w:before="360"/>
      </w:pPr>
      <w:r>
        <w:rPr>
          <w:rFonts w:ascii="Arial" w:cs="Arial" w:eastAsia="Arial" w:hAnsi="Arial"/>
          <w:b/>
          <w:bCs/>
          <w:color w:val="3E4C5E"/>
          <w:sz w:val="32"/>
          <w:szCs w:val="32"/>
        </w:rPr>
        <w:t xml:space="preserve">A3 — Page Copy</w:t>
      </w:r>
    </w:p>
    <w:p>
      <w:pPr>
        <w:spacing w:after="120" w:before="80"/>
      </w:pPr>
      <w:r>
        <w:rPr>
          <w:rFonts w:ascii="Arial" w:cs="Arial" w:eastAsia="Arial" w:hAnsi="Arial"/>
          <w:b w:val="false"/>
          <w:bCs w:val="false"/>
          <w:color w:val="181614"/>
          <w:sz w:val="20"/>
          <w:szCs w:val="20"/>
        </w:rPr>
        <w:t xml:space="preserve">All copy from Playbook Section H is preserved and authoritative. The visual reset changes the frame — not the words. Agents building public pages use Playbook Section H copy verbatim unless explicitly flagged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STATUS</w:t>
            </w:r>
          </w:p>
        </w:tc>
        <w:tc>
          <w:tcPr>
            <w:tcW w:type="dxa" w:w="26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ITEM</w:t>
            </w:r>
          </w:p>
        </w:tc>
        <w:tc>
          <w:tcPr>
            <w:tcW w:type="dxa" w:w="53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PRESERVATION NOTE</w:t>
            </w:r>
          </w:p>
        </w:tc>
      </w:tr>
      <w:tr>
        <w:trPr>
          <w:tblHeader w:val="false"/>
        </w:trPr>
        <w:tc>
          <w:tcPr>
            <w:tcW w:type="dxa" w:w="1400"/>
            <w:tcBorders>
              <w:top w:val="single" w:color="C0BCBA" w:sz="2"/>
              <w:left w:val="single" w:color="C0BCBA" w:sz="2"/>
              <w:bottom w:val="single" w:color="C0BCBA" w:sz="2"/>
              <w:right w:val="single" w:color="C0BCBA" w:sz="2"/>
            </w:tcBorders>
            <w:shd w:fill="1A5C2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LOCKED</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Homepage copy (all sections)</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Hero headline, platform split, Why SOCELLE, How It Works, final CTA — all locked.</w:t>
            </w:r>
          </w:p>
        </w:tc>
      </w:tr>
      <w:tr>
        <w:trPr>
          <w:tblHeader w:val="false"/>
        </w:trPr>
        <w:tc>
          <w:tcPr>
            <w:tcW w:type="dxa" w:w="1400"/>
            <w:tcBorders>
              <w:top w:val="single" w:color="C0BCBA" w:sz="2"/>
              <w:left w:val="single" w:color="C0BCBA" w:sz="2"/>
              <w:bottom w:val="single" w:color="C0BCBA" w:sz="2"/>
              <w:right w:val="single" w:color="C0BCBA" w:sz="2"/>
            </w:tcBorders>
            <w:shd w:fill="1A5C2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LOCKED</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For Brands page — all sections</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Hero, problem statement, feature list, economics, FAQ — locked.</w:t>
            </w:r>
          </w:p>
        </w:tc>
      </w:tr>
      <w:tr>
        <w:trPr>
          <w:tblHeader w:val="false"/>
        </w:trPr>
        <w:tc>
          <w:tcPr>
            <w:tcW w:type="dxa" w:w="1400"/>
            <w:tcBorders>
              <w:top w:val="single" w:color="C0BCBA" w:sz="2"/>
              <w:left w:val="single" w:color="C0BCBA" w:sz="2"/>
              <w:bottom w:val="single" w:color="C0BCBA" w:sz="2"/>
              <w:right w:val="single" w:color="C0BCBA" w:sz="2"/>
            </w:tcBorders>
            <w:shd w:fill="1A5C2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LOCKED</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For Buyers page — all sections</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Hero, problem statement, feature list, FAQ — locked.</w:t>
            </w:r>
          </w:p>
        </w:tc>
      </w:tr>
      <w:tr>
        <w:trPr>
          <w:tblHeader w:val="false"/>
        </w:trPr>
        <w:tc>
          <w:tcPr>
            <w:tcW w:type="dxa" w:w="1400"/>
            <w:tcBorders>
              <w:top w:val="single" w:color="C0BCBA" w:sz="2"/>
              <w:left w:val="single" w:color="C0BCBA" w:sz="2"/>
              <w:bottom w:val="single" w:color="C0BCBA" w:sz="2"/>
              <w:right w:val="single" w:color="C0BCBA" w:sz="2"/>
            </w:tcBorders>
            <w:shd w:fill="1A5C2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LOCKED</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About page narrative and principles</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"Four things that should not still be true in 2026" is the best writing on the site.</w:t>
            </w:r>
          </w:p>
        </w:tc>
      </w:tr>
      <w:tr>
        <w:trPr>
          <w:tblHeader w:val="false"/>
        </w:trPr>
        <w:tc>
          <w:tcPr>
            <w:tcW w:type="dxa" w:w="1400"/>
            <w:tcBorders>
              <w:top w:val="single" w:color="C0BCBA" w:sz="2"/>
              <w:left w:val="single" w:color="C0BCBA" w:sz="2"/>
              <w:bottom w:val="single" w:color="C0BCBA" w:sz="2"/>
              <w:right w:val="single" w:color="C0BCBA" w:sz="2"/>
            </w:tcBorders>
            <w:shd w:fill="1A5C2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LOCKED</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Pricing page economics, tier table, FAQ</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Honest, direct, trust-building. Do not simplify or rewrite.</w:t>
            </w:r>
          </w:p>
        </w:tc>
      </w:tr>
    </w:tbl>
    <w:p>
      <w:pPr>
        <w:pStyle w:val="Heading2"/>
        <w:pBdr>
          <w:bottom w:val="single" w:color="C0BCBA" w:sz="3" w:space="4"/>
        </w:pBdr>
        <w:spacing w:after="160" w:before="360"/>
      </w:pPr>
      <w:r>
        <w:rPr>
          <w:rFonts w:ascii="Arial" w:cs="Arial" w:eastAsia="Arial" w:hAnsi="Arial"/>
          <w:b/>
          <w:bCs/>
          <w:color w:val="3E4C5E"/>
          <w:sz w:val="32"/>
          <w:szCs w:val="32"/>
        </w:rPr>
        <w:t xml:space="preserve">A4 — Phase 2 Work Order Architecture</w:t>
      </w:r>
    </w:p>
    <w:p>
      <w:pPr>
        <w:spacing w:after="120" w:before="80"/>
      </w:pPr>
      <w:r>
        <w:rPr>
          <w:rFonts w:ascii="Arial" w:cs="Arial" w:eastAsia="Arial" w:hAnsi="Arial"/>
          <w:b w:val="false"/>
          <w:bCs w:val="false"/>
          <w:color w:val="181614"/>
          <w:sz w:val="20"/>
          <w:szCs w:val="20"/>
        </w:rPr>
        <w:t xml:space="preserve">The Phase 2 agent dependency structure, wave sequencing, performance rules, and all 7 animation techniques are preserved. The only changes are to the design tokens passed into Agent 2 (Design System) and the removal of the gradient mesh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STATUS</w:t>
            </w:r>
          </w:p>
        </w:tc>
        <w:tc>
          <w:tcPr>
            <w:tcW w:type="dxa" w:w="26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ITEM</w:t>
            </w:r>
          </w:p>
        </w:tc>
        <w:tc>
          <w:tcPr>
            <w:tcW w:type="dxa" w:w="53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PRESERVATION NOTE</w:t>
            </w:r>
          </w:p>
        </w:tc>
      </w:tr>
      <w:tr>
        <w:trPr>
          <w:tblHeader w:val="false"/>
        </w:trPr>
        <w:tc>
          <w:tcPr>
            <w:tcW w:type="dxa" w:w="1400"/>
            <w:tcBorders>
              <w:top w:val="single" w:color="C0BCBA" w:sz="2"/>
              <w:left w:val="single" w:color="C0BCBA" w:sz="2"/>
              <w:bottom w:val="single" w:color="C0BCBA" w:sz="2"/>
              <w:right w:val="single" w:color="C0BCBA" w:sz="2"/>
            </w:tcBorders>
            <w:shd w:fill="1A5C2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LOCKED</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Wave sequencing (Waves 1–5)</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Agent 1 → Agent 2 → Agent 3 → Wave 3 parallel → Agent 10 → Agent 11.</w:t>
            </w:r>
          </w:p>
        </w:tc>
      </w:tr>
      <w:tr>
        <w:trPr>
          <w:tblHeader w:val="false"/>
        </w:trPr>
        <w:tc>
          <w:tcPr>
            <w:tcW w:type="dxa" w:w="1400"/>
            <w:tcBorders>
              <w:top w:val="single" w:color="C0BCBA" w:sz="2"/>
              <w:left w:val="single" w:color="C0BCBA" w:sz="2"/>
              <w:bottom w:val="single" w:color="C0BCBA" w:sz="2"/>
              <w:right w:val="single" w:color="C0BCBA" w:sz="2"/>
            </w:tcBorders>
            <w:shd w:fill="1A5C2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LOCKED</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Performance rules (bundle size, next/image, etc.)</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&lt; 300KB JS, WebP/AVIF, Framer Motion + GSAP only — unchanged.</w:t>
            </w:r>
          </w:p>
        </w:tc>
      </w:tr>
      <w:tr>
        <w:trPr>
          <w:tblHeader w:val="false"/>
        </w:trPr>
        <w:tc>
          <w:tcPr>
            <w:tcW w:type="dxa" w:w="1400"/>
            <w:tcBorders>
              <w:top w:val="single" w:color="C0BCBA" w:sz="2"/>
              <w:left w:val="single" w:color="C0BCBA" w:sz="2"/>
              <w:bottom w:val="single" w:color="C0BCBA" w:sz="2"/>
              <w:right w:val="single" w:color="C0BCBA" w:sz="2"/>
            </w:tcBorders>
            <w:shd w:fill="1A5C2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LOCKED</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Techniques 1–4 and 6–7 (Lenis, scroll-triggered, parallax, magnetic button)</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All preserved. Technique 5 (gradient mesh) is the only removal.</w:t>
            </w:r>
          </w:p>
        </w:tc>
      </w:tr>
      <w:tr>
        <w:trPr>
          <w:tblHeader w:val="false"/>
        </w:trPr>
        <w:tc>
          <w:tcPr>
            <w:tcW w:type="dxa" w:w="1400"/>
            <w:tcBorders>
              <w:top w:val="single" w:color="C0BCBA" w:sz="2"/>
              <w:left w:val="single" w:color="C0BCBA" w:sz="2"/>
              <w:bottom w:val="single" w:color="C0BCBA" w:sz="2"/>
              <w:right w:val="single" w:color="C0BCBA" w:sz="2"/>
            </w:tcBorders>
            <w:shd w:fill="1A5C2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LOCKED</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Architecture rules (marketing site only, env variables, no CMS)</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Unchanged. Fully compatible with new direction.</w:t>
            </w:r>
          </w:p>
        </w:tc>
      </w:tr>
      <w:tr>
        <w:trPr>
          <w:tblHeader w:val="false"/>
        </w:trPr>
        <w:tc>
          <w:tcPr>
            <w:tcW w:type="dxa" w:w="1400"/>
            <w:tcBorders>
              <w:top w:val="single" w:color="C0BCBA" w:sz="2"/>
              <w:left w:val="single" w:color="C0BCBA" w:sz="2"/>
              <w:bottom w:val="single" w:color="C0BCBA" w:sz="2"/>
              <w:right w:val="single" w:color="C0BCBA" w:sz="2"/>
            </w:tcBorders>
            <w:shd w:fill="1A5C2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LOCKED</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All Phase 2 page agents (4–9) — structural scope</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Which pages they build and what sections they contain is preserved.</w:t>
            </w:r>
          </w:p>
        </w:tc>
      </w:tr>
    </w:tbl>
    <w:p>
      <w:r>
        <w:br w:type="page"/>
      </w:r>
    </w:p>
    <w:p>
      <w:pPr>
        <w:pStyle w:val="Heading1"/>
        <w:spacing w:after="200" w:before="480"/>
      </w:pPr>
      <w:r>
        <w:rPr>
          <w:rFonts w:ascii="Arial" w:cs="Arial" w:eastAsia="Arial" w:hAnsi="Arial"/>
          <w:b/>
          <w:bCs/>
          <w:color w:val="181614"/>
          <w:sz w:val="44"/>
          <w:szCs w:val="44"/>
        </w:rPr>
        <w:t xml:space="preserve">B. What Must Be Revised</w:t>
      </w:r>
    </w:p>
    <w:p>
      <w:pPr>
        <w:spacing w:after="160" w:before="80"/>
      </w:pPr>
      <w:r>
        <w:rPr>
          <w:rFonts w:ascii="Arial" w:cs="Arial" w:eastAsia="Arial" w:hAnsi="Arial"/>
          <w:b w:val="false"/>
          <w:bCs w:val="false"/>
          <w:color w:val="181614"/>
          <w:sz w:val="20"/>
          <w:szCs w:val="20"/>
        </w:rPr>
        <w:t xml:space="preserve">The following items are in direct conflict with the new visual direction established in SOCELLE_VISUAL_RESET.docx. Each revision has a specific replacement source. Agents must not use conflicting values from Playbook Section J or the old Phase 2 CSS blocks.</w:t>
      </w:r>
    </w:p>
    <w:p>
      <w:pPr>
        <w:pStyle w:val="Heading2"/>
        <w:pBdr>
          <w:bottom w:val="single" w:color="C0BCBA" w:sz="3" w:space="4"/>
        </w:pBdr>
        <w:spacing w:after="160" w:before="360"/>
      </w:pPr>
      <w:r>
        <w:rPr>
          <w:rFonts w:ascii="Arial" w:cs="Arial" w:eastAsia="Arial" w:hAnsi="Arial"/>
          <w:b/>
          <w:bCs/>
          <w:color w:val="3E4C5E"/>
          <w:sz w:val="32"/>
          <w:szCs w:val="32"/>
        </w:rPr>
        <w:t xml:space="preserve">B1 — Phase 0 Pre-Flight Decisions (Updated)</w:t>
      </w:r>
    </w:p>
    <w:p>
      <w:pPr>
        <w:spacing w:after="120" w:before="80"/>
      </w:pPr>
      <w:r>
        <w:rPr>
          <w:rFonts w:ascii="Arial" w:cs="Arial" w:eastAsia="Arial" w:hAnsi="Arial"/>
          <w:b w:val="false"/>
          <w:bCs w:val="false"/>
          <w:color w:val="181614"/>
          <w:sz w:val="20"/>
          <w:szCs w:val="20"/>
        </w:rPr>
        <w:t xml:space="preserve">Phase 2 Work Order Phase 0 checklist must be updated. Two of the five decisions are now resolved by the visual reset. Agents must use the updated values below, not the Playbook Section J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DECISION</w:t>
            </w:r>
          </w:p>
        </w:tc>
        <w:tc>
          <w:tcPr>
            <w:tcW w:type="dxa" w:w="65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VALUE</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D1 — Color System (WAS)</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Deep sage (#2D5A4E) + warm brass (#C4956A) — Playbook Section J recommendation. OBSOLETE. Do not use.</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D1 — Color System (NOW)</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Mineral Clinical — porcelain #F5F4F2 base, graphite #181614 text, slate #3E4C5E accent. Full token system in SOCELLE_VISUAL_RESET.docx Part G.</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D5 — Typography (WAS)</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Instrument Serif (display) + Satoshi (body) — Phase 2 Work Order and Playbook Section J. OBSOLETE.</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D5 — Typography (NOW)</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Inter (all body/UI) + DM Serif Display italic (hero headlines only, max 2 per page). Specification in SOCELLE_VISUAL_RESET.docx Part D.</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D2 — Architecture</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UNCHANGED. Next.js marketing site is a separate codebase from existing React platform.</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D3 — CTA Destination</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UNCHANGED. Confirm before Wave 3 launches. Recommended: dual split (For brands → /brand/apply, For buyers → /portal/signup).</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D4 — Professional Email</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UNCHANGED. hello@socelle.com must be confirmed DNS/inbox live before deploy.</w:t>
            </w:r>
          </w:p>
        </w:tc>
      </w:tr>
    </w:tbl>
    <w:p>
      <w:pPr>
        <w:pStyle w:val="Heading2"/>
        <w:pBdr>
          <w:bottom w:val="single" w:color="C0BCBA" w:sz="3" w:space="4"/>
        </w:pBdr>
        <w:spacing w:after="160" w:before="360"/>
      </w:pPr>
      <w:r>
        <w:rPr>
          <w:rFonts w:ascii="Arial" w:cs="Arial" w:eastAsia="Arial" w:hAnsi="Arial"/>
          <w:b/>
          <w:bCs/>
          <w:color w:val="3E4C5E"/>
          <w:sz w:val="32"/>
          <w:szCs w:val="32"/>
        </w:rPr>
        <w:t xml:space="preserve">B2 — Visual Tokens and CSS</w:t>
      </w:r>
    </w:p>
    <w:p>
      <w:pPr>
        <w:spacing w:after="120" w:before="80"/>
      </w:pPr>
      <w:r>
        <w:rPr>
          <w:rFonts w:ascii="Arial" w:cs="Arial" w:eastAsia="Arial" w:hAnsi="Arial"/>
          <w:b w:val="false"/>
          <w:bCs w:val="false"/>
          <w:color w:val="181614"/>
          <w:sz w:val="20"/>
          <w:szCs w:val="20"/>
        </w:rPr>
        <w:t xml:space="preserve">Agent 2 (Design System) must use SOCELLE_VISUAL_RESET.docx Part G (globals.css replacement) and Part H (Tailwind config replacement) as the canonical source. No other color or typography source is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ACTION</w:t>
            </w:r>
          </w:p>
        </w:tc>
        <w:tc>
          <w:tcPr>
            <w:tcW w:type="dxa" w:w="26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ITEM</w:t>
            </w:r>
          </w:p>
        </w:tc>
        <w:tc>
          <w:tcPr>
            <w:tcW w:type="dxa" w:w="53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REPLACE WITH</w:t>
            </w:r>
          </w:p>
        </w:tc>
      </w:tr>
      <w:tr>
        <w:trPr>
          <w:tblHeader w:val="false"/>
        </w:trPr>
        <w:tc>
          <w:tcPr>
            <w:tcW w:type="dxa" w:w="1400"/>
            <w:tcBorders>
              <w:top w:val="single" w:color="C0BCBA" w:sz="2"/>
              <w:left w:val="single" w:color="C0BCBA" w:sz="2"/>
              <w:bottom w:val="single" w:color="C0BCBA" w:sz="2"/>
              <w:right w:val="single" w:color="C0BCBA" w:sz="2"/>
            </w:tcBorders>
            <w:shd w:fill="7A4A1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REPLACE</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--accent: #2D5A4E (sage CTA token)</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--cta: #3E4C5E (slate). Full token set in VISUAL_RESET Part G.</w:t>
            </w:r>
          </w:p>
        </w:tc>
      </w:tr>
      <w:tr>
        <w:trPr>
          <w:tblHeader w:val="false"/>
        </w:trPr>
        <w:tc>
          <w:tcPr>
            <w:tcW w:type="dxa" w:w="1400"/>
            <w:tcBorders>
              <w:top w:val="single" w:color="C0BCBA" w:sz="2"/>
              <w:left w:val="single" w:color="C0BCBA" w:sz="2"/>
              <w:bottom w:val="single" w:color="C0BCBA" w:sz="2"/>
              <w:right w:val="single" w:color="C0BCBA" w:sz="2"/>
            </w:tcBorders>
            <w:shd w:fill="A32828"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REPLACE</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--accent-warm: #C4956A (brass token)</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Remove from token system. No warm accent in Mineral Clinical palette.</w:t>
            </w:r>
          </w:p>
        </w:tc>
      </w:tr>
      <w:tr>
        <w:trPr>
          <w:tblHeader w:val="false"/>
        </w:trPr>
        <w:tc>
          <w:tcPr>
            <w:tcW w:type="dxa" w:w="1400"/>
            <w:tcBorders>
              <w:top w:val="single" w:color="C0BCBA" w:sz="2"/>
              <w:left w:val="single" w:color="C0BCBA" w:sz="2"/>
              <w:bottom w:val="single" w:color="C0BCBA" w:sz="2"/>
              <w:right w:val="single" w:color="C0BCBA" w:sz="2"/>
            </w:tcBorders>
            <w:shd w:fill="7A4A1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REPLACE</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--glow: #F0E6D8 (warm gradient glow)</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--bg-tint: #ECEAE7 (light stone surface). Cold neutral only.</w:t>
            </w:r>
          </w:p>
        </w:tc>
      </w:tr>
      <w:tr>
        <w:trPr>
          <w:tblHeader w:val="false"/>
        </w:trPr>
        <w:tc>
          <w:tcPr>
            <w:tcW w:type="dxa" w:w="1400"/>
            <w:tcBorders>
              <w:top w:val="single" w:color="C0BCBA" w:sz="2"/>
              <w:left w:val="single" w:color="C0BCBA" w:sz="2"/>
              <w:bottom w:val="single" w:color="C0BCBA" w:sz="2"/>
              <w:right w:val="single" w:color="C0BCBA" w:sz="2"/>
            </w:tcBorders>
            <w:shd w:fill="7A4A1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REPLACE</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--font-display: Instrument Serif</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--font-display: DM Serif Display (italic only). Body stays Inter.</w:t>
            </w:r>
          </w:p>
        </w:tc>
      </w:tr>
      <w:tr>
        <w:trPr>
          <w:tblHeader w:val="false"/>
        </w:trPr>
        <w:tc>
          <w:tcPr>
            <w:tcW w:type="dxa" w:w="1400"/>
            <w:tcBorders>
              <w:top w:val="single" w:color="C0BCBA" w:sz="2"/>
              <w:left w:val="single" w:color="C0BCBA" w:sz="2"/>
              <w:bottom w:val="single" w:color="C0BCBA" w:sz="2"/>
              <w:right w:val="single" w:color="C0BCBA" w:sz="2"/>
            </w:tcBorders>
            <w:shd w:fill="A32828"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REMOVE</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Technique 5 — Gradient Mesh Background</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Replace .gradient-bg with static --bg-subtle (#ECEAE7) or --n-50 (#F5F4F2).</w:t>
            </w:r>
          </w:p>
        </w:tc>
      </w:tr>
      <w:tr>
        <w:trPr>
          <w:tblHeader w:val="false"/>
        </w:trPr>
        <w:tc>
          <w:tcPr>
            <w:tcW w:type="dxa" w:w="1400"/>
            <w:tcBorders>
              <w:top w:val="single" w:color="C0BCBA" w:sz="2"/>
              <w:left w:val="single" w:color="C0BCBA" w:sz="2"/>
              <w:bottom w:val="single" w:color="C0BCBA" w:sz="2"/>
              <w:right w:val="single" w:color="C0BCBA" w:sz="2"/>
            </w:tcBorders>
            <w:shd w:fill="A32828"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REMOVE</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pro.navy: #8C6B6E (rosewood) in tailwind.config.js</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Remove all warm palette tokens. Replacement block in VISUAL_RESET Part H.</w:t>
            </w:r>
          </w:p>
        </w:tc>
      </w:tr>
      <w:tr>
        <w:trPr>
          <w:tblHeader w:val="false"/>
        </w:trPr>
        <w:tc>
          <w:tcPr>
            <w:tcW w:type="dxa" w:w="1400"/>
            <w:tcBorders>
              <w:top w:val="single" w:color="C0BCBA" w:sz="2"/>
              <w:left w:val="single" w:color="C0BCBA" w:sz="2"/>
              <w:bottom w:val="single" w:color="C0BCBA" w:sz="2"/>
              <w:right w:val="single" w:color="C0BCBA" w:sz="2"/>
            </w:tcBorders>
            <w:shd w:fill="A32828"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REMOVE</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pro.gold: #D4A44C in tailwind.config.js</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Remove. No warm gold token in Mineral Clinical.</w:t>
            </w:r>
          </w:p>
        </w:tc>
      </w:tr>
      <w:tr>
        <w:trPr>
          <w:tblHeader w:val="false"/>
        </w:trPr>
        <w:tc>
          <w:tcPr>
            <w:tcW w:type="dxa" w:w="1400"/>
            <w:tcBorders>
              <w:top w:val="single" w:color="C0BCBA" w:sz="2"/>
              <w:left w:val="single" w:color="C0BCBA" w:sz="2"/>
              <w:bottom w:val="single" w:color="C0BCBA" w:sz="2"/>
              <w:right w:val="single" w:color="C0BCBA" w:sz="2"/>
            </w:tcBorders>
            <w:shd w:fill="A32828"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REMOVE</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Playfair Display import in src/index.css</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Replace with Inter import. Spec in VISUAL_RESET Part H.</w:t>
            </w:r>
          </w:p>
        </w:tc>
      </w:tr>
    </w:tbl>
    <w:p>
      <w:pPr>
        <w:pStyle w:val="Heading2"/>
        <w:pBdr>
          <w:bottom w:val="single" w:color="C0BCBA" w:sz="3" w:space="4"/>
        </w:pBdr>
        <w:spacing w:after="160" w:before="360"/>
      </w:pPr>
      <w:r>
        <w:rPr>
          <w:rFonts w:ascii="Arial" w:cs="Arial" w:eastAsia="Arial" w:hAnsi="Arial"/>
          <w:b/>
          <w:bCs/>
          <w:color w:val="3E4C5E"/>
          <w:sz w:val="32"/>
          <w:szCs w:val="32"/>
        </w:rPr>
        <w:t xml:space="preserve">B3 — Page Visual Framing</w:t>
      </w:r>
    </w:p>
    <w:p>
      <w:pPr>
        <w:spacing w:after="120" w:before="80"/>
      </w:pPr>
      <w:r>
        <w:rPr>
          <w:rFonts w:ascii="Arial" w:cs="Arial" w:eastAsia="Arial" w:hAnsi="Arial"/>
          <w:b w:val="false"/>
          <w:bCs w:val="false"/>
          <w:color w:val="181614"/>
          <w:sz w:val="20"/>
          <w:szCs w:val="20"/>
        </w:rPr>
        <w:t xml:space="preserve">The copy is locked (Section A3). The visual application of that copy must reflect the new direction. These are framing decisions, not copy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ACTION</w:t>
            </w:r>
          </w:p>
        </w:tc>
        <w:tc>
          <w:tcPr>
            <w:tcW w:type="dxa" w:w="26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ELEMENT</w:t>
            </w:r>
          </w:p>
        </w:tc>
        <w:tc>
          <w:tcPr>
            <w:tcW w:type="dxa" w:w="53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NEW SPECIFICATION</w:t>
            </w:r>
          </w:p>
        </w:tc>
      </w:tr>
      <w:tr>
        <w:trPr>
          <w:tblHeader w:val="false"/>
        </w:trPr>
        <w:tc>
          <w:tcPr>
            <w:tcW w:type="dxa" w:w="1400"/>
            <w:tcBorders>
              <w:top w:val="single" w:color="C0BCBA" w:sz="2"/>
              <w:left w:val="single" w:color="C0BCBA" w:sz="2"/>
              <w:bottom w:val="single" w:color="C0BCBA" w:sz="2"/>
              <w:right w:val="single" w:color="C0BCBA" w:sz="2"/>
            </w:tcBorders>
            <w:shd w:fill="7A4A1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REVISE</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Hero section background</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Static --n-50 (#F5F4F2). No gradient mesh. No warm glow overlay.</w:t>
            </w:r>
          </w:p>
        </w:tc>
      </w:tr>
      <w:tr>
        <w:trPr>
          <w:tblHeader w:val="false"/>
        </w:trPr>
        <w:tc>
          <w:tcPr>
            <w:tcW w:type="dxa" w:w="1400"/>
            <w:tcBorders>
              <w:top w:val="single" w:color="C0BCBA" w:sz="2"/>
              <w:left w:val="single" w:color="C0BCBA" w:sz="2"/>
              <w:bottom w:val="single" w:color="C0BCBA" w:sz="2"/>
              <w:right w:val="single" w:color="C0BCBA" w:sz="2"/>
            </w:tcBorders>
            <w:shd w:fill="7A4A1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REVISE</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CTA button (primary)</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Background: --cta (#3E4C5E). Hover: --cta-hover (#2D3748). No sage green.</w:t>
            </w:r>
          </w:p>
        </w:tc>
      </w:tr>
      <w:tr>
        <w:trPr>
          <w:tblHeader w:val="false"/>
        </w:trPr>
        <w:tc>
          <w:tcPr>
            <w:tcW w:type="dxa" w:w="1400"/>
            <w:tcBorders>
              <w:top w:val="single" w:color="C0BCBA" w:sz="2"/>
              <w:left w:val="single" w:color="C0BCBA" w:sz="2"/>
              <w:bottom w:val="single" w:color="C0BCBA" w:sz="2"/>
              <w:right w:val="single" w:color="C0BCBA" w:sz="2"/>
            </w:tcBorders>
            <w:shd w:fill="7A4A1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REVISE</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Dark CTA section</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Background: --n-900 (#181614). Accent text: --cta (#3E4C5E) NOT brass.</w:t>
            </w:r>
          </w:p>
        </w:tc>
      </w:tr>
      <w:tr>
        <w:trPr>
          <w:tblHeader w:val="false"/>
        </w:trPr>
        <w:tc>
          <w:tcPr>
            <w:tcW w:type="dxa" w:w="1400"/>
            <w:tcBorders>
              <w:top w:val="single" w:color="C0BCBA" w:sz="2"/>
              <w:left w:val="single" w:color="C0BCBA" w:sz="2"/>
              <w:bottom w:val="single" w:color="C0BCBA" w:sz="2"/>
              <w:right w:val="single" w:color="C0BCBA" w:sz="2"/>
            </w:tcBorders>
            <w:shd w:fill="7A4A1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REVISE</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Card surfaces</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--n-100 (#ECEAE7) on --n-50 (#F5F4F2) background. No warm tones.</w:t>
            </w:r>
          </w:p>
        </w:tc>
      </w:tr>
      <w:tr>
        <w:trPr>
          <w:tblHeader w:val="false"/>
        </w:trPr>
        <w:tc>
          <w:tcPr>
            <w:tcW w:type="dxa" w:w="1400"/>
            <w:tcBorders>
              <w:top w:val="single" w:color="C0BCBA" w:sz="2"/>
              <w:left w:val="single" w:color="C0BCBA" w:sz="2"/>
              <w:bottom w:val="single" w:color="C0BCBA" w:sz="2"/>
              <w:right w:val="single" w:color="C0BCBA" w:sz="2"/>
            </w:tcBorders>
            <w:shd w:fill="7A4A1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REVISE</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Section dividers</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Thin 1px --n-200 (#C0BCBA). No decorative ornament lines.</w:t>
            </w:r>
          </w:p>
        </w:tc>
      </w:tr>
      <w:tr>
        <w:trPr>
          <w:tblHeader w:val="false"/>
        </w:trPr>
        <w:tc>
          <w:tcPr>
            <w:tcW w:type="dxa" w:w="1400"/>
            <w:tcBorders>
              <w:top w:val="single" w:color="C0BCBA" w:sz="2"/>
              <w:left w:val="single" w:color="C0BCBA" w:sz="2"/>
              <w:bottom w:val="single" w:color="C0BCBA" w:sz="2"/>
              <w:right w:val="single" w:color="C0BCBA" w:sz="2"/>
            </w:tcBorders>
            <w:shd w:fill="7A4A1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REVISE</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Comparison table accent column</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Slate (#3E4C5E) header, not sage. Table otherwise structurally unchanged.</w:t>
            </w:r>
          </w:p>
        </w:tc>
      </w:tr>
      <w:tr>
        <w:trPr>
          <w:tblHeader w:val="false"/>
        </w:trPr>
        <w:tc>
          <w:tcPr>
            <w:tcW w:type="dxa" w:w="1400"/>
            <w:tcBorders>
              <w:top w:val="single" w:color="C0BCBA" w:sz="2"/>
              <w:left w:val="single" w:color="C0BCBA" w:sz="2"/>
              <w:bottom w:val="single" w:color="C0BCBA" w:sz="2"/>
              <w:right w:val="single" w:color="C0BCBA" w:sz="2"/>
            </w:tcBorders>
            <w:shd w:fill="7A4A1A"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REVISE</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Hero headline typography</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DM Serif Display italic for the single primary headline. Inter for all subheads.</w:t>
            </w:r>
          </w:p>
        </w:tc>
      </w:tr>
    </w:tbl>
    <w:p>
      <w:pPr>
        <w:pStyle w:val="Heading2"/>
        <w:pBdr>
          <w:bottom w:val="single" w:color="C0BCBA" w:sz="3" w:space="4"/>
        </w:pBdr>
        <w:spacing w:after="160" w:before="360"/>
      </w:pPr>
      <w:r>
        <w:rPr>
          <w:rFonts w:ascii="Arial" w:cs="Arial" w:eastAsia="Arial" w:hAnsi="Arial"/>
          <w:b/>
          <w:bCs/>
          <w:color w:val="3E4C5E"/>
          <w:sz w:val="32"/>
          <w:szCs w:val="32"/>
        </w:rPr>
        <w:t xml:space="preserve">B4 — Playbook Sections That Reference Conflicting Visual Direction</w:t>
      </w:r>
    </w:p>
    <w:p>
      <w:pPr>
        <w:spacing w:after="120" w:before="80"/>
      </w:pPr>
      <w:r>
        <w:rPr>
          <w:rFonts w:ascii="Arial" w:cs="Arial" w:eastAsia="Arial" w:hAnsi="Arial"/>
          <w:b w:val="false"/>
          <w:bCs w:val="false"/>
          <w:color w:val="181614"/>
          <w:sz w:val="20"/>
          <w:szCs w:val="20"/>
        </w:rPr>
        <w:t xml:space="preserve">SOCELLE_PLAYBOOK.md sections below contain outdated visual recommendations. Agents must ignore these specific sections and defer to SOCELLE_VISUAL_RESET.docx in all visual decisions. The strategic content in these sections (copy, personas, architecture) is still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CONFLICT LOCATION</w:t>
            </w:r>
          </w:p>
        </w:tc>
        <w:tc>
          <w:tcPr>
            <w:tcW w:type="dxa" w:w="61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ACTION</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Playbook Lines 1083–1092</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Explicit sage + warm brass recommendation. SUPERSEDED by VISUAL_RESET Part C. Ignore this passage for visual decisions.</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Playbook Lines 1104–1131</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CSS token spec with --accent #2D5A4E. SUPERSEDED by VISUAL_RESET Part G. Use VISUAL_RESET tokens.</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Playbook Lines 1139–1156</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Typography specimen with Instrument Serif. SUPERSEDED by VISUAL_RESET Part D.</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Playbook Line 1188</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Gradient mesh backgrounds for hero. SUPERSEDED. Static neutral background.</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Playbook Line 1191</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Treatment-room context / editorial photography tone. SUPERSEDED. Clinical, restrained, brand-safe photography direction.</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Phase 2 Lines 468–488</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Full CSS globals block with sage/brass tokens. SUPERSEDED by VISUAL_RESET Part G replacement block.</w:t>
            </w:r>
          </w:p>
        </w:tc>
      </w:tr>
      <w:tr>
        <w:trPr>
          <w:tblHeader w:val="false"/>
        </w:trPr>
        <w:tc>
          <w:tcPr>
            <w:tcW w:type="dxa" w:w="3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Phase 2 Lines 304–334</w:t>
            </w:r>
          </w:p>
        </w:tc>
        <w:tc>
          <w:tcPr>
            <w:tcW w:type="dxa" w:w="6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Animated gradient-bg classes. SUPERSEDED. Remove Technique 5 entirely.</w:t>
            </w:r>
          </w:p>
        </w:tc>
      </w:tr>
    </w:tbl>
    <w:p>
      <w:r>
        <w:br w:type="page"/>
      </w:r>
    </w:p>
    <w:p>
      <w:pPr>
        <w:pStyle w:val="Heading1"/>
        <w:spacing w:after="200" w:before="480"/>
      </w:pPr>
      <w:r>
        <w:rPr>
          <w:rFonts w:ascii="Arial" w:cs="Arial" w:eastAsia="Arial" w:hAnsi="Arial"/>
          <w:b/>
          <w:bCs/>
          <w:color w:val="181614"/>
          <w:sz w:val="44"/>
          <w:szCs w:val="44"/>
        </w:rPr>
        <w:t xml:space="preserve">C. What Must Be Deprioritized</w:t>
      </w:r>
    </w:p>
    <w:p>
      <w:pPr>
        <w:spacing w:after="160" w:before="80"/>
      </w:pPr>
      <w:r>
        <w:rPr>
          <w:rFonts w:ascii="Arial" w:cs="Arial" w:eastAsia="Arial" w:hAnsi="Arial"/>
          <w:b w:val="false"/>
          <w:bCs w:val="false"/>
          <w:color w:val="181614"/>
          <w:sz w:val="20"/>
          <w:szCs w:val="20"/>
        </w:rPr>
        <w:t xml:space="preserve">The following items are genuinely valuable but represent scope that will slow the critical path. They are not cancelled — they are scheduled. Each has a recommended return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STATUS</w:t>
            </w:r>
          </w:p>
        </w:tc>
        <w:tc>
          <w:tcPr>
            <w:tcW w:type="dxa" w:w="26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ITEM</w:t>
            </w:r>
          </w:p>
        </w:tc>
        <w:tc>
          <w:tcPr>
            <w:tcW w:type="dxa" w:w="53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RETURN POINT</w:t>
            </w:r>
          </w:p>
        </w:tc>
      </w:tr>
      <w:tr>
        <w:trPr>
          <w:tblHeader w:val="false"/>
        </w:trPr>
        <w:tc>
          <w:tcPr>
            <w:tcW w:type="dxa" w:w="1400"/>
            <w:tcBorders>
              <w:top w:val="single" w:color="C0BCBA" w:sz="2"/>
              <w:left w:val="single" w:color="C0BCBA" w:sz="2"/>
              <w:bottom w:val="single" w:color="C0BCBA" w:sz="2"/>
              <w:right w:val="single" w:color="C0BCBA" w:sz="2"/>
            </w:tcBorders>
            <w:shd w:fill="404080"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POST-LAUNCH</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Vertical landing pages (/salon, /wellness, /hospitality)</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After first operator cohort is onboarded. Let operator data drive which verticals to prioritize.</w:t>
            </w:r>
          </w:p>
        </w:tc>
      </w:tr>
      <w:tr>
        <w:trPr>
          <w:tblHeader w:val="false"/>
        </w:trPr>
        <w:tc>
          <w:tcPr>
            <w:tcW w:type="dxa" w:w="1400"/>
            <w:tcBorders>
              <w:top w:val="single" w:color="C0BCBA" w:sz="2"/>
              <w:left w:val="single" w:color="C0BCBA" w:sz="2"/>
              <w:bottom w:val="single" w:color="C0BCBA" w:sz="2"/>
              <w:right w:val="single" w:color="C0BCBA" w:sz="2"/>
            </w:tcBorders>
            <w:shd w:fill="404080"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POST-LAUNCH</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Team section on About page</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When real team photos and bios are available. Placeholder is worse than nothing.</w:t>
            </w:r>
          </w:p>
        </w:tc>
      </w:tr>
      <w:tr>
        <w:trPr>
          <w:tblHeader w:val="false"/>
        </w:trPr>
        <w:tc>
          <w:tcPr>
            <w:tcW w:type="dxa" w:w="1400"/>
            <w:tcBorders>
              <w:top w:val="single" w:color="C0BCBA" w:sz="2"/>
              <w:left w:val="single" w:color="C0BCBA" w:sz="2"/>
              <w:bottom w:val="single" w:color="C0BCBA" w:sz="2"/>
              <w:right w:val="single" w:color="C0BCBA" w:sz="2"/>
            </w:tcBorders>
            <w:shd w:fill="404080"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POST-LAUNCH</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Shopify integration for brand fulfillment</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After first 5 brands onboarded. Let real fulfillment pain drive the integration.</w:t>
            </w:r>
          </w:p>
        </w:tc>
      </w:tr>
      <w:tr>
        <w:trPr>
          <w:tblHeader w:val="false"/>
        </w:trPr>
        <w:tc>
          <w:tcPr>
            <w:tcW w:type="dxa" w:w="1400"/>
            <w:tcBorders>
              <w:top w:val="single" w:color="C0BCBA" w:sz="2"/>
              <w:left w:val="single" w:color="C0BCBA" w:sz="2"/>
              <w:bottom w:val="single" w:color="C0BCBA" w:sz="2"/>
              <w:right w:val="single" w:color="C0BCBA" w:sz="2"/>
            </w:tcBorders>
            <w:shd w:fill="404080"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POST-LAUNCH</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Full content engine / blog for SEO authority</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After Intelligence Hub education layer is proven. IH content comes first.</w:t>
            </w:r>
          </w:p>
        </w:tc>
      </w:tr>
      <w:tr>
        <w:trPr>
          <w:tblHeader w:val="false"/>
        </w:trPr>
        <w:tc>
          <w:tcPr>
            <w:tcW w:type="dxa" w:w="1400"/>
            <w:tcBorders>
              <w:top w:val="single" w:color="C0BCBA" w:sz="2"/>
              <w:left w:val="single" w:color="C0BCBA" w:sz="2"/>
              <w:bottom w:val="single" w:color="C0BCBA" w:sz="2"/>
              <w:right w:val="single" w:color="C0BCBA" w:sz="2"/>
            </w:tcBorders>
            <w:shd w:fill="404080"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POST-LAUNCH</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Socelle Academy (standalone learning product)</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Education is inside the IH first. Academy is a future spin-out if warranted.</w:t>
            </w:r>
          </w:p>
        </w:tc>
      </w:tr>
      <w:tr>
        <w:trPr>
          <w:tblHeader w:val="false"/>
        </w:trPr>
        <w:tc>
          <w:tcPr>
            <w:tcW w:type="dxa" w:w="1400"/>
            <w:tcBorders>
              <w:top w:val="single" w:color="C0BCBA" w:sz="2"/>
              <w:left w:val="single" w:color="C0BCBA" w:sz="2"/>
              <w:bottom w:val="single" w:color="C0BCBA" w:sz="2"/>
              <w:right w:val="single" w:color="C0BCBA" w:sz="2"/>
            </w:tcBorders>
            <w:shd w:fill="404080"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POST-LAUNCH</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Middle-of-funnel brand guide capture</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Builds brand acquisition. Deprioritize until operator base grows — operator data makes the brand pitch stronger.</w:t>
            </w:r>
          </w:p>
        </w:tc>
      </w:tr>
      <w:tr>
        <w:trPr>
          <w:tblHeader w:val="false"/>
        </w:trPr>
        <w:tc>
          <w:tcPr>
            <w:tcW w:type="dxa" w:w="1400"/>
            <w:tcBorders>
              <w:top w:val="single" w:color="C0BCBA" w:sz="2"/>
              <w:left w:val="single" w:color="C0BCBA" w:sz="2"/>
              <w:bottom w:val="single" w:color="C0BCBA" w:sz="2"/>
              <w:right w:val="single" w:color="C0BCBA" w:sz="2"/>
            </w:tcBorders>
            <w:shd w:fill="404080"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POST-LAUNCH</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Per-page SEO (react-helmet-async on all public pages)</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Phase 1 global meta is sufficient for now. Full SEO deployment in Agent 10.</w:t>
            </w:r>
          </w:p>
        </w:tc>
      </w:tr>
      <w:tr>
        <w:trPr>
          <w:tblHeader w:val="false"/>
        </w:trPr>
        <w:tc>
          <w:tcPr>
            <w:tcW w:type="dxa" w:w="1400"/>
            <w:tcBorders>
              <w:top w:val="single" w:color="C0BCBA" w:sz="2"/>
              <w:left w:val="single" w:color="C0BCBA" w:sz="2"/>
              <w:bottom w:val="single" w:color="C0BCBA" w:sz="2"/>
              <w:right w:val="single" w:color="C0BCBA" w:sz="2"/>
            </w:tcBorders>
            <w:shd w:fill="404080"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POST-LAUNCH</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Reseller verification explainer (standalone page)</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Fold into For Buyers page FAQ section for now. Full page post-launch.</w:t>
            </w:r>
          </w:p>
        </w:tc>
      </w:tr>
      <w:tr>
        <w:trPr>
          <w:tblHeader w:val="false"/>
        </w:trPr>
        <w:tc>
          <w:tcPr>
            <w:tcW w:type="dxa" w:w="1400"/>
            <w:tcBorders>
              <w:top w:val="single" w:color="C0BCBA" w:sz="2"/>
              <w:left w:val="single" w:color="C0BCBA" w:sz="2"/>
              <w:bottom w:val="single" w:color="C0BCBA" w:sz="2"/>
              <w:right w:val="single" w:color="C0BCBA" w:sz="2"/>
            </w:tcBorders>
            <w:shd w:fill="404080"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POST-LAUNCH</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Loyalty and net-30 terms</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Platform Phase 2 feature. Not needed for marketing site launch.</w:t>
            </w:r>
          </w:p>
        </w:tc>
      </w:tr>
      <w:tr>
        <w:trPr>
          <w:tblHeader w:val="false"/>
        </w:trPr>
        <w:tc>
          <w:tcPr>
            <w:tcW w:type="dxa" w:w="1400"/>
            <w:tcBorders>
              <w:top w:val="single" w:color="C0BCBA" w:sz="2"/>
              <w:left w:val="single" w:color="C0BCBA" w:sz="2"/>
              <w:bottom w:val="single" w:color="C0BCBA" w:sz="2"/>
              <w:right w:val="single" w:color="C0BCBA" w:sz="2"/>
            </w:tcBorders>
            <w:shd w:fill="806020"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DEFER</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DEBVAI / SOCELLE relationship definition (public-facing)</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Resolve privately first. Do not surface in public copy until the story is decided.</w:t>
            </w:r>
          </w:p>
        </w:tc>
      </w:tr>
      <w:tr>
        <w:trPr>
          <w:tblHeader w:val="false"/>
        </w:trPr>
        <w:tc>
          <w:tcPr>
            <w:tcW w:type="dxa" w:w="1400"/>
            <w:tcBorders>
              <w:top w:val="single" w:color="C0BCBA" w:sz="2"/>
              <w:left w:val="single" w:color="C0BCBA" w:sz="2"/>
              <w:bottom w:val="single" w:color="C0BCBA" w:sz="2"/>
              <w:right w:val="single" w:color="C0BCBA" w:sz="2"/>
            </w:tcBorders>
            <w:shd w:fill="806020"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DEFER</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Real logomark and brand icon</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High value but blocks nothing. Current text treatment is clean under the new visual system.</w:t>
            </w:r>
          </w:p>
        </w:tc>
      </w:tr>
      <w:tr>
        <w:trPr>
          <w:tblHeader w:val="false"/>
        </w:trPr>
        <w:tc>
          <w:tcPr>
            <w:tcW w:type="dxa" w:w="1400"/>
            <w:tcBorders>
              <w:top w:val="single" w:color="C0BCBA" w:sz="2"/>
              <w:left w:val="single" w:color="C0BCBA" w:sz="2"/>
              <w:bottom w:val="single" w:color="C0BCBA" w:sz="2"/>
              <w:right w:val="single" w:color="C0BCBA" w:sz="2"/>
            </w:tcBorders>
            <w:shd w:fill="806020" w:val="clear"/>
            <w:tcMar>
              <w:top w:type="dxa" w:w="60"/>
              <w:left w:type="dxa" w:w="120"/>
              <w:bottom w:type="dxa" w:w="60"/>
              <w:right w:type="dxa" w:w="120"/>
            </w:tcMar>
          </w:tcPr>
          <w:p>
            <w:pPr>
              <w:spacing w:after="0" w:before="0"/>
              <w:jc w:val="center"/>
            </w:pPr>
            <w:r>
              <w:rPr>
                <w:rFonts w:ascii="Arial" w:cs="Arial" w:eastAsia="Arial" w:hAnsi="Arial"/>
                <w:b/>
                <w:bCs/>
                <w:color w:val="F5F4F2"/>
                <w:sz w:val="17"/>
                <w:szCs w:val="17"/>
              </w:rPr>
              <w:t xml:space="preserve">DEFER</w:t>
            </w:r>
          </w:p>
        </w:tc>
        <w:tc>
          <w:tcPr>
            <w:tcW w:type="dxa" w:w="2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OG image designed asset</w:t>
            </w:r>
          </w:p>
        </w:tc>
        <w:tc>
          <w:tcPr>
            <w:tcW w:type="dxa" w:w="53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Interim placeholder is fine for early access. Revisit at soft launch.</w:t>
            </w:r>
          </w:p>
        </w:tc>
      </w:tr>
    </w:tbl>
    <w:p>
      <w:r>
        <w:br w:type="page"/>
      </w:r>
    </w:p>
    <w:p>
      <w:pPr>
        <w:pStyle w:val="Heading1"/>
        <w:spacing w:after="200" w:before="480"/>
      </w:pPr>
      <w:r>
        <w:rPr>
          <w:rFonts w:ascii="Arial" w:cs="Arial" w:eastAsia="Arial" w:hAnsi="Arial"/>
          <w:b/>
          <w:bCs/>
          <w:color w:val="181614"/>
          <w:sz w:val="44"/>
          <w:szCs w:val="44"/>
        </w:rPr>
        <w:t xml:space="preserve">D. Priority Public Pages for Immediate Refinement</w:t>
      </w:r>
    </w:p>
    <w:p>
      <w:pPr>
        <w:spacing w:after="160" w:before="80"/>
      </w:pPr>
      <w:r>
        <w:rPr>
          <w:rFonts w:ascii="Arial" w:cs="Arial" w:eastAsia="Arial" w:hAnsi="Arial"/>
          <w:b w:val="false"/>
          <w:bCs w:val="false"/>
          <w:color w:val="181614"/>
          <w:sz w:val="20"/>
          <w:szCs w:val="20"/>
        </w:rPr>
        <w:t xml:space="preserve">These six pages constitute the complete initial public surface. They are sequenced by strategic priority — not alphabetically, not by complexity. Ship them in this order. Do not wait for all six to be "done" before launching the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900"/>
        <w:gridCol w:w="3760"/>
      </w:tblGrid>
      <w:tr>
        <w:trPr>
          <w:tblHeader/>
        </w:trPr>
        <w:tc>
          <w:tcPr>
            <w:tcW w:type="dxa" w:w="7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P</w:t>
            </w:r>
          </w:p>
        </w:tc>
        <w:tc>
          <w:tcPr>
            <w:tcW w:type="dxa" w:w="19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PAGE</w:t>
            </w:r>
          </w:p>
        </w:tc>
        <w:tc>
          <w:tcPr>
            <w:tcW w:type="dxa" w:w="29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STRATEGIC ROLE</w:t>
            </w:r>
          </w:p>
        </w:tc>
        <w:tc>
          <w:tcPr>
            <w:tcW w:type="dxa" w:w="37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KEY CHANGES VS PLAYBOOK</w:t>
            </w:r>
          </w:p>
        </w:tc>
      </w:tr>
      <w:tr>
        <w:trPr>
          <w:tblHeader w:val="false"/>
        </w:trPr>
        <w:tc>
          <w:tcPr>
            <w:tcW w:type="dxa" w:w="700"/>
            <w:tcBorders>
              <w:top w:val="single" w:color="C0BCBA" w:sz="2"/>
              <w:left w:val="single" w:color="C0BCBA" w:sz="2"/>
              <w:bottom w:val="single" w:color="C0BCBA" w:sz="2"/>
              <w:right w:val="single" w:color="C0BCBA" w:sz="2"/>
            </w:tcBorders>
            <w:shd w:fill="2A3040" w:val="clear"/>
            <w:tcMar>
              <w:top w:type="dxa" w:w="80"/>
              <w:left w:type="dxa" w:w="160"/>
              <w:bottom w:type="dxa" w:w="80"/>
              <w:right w:type="dxa" w:w="160"/>
            </w:tcMar>
          </w:tcPr>
          <w:p>
            <w:pPr>
              <w:spacing w:after="0" w:before="0"/>
            </w:pPr>
            <w:r>
              <w:rPr>
                <w:rFonts w:ascii="Arial" w:cs="Arial" w:eastAsia="Arial" w:hAnsi="Arial"/>
                <w:b/>
                <w:bCs/>
                <w:color w:val="F5F4F2"/>
                <w:sz w:val="18"/>
                <w:szCs w:val="18"/>
              </w:rPr>
              <w:t xml:space="preserve">P1</w:t>
            </w:r>
          </w:p>
        </w:tc>
        <w:tc>
          <w:tcPr>
            <w:tcW w:type="dxa" w:w="19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Homepage</w:t>
            </w:r>
          </w:p>
        </w:tc>
        <w:tc>
          <w:tcPr>
            <w:tcW w:type="dxa" w:w="29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Authority + trust for cold traffic from both sides. Sets the visual standard for everything that follows.</w:t>
            </w:r>
          </w:p>
        </w:tc>
        <w:tc>
          <w:tcPr>
            <w:tcW w:type="dxa" w:w="3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Apply new visual tokens. Preserve all copy. Upgrade hero to DM Serif Display italic headline. Remove gradient mesh. Static neutral background.</w:t>
            </w:r>
          </w:p>
        </w:tc>
      </w:tr>
      <w:tr>
        <w:trPr>
          <w:tblHeader w:val="false"/>
        </w:trPr>
        <w:tc>
          <w:tcPr>
            <w:tcW w:type="dxa" w:w="700"/>
            <w:tcBorders>
              <w:top w:val="single" w:color="C0BCBA" w:sz="2"/>
              <w:left w:val="single" w:color="C0BCBA" w:sz="2"/>
              <w:bottom w:val="single" w:color="C0BCBA" w:sz="2"/>
              <w:right w:val="single" w:color="C0BCBA" w:sz="2"/>
            </w:tcBorders>
            <w:shd w:fill="2A3040" w:val="clear"/>
            <w:tcMar>
              <w:top w:type="dxa" w:w="80"/>
              <w:left w:type="dxa" w:w="160"/>
              <w:bottom w:type="dxa" w:w="80"/>
              <w:right w:type="dxa" w:w="160"/>
            </w:tcMar>
          </w:tcPr>
          <w:p>
            <w:pPr>
              <w:spacing w:after="0" w:before="0"/>
            </w:pPr>
            <w:r>
              <w:rPr>
                <w:rFonts w:ascii="Arial" w:cs="Arial" w:eastAsia="Arial" w:hAnsi="Arial"/>
                <w:b/>
                <w:bCs/>
                <w:color w:val="F5F4F2"/>
                <w:sz w:val="18"/>
                <w:szCs w:val="18"/>
              </w:rPr>
              <w:t xml:space="preserve">P2</w:t>
            </w:r>
          </w:p>
        </w:tc>
        <w:tc>
          <w:tcPr>
            <w:tcW w:type="dxa" w:w="19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For Buyers / Operators</w:t>
            </w:r>
          </w:p>
        </w:tc>
        <w:tc>
          <w:tcPr>
            <w:tcW w:type="dxa" w:w="29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Operator acquisition wedge. Spa directors, medspa owners, salon operators are the first cohort to recruit — before aggressive brand pursuit. Intelligence Hub teaser belongs here.</w:t>
            </w:r>
          </w:p>
        </w:tc>
        <w:tc>
          <w:tcPr>
            <w:tcW w:type="dxa" w:w="3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Expand from current Playbook draft. Add Intelligence Hub preview section. Lead with operator persona (Jennifer/David) language. Revise CTA to "Get early access" with an operator-specific promise.</w:t>
            </w:r>
          </w:p>
        </w:tc>
      </w:tr>
      <w:tr>
        <w:trPr>
          <w:tblHeader w:val="false"/>
        </w:trPr>
        <w:tc>
          <w:tcPr>
            <w:tcW w:type="dxa" w:w="700"/>
            <w:tcBorders>
              <w:top w:val="single" w:color="C0BCBA" w:sz="2"/>
              <w:left w:val="single" w:color="C0BCBA" w:sz="2"/>
              <w:bottom w:val="single" w:color="C0BCBA" w:sz="2"/>
              <w:right w:val="single" w:color="C0BCBA" w:sz="2"/>
            </w:tcBorders>
            <w:shd w:fill="2A3040" w:val="clear"/>
            <w:tcMar>
              <w:top w:type="dxa" w:w="80"/>
              <w:left w:type="dxa" w:w="160"/>
              <w:bottom w:type="dxa" w:w="80"/>
              <w:right w:type="dxa" w:w="160"/>
            </w:tcMar>
          </w:tcPr>
          <w:p>
            <w:pPr>
              <w:spacing w:after="0" w:before="0"/>
            </w:pPr>
            <w:r>
              <w:rPr>
                <w:rFonts w:ascii="Arial" w:cs="Arial" w:eastAsia="Arial" w:hAnsi="Arial"/>
                <w:b/>
                <w:bCs/>
                <w:color w:val="F5F4F2"/>
                <w:sz w:val="18"/>
                <w:szCs w:val="18"/>
              </w:rPr>
              <w:t xml:space="preserve">P3</w:t>
            </w:r>
          </w:p>
        </w:tc>
        <w:tc>
          <w:tcPr>
            <w:tcW w:type="dxa" w:w="19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Request Access / Demo</w:t>
            </w:r>
          </w:p>
        </w:tc>
        <w:tc>
          <w:tcPr>
            <w:tcW w:type="dxa" w:w="29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Conversion page. The single most important page for early-stage acquisition. Captures both sides with intent.</w:t>
            </w:r>
          </w:p>
        </w:tc>
        <w:tc>
          <w:tcPr>
            <w:tcW w:type="dxa" w:w="3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New page — not in current Playbook or Work Order. Build simple: dual CTA (brand or buyer), single form, platform-appropriate language. No "book a demo" SaaS language.</w:t>
            </w:r>
          </w:p>
        </w:tc>
      </w:tr>
      <w:tr>
        <w:trPr>
          <w:tblHeader w:val="false"/>
        </w:trPr>
        <w:tc>
          <w:tcPr>
            <w:tcW w:type="dxa" w:w="700"/>
            <w:tcBorders>
              <w:top w:val="single" w:color="C0BCBA" w:sz="2"/>
              <w:left w:val="single" w:color="C0BCBA" w:sz="2"/>
              <w:bottom w:val="single" w:color="C0BCBA" w:sz="2"/>
              <w:right w:val="single" w:color="C0BCBA" w:sz="2"/>
            </w:tcBorders>
            <w:shd w:fill="2A3040" w:val="clear"/>
            <w:tcMar>
              <w:top w:type="dxa" w:w="80"/>
              <w:left w:type="dxa" w:w="160"/>
              <w:bottom w:type="dxa" w:w="80"/>
              <w:right w:type="dxa" w:w="160"/>
            </w:tcMar>
          </w:tcPr>
          <w:p>
            <w:pPr>
              <w:spacing w:after="0" w:before="0"/>
            </w:pPr>
            <w:r>
              <w:rPr>
                <w:rFonts w:ascii="Arial" w:cs="Arial" w:eastAsia="Arial" w:hAnsi="Arial"/>
                <w:b/>
                <w:bCs/>
                <w:color w:val="F5F4F2"/>
                <w:sz w:val="18"/>
                <w:szCs w:val="18"/>
              </w:rPr>
              <w:t xml:space="preserve">P4</w:t>
            </w:r>
          </w:p>
        </w:tc>
        <w:tc>
          <w:tcPr>
            <w:tcW w:type="dxa" w:w="19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How It Works</w:t>
            </w:r>
          </w:p>
        </w:tc>
        <w:tc>
          <w:tcPr>
            <w:tcW w:type="dxa" w:w="29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Friction reduction for warm traffic that returns from operator outreach. Explains the platform in three moves.</w:t>
            </w:r>
          </w:p>
        </w:tc>
        <w:tc>
          <w:tcPr>
            <w:tcW w:type="dxa" w:w="3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Exists in Playbook Section H as a section on Homepage. Expand to a standalone page with more operator-specific depth. Add Intelligence Hub as the fourth value layer.</w:t>
            </w:r>
          </w:p>
        </w:tc>
      </w:tr>
      <w:tr>
        <w:trPr>
          <w:tblHeader w:val="false"/>
        </w:trPr>
        <w:tc>
          <w:tcPr>
            <w:tcW w:type="dxa" w:w="700"/>
            <w:tcBorders>
              <w:top w:val="single" w:color="C0BCBA" w:sz="2"/>
              <w:left w:val="single" w:color="C0BCBA" w:sz="2"/>
              <w:bottom w:val="single" w:color="C0BCBA" w:sz="2"/>
              <w:right w:val="single" w:color="C0BCBA" w:sz="2"/>
            </w:tcBorders>
            <w:shd w:fill="2A3040" w:val="clear"/>
            <w:tcMar>
              <w:top w:type="dxa" w:w="80"/>
              <w:left w:type="dxa" w:w="160"/>
              <w:bottom w:type="dxa" w:w="80"/>
              <w:right w:type="dxa" w:w="160"/>
            </w:tcMar>
          </w:tcPr>
          <w:p>
            <w:pPr>
              <w:spacing w:after="0" w:before="0"/>
            </w:pPr>
            <w:r>
              <w:rPr>
                <w:rFonts w:ascii="Arial" w:cs="Arial" w:eastAsia="Arial" w:hAnsi="Arial"/>
                <w:b/>
                <w:bCs/>
                <w:color w:val="F5F4F2"/>
                <w:sz w:val="18"/>
                <w:szCs w:val="18"/>
              </w:rPr>
              <w:t xml:space="preserve">P5</w:t>
            </w:r>
          </w:p>
        </w:tc>
        <w:tc>
          <w:tcPr>
            <w:tcW w:type="dxa" w:w="19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Intelligence Hub landing</w:t>
            </w:r>
          </w:p>
        </w:tc>
        <w:tc>
          <w:tcPr>
            <w:tcW w:type="dxa" w:w="29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Strategic wedge landing page. Recruits spa directors by positioning SOCELLE as intelligence partner first, marketplace second. Gated — account required.</w:t>
            </w:r>
          </w:p>
        </w:tc>
        <w:tc>
          <w:tcPr>
            <w:tcW w:type="dxa" w:w="3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New page. Teaser version ships with public site. Full IH behind account wall. See Section E for strategic role and Section F for education layer specification.</w:t>
            </w:r>
          </w:p>
        </w:tc>
      </w:tr>
      <w:tr>
        <w:trPr>
          <w:tblHeader w:val="false"/>
        </w:trPr>
        <w:tc>
          <w:tcPr>
            <w:tcW w:type="dxa" w:w="700"/>
            <w:tcBorders>
              <w:top w:val="single" w:color="C0BCBA" w:sz="2"/>
              <w:left w:val="single" w:color="C0BCBA" w:sz="2"/>
              <w:bottom w:val="single" w:color="C0BCBA" w:sz="2"/>
              <w:right w:val="single" w:color="C0BCBA" w:sz="2"/>
            </w:tcBorders>
            <w:shd w:fill="2A3040" w:val="clear"/>
            <w:tcMar>
              <w:top w:type="dxa" w:w="80"/>
              <w:left w:type="dxa" w:w="160"/>
              <w:bottom w:type="dxa" w:w="80"/>
              <w:right w:type="dxa" w:w="160"/>
            </w:tcMar>
          </w:tcPr>
          <w:p>
            <w:pPr>
              <w:spacing w:after="0" w:before="0"/>
            </w:pPr>
            <w:r>
              <w:rPr>
                <w:rFonts w:ascii="Arial" w:cs="Arial" w:eastAsia="Arial" w:hAnsi="Arial"/>
                <w:b/>
                <w:bCs/>
                <w:color w:val="F5F4F2"/>
                <w:sz w:val="18"/>
                <w:szCs w:val="18"/>
              </w:rPr>
              <w:t xml:space="preserve">P6</w:t>
            </w:r>
          </w:p>
        </w:tc>
        <w:tc>
          <w:tcPr>
            <w:tcW w:type="dxa" w:w="19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For Brands page</w:t>
            </w:r>
          </w:p>
        </w:tc>
        <w:tc>
          <w:tcPr>
            <w:tcW w:type="dxa" w:w="29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Brand acquisition. Lower priority than operators in the first cohort, but needed for supply-side trust.</w:t>
            </w:r>
          </w:p>
        </w:tc>
        <w:tc>
          <w:tcPr>
            <w:tcW w:type="dxa" w:w="3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Exists fully in Playbook Section H. Apply new visual tokens. Add a single Intelligence Hub proof-point (brands get reseller performance data). No structural changes.</w:t>
            </w:r>
          </w:p>
        </w:tc>
      </w:tr>
    </w:tbl>
    <w:p>
      <w:pPr>
        <w:spacing w:after="80" w:before="160"/>
      </w:pPr>
      <w:r>
        <w:t xml:space="preserve"/>
      </w:r>
    </w:p>
    <w:p>
      <w:pPr>
        <w:spacing w:after="120" w:before="60"/>
      </w:pPr>
      <w:r>
        <w:rPr>
          <w:rFonts w:ascii="Arial" w:cs="Arial" w:eastAsia="Arial" w:hAnsi="Arial"/>
          <w:b w:val="false"/>
          <w:bCs w:val="false"/>
          <w:color w:val="6E6A65"/>
          <w:sz w:val="19"/>
          <w:szCs w:val="19"/>
        </w:rPr>
        <w:t xml:space="preserve">The following pages are secondary and should not delay P1–P5 deployment:</w:t>
      </w:r>
    </w:p>
    <w:p>
      <w:pPr>
        <w:pStyle w:val="ListParagraph"/>
        <w:numPr>
          <w:ilvl w:val="0"/>
          <w:numId w:val="2"/>
        </w:numPr>
        <w:spacing w:after="60" w:before="60" w:line="264"/>
      </w:pPr>
      <w:r>
        <w:rPr>
          <w:rFonts w:ascii="Arial" w:cs="Arial" w:eastAsia="Arial" w:hAnsi="Arial"/>
          <w:color w:val="6E6A65"/>
          <w:sz w:val="20"/>
          <w:szCs w:val="20"/>
        </w:rPr>
        <w:t xml:space="preserve">About page — copy is locked and excellent. Apply new visual tokens. No copy changes needed.</w:t>
      </w:r>
    </w:p>
    <w:p>
      <w:pPr>
        <w:pStyle w:val="ListParagraph"/>
        <w:numPr>
          <w:ilvl w:val="0"/>
          <w:numId w:val="2"/>
        </w:numPr>
        <w:spacing w:after="60" w:before="60" w:line="264"/>
      </w:pPr>
      <w:r>
        <w:rPr>
          <w:rFonts w:ascii="Arial" w:cs="Arial" w:eastAsia="Arial" w:hAnsi="Arial"/>
          <w:color w:val="6E6A65"/>
          <w:sz w:val="20"/>
          <w:szCs w:val="20"/>
        </w:rPr>
        <w:t xml:space="preserve">Pricing page — honest and trust-building. Apply new visual tokens. No copy changes needed.</w:t>
      </w:r>
    </w:p>
    <w:p>
      <w:pPr>
        <w:pStyle w:val="ListParagraph"/>
        <w:numPr>
          <w:ilvl w:val="0"/>
          <w:numId w:val="2"/>
        </w:numPr>
        <w:spacing w:after="60" w:before="60" w:line="264"/>
      </w:pPr>
      <w:r>
        <w:rPr>
          <w:rFonts w:ascii="Arial" w:cs="Arial" w:eastAsia="Arial" w:hAnsi="Arial"/>
          <w:color w:val="6E6A65"/>
          <w:sz w:val="20"/>
          <w:szCs w:val="20"/>
        </w:rPr>
        <w:t xml:space="preserve">/spa and /medspa vertical pages — post-launch, per Section C.</w:t>
      </w:r>
    </w:p>
    <w:p>
      <w:r>
        <w:br w:type="page"/>
      </w:r>
    </w:p>
    <w:p>
      <w:pPr>
        <w:pStyle w:val="Heading1"/>
        <w:spacing w:after="200" w:before="480"/>
      </w:pPr>
      <w:r>
        <w:rPr>
          <w:rFonts w:ascii="Arial" w:cs="Arial" w:eastAsia="Arial" w:hAnsi="Arial"/>
          <w:b/>
          <w:bCs/>
          <w:color w:val="181614"/>
          <w:sz w:val="44"/>
          <w:szCs w:val="44"/>
        </w:rPr>
        <w:t xml:space="preserve">E. Intelligence Hub — Strategic Role</w:t>
      </w:r>
    </w:p>
    <w:p>
      <w:pPr>
        <w:pStyle w:val="Heading2"/>
        <w:pBdr>
          <w:bottom w:val="single" w:color="C0BCBA" w:sz="3" w:space="4"/>
        </w:pBdr>
        <w:spacing w:after="160" w:before="360"/>
      </w:pPr>
      <w:r>
        <w:rPr>
          <w:rFonts w:ascii="Arial" w:cs="Arial" w:eastAsia="Arial" w:hAnsi="Arial"/>
          <w:b/>
          <w:bCs/>
          <w:color w:val="3E4C5E"/>
          <w:sz w:val="32"/>
          <w:szCs w:val="32"/>
        </w:rPr>
        <w:t xml:space="preserve">E1 — The Strategic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3E4C5E" w:sz="2"/>
              <w:left w:val="single" w:color="3E4C5E" w:sz="12"/>
              <w:bottom w:val="single" w:color="C0BCBA" w:sz="2"/>
              <w:right w:val="single" w:color="C0BCBA" w:sz="2"/>
            </w:tcBorders>
            <w:shd w:fill="ECEAE7" w:val="clear"/>
            <w:tcMar>
              <w:top w:type="dxa" w:w="160"/>
              <w:left w:type="dxa" w:w="280"/>
              <w:bottom w:type="dxa" w:w="160"/>
              <w:right w:type="dxa" w:w="280"/>
            </w:tcMar>
          </w:tcPr>
          <w:p>
            <w:pPr>
              <w:spacing w:after="120" w:before="0"/>
            </w:pPr>
            <w:r>
              <w:rPr>
                <w:rFonts w:ascii="Arial" w:cs="Arial" w:eastAsia="Arial" w:hAnsi="Arial"/>
                <w:b/>
                <w:bCs/>
                <w:color w:val="181614"/>
                <w:sz w:val="24"/>
                <w:szCs w:val="24"/>
              </w:rPr>
              <w:t xml:space="preserve">The Intelligence Hub is not a feature. It is the reason an operator would choose SOCELLE before the brands are there.</w:t>
            </w:r>
          </w:p>
          <w:p>
            <w:pPr>
              <w:spacing w:after="80" w:before="0"/>
            </w:pPr>
            <w:r>
              <w:rPr>
                <w:rFonts w:ascii="Arial" w:cs="Arial" w:eastAsia="Arial" w:hAnsi="Arial"/>
                <w:color w:val="181614"/>
                <w:sz w:val="20"/>
                <w:szCs w:val="20"/>
              </w:rPr>
              <w:t xml:space="preserve">The hardest problem for an early-stage marketplace is the cold-start: operators do not join because brands are not there; brands do not join because operators are not there. The Intelligence Hub breaks the cold-start by giving operators a reason to join, engage, and return — independent of brand count.</w:t>
            </w:r>
          </w:p>
        </w:tc>
      </w:tr>
    </w:tbl>
    <w:p>
      <w:pPr>
        <w:spacing w:after="40" w:before="80"/>
      </w:pPr>
      <w:r>
        <w:t xml:space="preserve"/>
      </w:r>
    </w:p>
    <w:p>
      <w:pPr>
        <w:pStyle w:val="Heading2"/>
        <w:pBdr>
          <w:bottom w:val="single" w:color="C0BCBA" w:sz="3" w:space="4"/>
        </w:pBdr>
        <w:spacing w:after="160" w:before="360"/>
      </w:pPr>
      <w:r>
        <w:rPr>
          <w:rFonts w:ascii="Arial" w:cs="Arial" w:eastAsia="Arial" w:hAnsi="Arial"/>
          <w:b/>
          <w:bCs/>
          <w:color w:val="3E4C5E"/>
          <w:sz w:val="32"/>
          <w:szCs w:val="32"/>
        </w:rPr>
        <w:t xml:space="preserve">E2 — What the Intelligence Hub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COMPONENT</w:t>
            </w:r>
          </w:p>
        </w:tc>
        <w:tc>
          <w:tcPr>
            <w:tcW w:type="dxa" w:w="65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DESCRIPTION</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Commercial benchmarking</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Operators see how their spend, brand mix, and category allocation compare to peers at their volume tier. Anonymized, aggregated, actionable.</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Market intelligence</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Category trend data, emerging brand signals, and product movement patterns that help operators stay ahead of client demand.</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Sourcing recommendations</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Personalized brand and product recommendations based on the operator's business profile, treatment menu, and existing brand relationships.</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Performance insights</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For operators already using SOCELLE: order velocity, reorder patterns, tier progression, and missed reorder alerts.</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Education layer</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Embedded, contextual, operator-specific. Not a course library — intelligence triggered by real business questions. (See Section F.)</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Decision support</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Pre-purchase research tools: ingredient comparison, protocol fit, margin calculator, and brand equivalency maps for category switching.</w:t>
            </w:r>
          </w:p>
        </w:tc>
      </w:tr>
    </w:tbl>
    <w:p>
      <w:pPr>
        <w:pStyle w:val="Heading2"/>
        <w:pBdr>
          <w:bottom w:val="single" w:color="C0BCBA" w:sz="3" w:space="4"/>
        </w:pBdr>
        <w:spacing w:after="160" w:before="360"/>
      </w:pPr>
      <w:r>
        <w:rPr>
          <w:rFonts w:ascii="Arial" w:cs="Arial" w:eastAsia="Arial" w:hAnsi="Arial"/>
          <w:b/>
          <w:bCs/>
          <w:color w:val="3E4C5E"/>
          <w:sz w:val="32"/>
          <w:szCs w:val="32"/>
        </w:rPr>
        <w:t xml:space="preserve">E3 — What the Intelligence Hub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WHAT IT AVOIDS</w:t>
            </w:r>
          </w:p>
        </w:tc>
        <w:tc>
          <w:tcPr>
            <w:tcW w:type="dxa" w:w="65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WHY THIS MATTERS</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Not a random dashboard</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Every element answers a question an operator actually has. No vanity metrics.</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Not a cluttered analytics tool</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Three primary views. One clear action per view. Navigation is restrained.</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Not a blog bolted onto a platform</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No disconnected editorial. Content is embedded in intelligence context — a trend insight leads to a sourcing recommendation leads to an order.</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Not a learning center disconnected from commerce</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Education is not a separate section. It appears at the moment of relevant operator decision-making.</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Not a Faire or Amazon widget</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No algorithmic noise. Curated, verified, high-signal. Operators see less, but trust what they see.</w:t>
            </w:r>
          </w:p>
        </w:tc>
      </w:tr>
    </w:tbl>
    <w:p>
      <w:pPr>
        <w:pStyle w:val="Heading2"/>
        <w:pBdr>
          <w:bottom w:val="single" w:color="C0BCBA" w:sz="3" w:space="4"/>
        </w:pBdr>
        <w:spacing w:after="160" w:before="360"/>
      </w:pPr>
      <w:r>
        <w:rPr>
          <w:rFonts w:ascii="Arial" w:cs="Arial" w:eastAsia="Arial" w:hAnsi="Arial"/>
          <w:b/>
          <w:bCs/>
          <w:color w:val="3E4C5E"/>
          <w:sz w:val="32"/>
          <w:szCs w:val="32"/>
        </w:rPr>
        <w:t xml:space="preserve">E4 — Why Operators Are the First Cohort</w:t>
      </w:r>
    </w:p>
    <w:p>
      <w:pPr>
        <w:spacing w:after="100" w:before="80"/>
      </w:pPr>
      <w:r>
        <w:rPr>
          <w:rFonts w:ascii="Arial" w:cs="Arial" w:eastAsia="Arial" w:hAnsi="Arial"/>
          <w:b w:val="false"/>
          <w:bCs w:val="false"/>
          <w:color w:val="181614"/>
          <w:sz w:val="20"/>
          <w:szCs w:val="20"/>
        </w:rPr>
        <w:t xml:space="preserve">The sequence matters: operators before aggressive brand pursuit. This is counterintuitive for a supply-constrained marketplace — but strategically correct.</w:t>
      </w:r>
    </w:p>
    <w:p>
      <w:pPr>
        <w:pStyle w:val="ListParagraph"/>
        <w:numPr>
          <w:ilvl w:val="0"/>
          <w:numId w:val="2"/>
        </w:numPr>
        <w:spacing w:after="60" w:before="60" w:line="264"/>
      </w:pPr>
      <w:r>
        <w:rPr>
          <w:rFonts w:ascii="Arial" w:cs="Arial" w:eastAsia="Arial" w:hAnsi="Arial"/>
          <w:color w:val="181614"/>
          <w:sz w:val="20"/>
          <w:szCs w:val="20"/>
        </w:rPr>
        <w:t xml:space="preserve">Operators have a problem today that the Intelligence Hub solves independently of brand count. Brands solve a problem they only have when operators exist.</w:t>
      </w:r>
    </w:p>
    <w:p>
      <w:pPr>
        <w:pStyle w:val="ListParagraph"/>
        <w:numPr>
          <w:ilvl w:val="0"/>
          <w:numId w:val="2"/>
        </w:numPr>
        <w:spacing w:after="60" w:before="60" w:line="264"/>
      </w:pPr>
      <w:r>
        <w:rPr>
          <w:rFonts w:ascii="Arial" w:cs="Arial" w:eastAsia="Arial" w:hAnsi="Arial"/>
          <w:color w:val="181614"/>
          <w:sz w:val="20"/>
          <w:szCs w:val="20"/>
        </w:rPr>
        <w:t xml:space="preserve">Operators recruited through the Intelligence Hub are pre-qualified as buyers. A spa director who joins for benchmarking data is one click from placing an order.</w:t>
      </w:r>
    </w:p>
    <w:p>
      <w:pPr>
        <w:pStyle w:val="ListParagraph"/>
        <w:numPr>
          <w:ilvl w:val="0"/>
          <w:numId w:val="2"/>
        </w:numPr>
        <w:spacing w:after="60" w:before="60" w:line="264"/>
      </w:pPr>
      <w:r>
        <w:rPr>
          <w:rFonts w:ascii="Arial" w:cs="Arial" w:eastAsia="Arial" w:hAnsi="Arial"/>
          <w:color w:val="181614"/>
          <w:sz w:val="20"/>
          <w:szCs w:val="20"/>
        </w:rPr>
        <w:t xml:space="preserve">An operator cohort — even small — is the most persuasive brand recruitment asset SOCELLE can have. "We have 50 verified spa directors waiting for brands like yours" outperforms any pitch deck.</w:t>
      </w:r>
    </w:p>
    <w:p>
      <w:pPr>
        <w:pStyle w:val="ListParagraph"/>
        <w:numPr>
          <w:ilvl w:val="0"/>
          <w:numId w:val="2"/>
        </w:numPr>
        <w:spacing w:after="60" w:before="60" w:line="264"/>
      </w:pPr>
      <w:r>
        <w:rPr>
          <w:rFonts w:ascii="Arial" w:cs="Arial" w:eastAsia="Arial" w:hAnsi="Arial"/>
          <w:color w:val="181614"/>
          <w:sz w:val="20"/>
          <w:szCs w:val="20"/>
        </w:rPr>
        <w:t xml:space="preserve">Intelligence Hub data compounds with operator count. The more operators engage, the more useful the benchmarks become — creating a flywheel that brand-first acquisition cannot.</w:t>
      </w:r>
    </w:p>
    <w:p>
      <w:pPr>
        <w:pStyle w:val="Heading2"/>
        <w:pBdr>
          <w:bottom w:val="single" w:color="C0BCBA" w:sz="3" w:space="4"/>
        </w:pBdr>
        <w:spacing w:after="160" w:before="360"/>
      </w:pPr>
      <w:r>
        <w:rPr>
          <w:rFonts w:ascii="Arial" w:cs="Arial" w:eastAsia="Arial" w:hAnsi="Arial"/>
          <w:b/>
          <w:bCs/>
          <w:color w:val="3E4C5E"/>
          <w:sz w:val="32"/>
          <w:szCs w:val="32"/>
        </w:rPr>
        <w:t xml:space="preserve">E5 — Public vs. Gated Intelligence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TIER</w:t>
            </w:r>
          </w:p>
        </w:tc>
        <w:tc>
          <w:tcPr>
            <w:tcW w:type="dxa" w:w="65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SPECIFICATION</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Public landing page (P5 above)</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Describes the Intelligence Hub's value. Shows what's inside — without giving it away. CTA: "Get early access" → account creation. Visual: restrained, clinical, high-signal preview. Tone: infrastructure partner, not analytics vendor.</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Gated interior (account required)</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Full benchmarking, personalized recommendations, performance data. Unlocked immediately on account creation — no additional waitlist.</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Teaser on For Buyers page (P2)</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Single section previewing 2–3 IH data points. Tangible, specific. Not vague. Not "gain insights" language. Specific enough to make an operator curious.</w:t>
            </w:r>
          </w:p>
        </w:tc>
      </w:tr>
    </w:tbl>
    <w:p>
      <w:r>
        <w:br w:type="page"/>
      </w:r>
    </w:p>
    <w:p>
      <w:pPr>
        <w:pStyle w:val="Heading1"/>
        <w:spacing w:after="200" w:before="480"/>
      </w:pPr>
      <w:r>
        <w:rPr>
          <w:rFonts w:ascii="Arial" w:cs="Arial" w:eastAsia="Arial" w:hAnsi="Arial"/>
          <w:b/>
          <w:bCs/>
          <w:color w:val="181614"/>
          <w:sz w:val="44"/>
          <w:szCs w:val="44"/>
        </w:rPr>
        <w:t xml:space="preserve">F. Education's Role Inside the Intelligence Hub</w:t>
      </w:r>
    </w:p>
    <w:p>
      <w:pPr>
        <w:pStyle w:val="Heading2"/>
        <w:pBdr>
          <w:bottom w:val="single" w:color="C0BCBA" w:sz="3" w:space="4"/>
        </w:pBdr>
        <w:spacing w:after="160" w:before="360"/>
      </w:pPr>
      <w:r>
        <w:rPr>
          <w:rFonts w:ascii="Arial" w:cs="Arial" w:eastAsia="Arial" w:hAnsi="Arial"/>
          <w:b/>
          <w:bCs/>
          <w:color w:val="3E4C5E"/>
          <w:sz w:val="32"/>
          <w:szCs w:val="32"/>
        </w:rPr>
        <w:t xml:space="preserve">F1 — The Core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3E4C5E" w:sz="2"/>
              <w:left w:val="single" w:color="3E4C5E" w:sz="12"/>
              <w:bottom w:val="single" w:color="C0BCBA" w:sz="2"/>
              <w:right w:val="single" w:color="C0BCBA" w:sz="2"/>
            </w:tcBorders>
            <w:shd w:fill="ECEAE7" w:val="clear"/>
            <w:tcMar>
              <w:top w:type="dxa" w:w="140"/>
              <w:left w:type="dxa" w:w="280"/>
              <w:bottom w:type="dxa" w:w="140"/>
              <w:right w:type="dxa" w:w="280"/>
            </w:tcMar>
          </w:tcPr>
          <w:p>
            <w:pPr>
              <w:spacing w:after="0" w:before="0"/>
            </w:pPr>
            <w:r>
              <w:rPr>
                <w:rFonts w:ascii="Arial" w:cs="Arial" w:eastAsia="Arial" w:hAnsi="Arial"/>
                <w:b/>
                <w:bCs/>
                <w:color w:val="181614"/>
                <w:sz w:val="22"/>
                <w:szCs w:val="22"/>
              </w:rPr>
              <w:t xml:space="preserve">Education in the Intelligence Hub is not instruction. It is intelligence translated into action. Operators do not log in to learn — they log in to decide. Education is the mechanism that makes decisions better.</w:t>
            </w:r>
          </w:p>
        </w:tc>
      </w:tr>
    </w:tbl>
    <w:p>
      <w:pPr>
        <w:spacing w:after="40" w:before="80"/>
      </w:pPr>
      <w:r>
        <w:t xml:space="preserve"/>
      </w:r>
    </w:p>
    <w:p>
      <w:pPr>
        <w:pStyle w:val="Heading2"/>
        <w:pBdr>
          <w:bottom w:val="single" w:color="C0BCBA" w:sz="3" w:space="4"/>
        </w:pBdr>
        <w:spacing w:after="160" w:before="360"/>
      </w:pPr>
      <w:r>
        <w:rPr>
          <w:rFonts w:ascii="Arial" w:cs="Arial" w:eastAsia="Arial" w:hAnsi="Arial"/>
          <w:b/>
          <w:bCs/>
          <w:color w:val="3E4C5E"/>
          <w:sz w:val="32"/>
          <w:szCs w:val="32"/>
        </w:rPr>
        <w:t xml:space="preserve">F2 — Education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EDUCATION CATEGORY</w:t>
            </w:r>
          </w:p>
        </w:tc>
        <w:tc>
          <w:tcPr>
            <w:tcW w:type="dxa" w:w="65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TRIGGER + CONTENT DESCRIPTION</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Sourcing intelligence</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How to evaluate a new brand before adding it to your treatment menu. Protocol fit, margin model, minimum order mechanics, brand history. Triggered when an operator views a new brand or category.</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Margin and economics education</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How the tier pricing system works in practice. How to calculate your cost-of-goods at each tier. When upgrading from Active to Elite makes mathematical sense. Triggered when an operator's spend approaches a tier threshold.</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Category trend education</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What is moving in the professional market this season. Which ingredient categories are growing in medspa vs. spa contexts. Triggered by benchmark comparisons showing a gap.</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Protocol education</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Treatment menu expansion guides. How to introduce a new category (e.g. moving from facial to body protocols). Supported by brand-specific protocol cards. Triggered by product discovery or recommendation views.</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Business operations education</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Inventory management, reorder point calculation, vendor diversification strategy. Triggered by order history patterns showing potential stockout risk.</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Platform mastery</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How to get more from SOCELLE — tier management, messaging with brands, analytics reading. Triggered in onboarding and when a feature is first accessed.</w:t>
            </w:r>
          </w:p>
        </w:tc>
      </w:tr>
    </w:tbl>
    <w:p>
      <w:pPr>
        <w:pStyle w:val="Heading2"/>
        <w:pBdr>
          <w:bottom w:val="single" w:color="C0BCBA" w:sz="3" w:space="4"/>
        </w:pBdr>
        <w:spacing w:after="160" w:before="360"/>
      </w:pPr>
      <w:r>
        <w:rPr>
          <w:rFonts w:ascii="Arial" w:cs="Arial" w:eastAsia="Arial" w:hAnsi="Arial"/>
          <w:b/>
          <w:bCs/>
          <w:color w:val="3E4C5E"/>
          <w:sz w:val="32"/>
          <w:szCs w:val="32"/>
        </w:rPr>
        <w:t xml:space="preserve">F3 — Format Principles</w:t>
      </w:r>
    </w:p>
    <w:p>
      <w:pPr>
        <w:pStyle w:val="ListParagraph"/>
        <w:numPr>
          <w:ilvl w:val="0"/>
          <w:numId w:val="2"/>
        </w:numPr>
        <w:spacing w:after="60" w:before="60" w:line="264"/>
      </w:pPr>
      <w:r>
        <w:rPr>
          <w:rFonts w:ascii="Arial" w:cs="Arial" w:eastAsia="Arial" w:hAnsi="Arial"/>
          <w:color w:val="181614"/>
          <w:sz w:val="20"/>
          <w:szCs w:val="20"/>
        </w:rPr>
        <w:t xml:space="preserve">Short. An educational unit is a paragraph and a data point — not a course or a lesson.</w:t>
      </w:r>
    </w:p>
    <w:p>
      <w:pPr>
        <w:pStyle w:val="ListParagraph"/>
        <w:numPr>
          <w:ilvl w:val="0"/>
          <w:numId w:val="2"/>
        </w:numPr>
        <w:spacing w:after="60" w:before="60" w:line="264"/>
      </w:pPr>
      <w:r>
        <w:rPr>
          <w:rFonts w:ascii="Arial" w:cs="Arial" w:eastAsia="Arial" w:hAnsi="Arial"/>
          <w:color w:val="181614"/>
          <w:sz w:val="20"/>
          <w:szCs w:val="20"/>
        </w:rPr>
        <w:t xml:space="preserve">Contextual. Education appears inside an intelligence view, not behind a separate tab or menu item.</w:t>
      </w:r>
    </w:p>
    <w:p>
      <w:pPr>
        <w:pStyle w:val="ListParagraph"/>
        <w:numPr>
          <w:ilvl w:val="0"/>
          <w:numId w:val="2"/>
        </w:numPr>
        <w:spacing w:after="60" w:before="60" w:line="264"/>
      </w:pPr>
      <w:r>
        <w:rPr>
          <w:rFonts w:ascii="Arial" w:cs="Arial" w:eastAsia="Arial" w:hAnsi="Arial"/>
          <w:color w:val="181614"/>
          <w:sz w:val="20"/>
          <w:szCs w:val="20"/>
        </w:rPr>
        <w:t xml:space="preserve">Actionable. Every educational unit ends with a decision prompt: "Compare brands in this category," "Upgrade your tier," "Message this brand."</w:t>
      </w:r>
    </w:p>
    <w:p>
      <w:pPr>
        <w:pStyle w:val="ListParagraph"/>
        <w:numPr>
          <w:ilvl w:val="0"/>
          <w:numId w:val="2"/>
        </w:numPr>
        <w:spacing w:after="60" w:before="60" w:line="264"/>
      </w:pPr>
      <w:r>
        <w:rPr>
          <w:rFonts w:ascii="Arial" w:cs="Arial" w:eastAsia="Arial" w:hAnsi="Arial"/>
          <w:color w:val="181614"/>
          <w:sz w:val="20"/>
          <w:szCs w:val="20"/>
        </w:rPr>
        <w:t xml:space="preserve">Peer-anchored. Where possible, education is grounded in what comparable operators do: "Spa directors at your revenue tier typically carry 4–6 treatment-line brands."</w:t>
      </w:r>
    </w:p>
    <w:p>
      <w:pPr>
        <w:pStyle w:val="ListParagraph"/>
        <w:numPr>
          <w:ilvl w:val="0"/>
          <w:numId w:val="2"/>
        </w:numPr>
        <w:spacing w:after="60" w:before="60" w:line="264"/>
      </w:pPr>
      <w:r>
        <w:rPr>
          <w:rFonts w:ascii="Arial" w:cs="Arial" w:eastAsia="Arial" w:hAnsi="Arial"/>
          <w:color w:val="181614"/>
          <w:sz w:val="20"/>
          <w:szCs w:val="20"/>
        </w:rPr>
        <w:t xml:space="preserve">Non-academic. No modules, no progress bars, no certificates. Operators are professionals. They do not need to be managed through a learning experience.</w:t>
      </w:r>
    </w:p>
    <w:p>
      <w:pPr>
        <w:spacing w:after="20" w:before="60"/>
      </w:pPr>
      <w:r>
        <w:t xml:space="preserve"/>
      </w:r>
    </w:p>
    <w:p>
      <w:pPr>
        <w:spacing w:after="80" w:before="40"/>
        <w:ind w:left="360"/>
      </w:pPr>
      <w:r>
        <w:rPr>
          <w:rFonts w:ascii="Arial" w:cs="Arial" w:eastAsia="Arial" w:hAnsi="Arial"/>
          <w:color w:val="6E6A65"/>
          <w:sz w:val="19"/>
          <w:szCs w:val="19"/>
        </w:rPr>
        <w:t xml:space="preserve">→ What the Education Layer is NOT: a course catalog, a Socelle Academy, a YouTube channel, a content marketing blog, or a disconnected resource library. Those can exist in Phase 2+. Day one education is embedded intelligence.</w:t>
      </w:r>
    </w:p>
    <w:p>
      <w:pPr>
        <w:pStyle w:val="Heading2"/>
        <w:pBdr>
          <w:bottom w:val="single" w:color="C0BCBA" w:sz="3" w:space="4"/>
        </w:pBdr>
        <w:spacing w:after="160" w:before="360"/>
      </w:pPr>
      <w:r>
        <w:rPr>
          <w:rFonts w:ascii="Arial" w:cs="Arial" w:eastAsia="Arial" w:hAnsi="Arial"/>
          <w:b/>
          <w:bCs/>
          <w:color w:val="3E4C5E"/>
          <w:sz w:val="32"/>
          <w:szCs w:val="32"/>
        </w:rPr>
        <w:t xml:space="preserve">F4 — Day-One Education Minimum</w:t>
      </w:r>
    </w:p>
    <w:p>
      <w:pPr>
        <w:spacing w:after="120" w:before="80"/>
      </w:pPr>
      <w:r>
        <w:rPr>
          <w:rFonts w:ascii="Arial" w:cs="Arial" w:eastAsia="Arial" w:hAnsi="Arial"/>
          <w:b w:val="false"/>
          <w:bCs w:val="false"/>
          <w:color w:val="181614"/>
          <w:sz w:val="20"/>
          <w:szCs w:val="20"/>
        </w:rPr>
        <w:t xml:space="preserve">The following four education units ship with the Intelligence Hub MVP. They are sufficient for launch. Additional units added over time based on operator engagement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EDUCATION UNIT</w:t>
            </w:r>
          </w:p>
        </w:tc>
        <w:tc>
          <w:tcPr>
            <w:tcW w:type="dxa" w:w="65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SPECIFICATION</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Unit 1: Tier Pricing Calculator</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Interactive. Operator enters their typical monthly spend → sees their tier and what Elite/Master would cost vs. save. Builds comprehension and creates upgrade intent. 2 minutes to complete.</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Unit 2: How to Evaluate a New Brand</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Five questions an operator should ask before adding a brand to their treatment menu. Concise. Supported by a downloadable one-page checklist. Triggered on first brand view.</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Unit 3: Your Benchmark Report</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What comparable operators (anonymized) spend per category, how many brands they carry, and what their reorder frequency looks like. Shown on first login after account creation.</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Unit 4: Protocol Introduction Guide</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Category-specific guide for introducing a new treatment category. One guide per major vertical (spa facial, medspa aesthetics, hair wellness). Triggered by first purchase in a new category.</w:t>
            </w:r>
          </w:p>
        </w:tc>
      </w:tr>
    </w:tbl>
    <w:p>
      <w:r>
        <w:br w:type="page"/>
      </w:r>
    </w:p>
    <w:p>
      <w:pPr>
        <w:pStyle w:val="Heading1"/>
        <w:spacing w:after="200" w:before="480"/>
      </w:pPr>
      <w:r>
        <w:rPr>
          <w:rFonts w:ascii="Arial" w:cs="Arial" w:eastAsia="Arial" w:hAnsi="Arial"/>
          <w:b/>
          <w:bCs/>
          <w:color w:val="181614"/>
          <w:sz w:val="44"/>
          <w:szCs w:val="44"/>
        </w:rPr>
        <w:t xml:space="preserve">G. Recommended Build Order</w:t>
      </w:r>
    </w:p>
    <w:p>
      <w:pPr>
        <w:spacing w:after="160" w:before="80"/>
      </w:pPr>
      <w:r>
        <w:rPr>
          <w:rFonts w:ascii="Arial" w:cs="Arial" w:eastAsia="Arial" w:hAnsi="Arial"/>
          <w:b w:val="false"/>
          <w:bCs w:val="false"/>
          <w:color w:val="181614"/>
          <w:sz w:val="20"/>
          <w:szCs w:val="20"/>
        </w:rPr>
        <w:t xml:space="preserve">This sequence reflects the new priorities while preserving the Phase 2 dependency logic. The wave structure is maintained. What changes: the Intelligence Hub is elevated into Wave 3 (parallel with homepage), and the gradient mesh technique is dropped from Agent 2's scope.</w:t>
      </w:r>
    </w:p>
    <w:p>
      <w:pPr>
        <w:pStyle w:val="Heading2"/>
        <w:pBdr>
          <w:bottom w:val="single" w:color="C0BCBA" w:sz="3" w:space="4"/>
        </w:pBdr>
        <w:spacing w:after="160" w:before="360"/>
      </w:pPr>
      <w:r>
        <w:rPr>
          <w:rFonts w:ascii="Arial" w:cs="Arial" w:eastAsia="Arial" w:hAnsi="Arial"/>
          <w:b/>
          <w:bCs/>
          <w:color w:val="3E4C5E"/>
          <w:sz w:val="32"/>
          <w:szCs w:val="32"/>
        </w:rPr>
        <w:t xml:space="preserve">G1 — Pre-Wave: Locked Phase 0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DECISION</w:t>
            </w:r>
          </w:p>
        </w:tc>
        <w:tc>
          <w:tcPr>
            <w:tcW w:type="dxa" w:w="65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STATUS</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D1 — Color (NOW RESOLVED)</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Mineral Clinical confirmed. Agents use VISUAL_RESET Part G + Part H. No decision needed from owner — locked.</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D5 — Typography (NOW RESOLVED)</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Inter + DM Serif Display confirmed. Agents use VISUAL_RESET Part D. No decision needed from owner — locked.</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D2 — Architecture</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Confirm Next.js marketing site is separate from React platform. Owner confirmation required before Wave 1.</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D3 — CTA Destination</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Confirm dual split: For brands → /brand/apply, For buyers → /portal/signup. Owner confirmation required before Wave 3.</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D4 — Professional Email</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Confirm hello@socelle.com DNS and inbox active. Required before Wave 5 (deployment).</w:t>
            </w:r>
          </w:p>
        </w:tc>
      </w:tr>
    </w:tbl>
    <w:p>
      <w:pPr>
        <w:spacing w:after="40" w:before="80"/>
      </w:pPr>
      <w:r>
        <w:t xml:space="preserve"/>
      </w:r>
    </w:p>
    <w:p>
      <w:pPr>
        <w:pStyle w:val="Heading2"/>
        <w:pBdr>
          <w:bottom w:val="single" w:color="C0BCBA" w:sz="3" w:space="4"/>
        </w:pBdr>
        <w:spacing w:after="160" w:before="360"/>
      </w:pPr>
      <w:r>
        <w:rPr>
          <w:rFonts w:ascii="Arial" w:cs="Arial" w:eastAsia="Arial" w:hAnsi="Arial"/>
          <w:b/>
          <w:bCs/>
          <w:color w:val="3E4C5E"/>
          <w:sz w:val="32"/>
          <w:szCs w:val="32"/>
        </w:rPr>
        <w:t xml:space="preserve">G2 — Wave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560"/>
        <w:gridCol w:w="3800"/>
      </w:tblGrid>
      <w:tr>
        <w:trPr>
          <w:tblHeader/>
        </w:trPr>
        <w:tc>
          <w:tcPr>
            <w:tcW w:type="dxa" w:w="8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WAVE</w:t>
            </w:r>
          </w:p>
        </w:tc>
        <w:tc>
          <w:tcPr>
            <w:tcW w:type="dxa" w:w="22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AGENTS</w:t>
            </w:r>
          </w:p>
        </w:tc>
        <w:tc>
          <w:tcPr>
            <w:tcW w:type="dxa" w:w="25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DEPENDENCIES</w:t>
            </w:r>
          </w:p>
        </w:tc>
        <w:tc>
          <w:tcPr>
            <w:tcW w:type="dxa" w:w="38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DELIVERABLES</w:t>
            </w:r>
          </w:p>
        </w:tc>
      </w:tr>
      <w:tr>
        <w:trPr>
          <w:tblHeader w:val="false"/>
        </w:trPr>
        <w:tc>
          <w:tcPr>
            <w:tcW w:type="dxa" w:w="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Wave 0</w:t>
            </w:r>
          </w:p>
        </w:tc>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Agent 0: Preservation + Audit</w:t>
            </w:r>
          </w:p>
        </w:tc>
        <w:tc>
          <w:tcPr>
            <w:tcW w:type="dxa" w:w="2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None — runs first</w:t>
            </w:r>
          </w:p>
        </w:tc>
        <w:tc>
          <w:tcPr>
            <w:tcW w:type="dxa" w:w="3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Document all files touched by conflicting color/type tokens. Output: conflict map for Agent 2.</w:t>
            </w:r>
          </w:p>
        </w:tc>
      </w:tr>
      <w:tr>
        <w:trPr>
          <w:tblHeader w:val="false"/>
        </w:trPr>
        <w:tc>
          <w:tcPr>
            <w:tcW w:type="dxa" w:w="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Wave 1</w:t>
            </w:r>
          </w:p>
        </w:tc>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Agent 1: Scaffold
Agent 2: Design System</w:t>
            </w:r>
          </w:p>
        </w:tc>
        <w:tc>
          <w:tcPr>
            <w:tcW w:type="dxa" w:w="2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Wave 0 complete</w:t>
            </w:r>
          </w:p>
        </w:tc>
        <w:tc>
          <w:tcPr>
            <w:tcW w:type="dxa" w:w="3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Agent 1: Next.js repo scaffold, env vars, routing. Agent 2: globals.css + Tailwind from VISUAL_RESET. Technique 5 REMOVED.</w:t>
            </w:r>
          </w:p>
        </w:tc>
      </w:tr>
      <w:tr>
        <w:trPr>
          <w:tblHeader w:val="false"/>
        </w:trPr>
        <w:tc>
          <w:tcPr>
            <w:tcW w:type="dxa" w:w="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Wave 2</w:t>
            </w:r>
          </w:p>
        </w:tc>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Agent 3: Nav + Layout</w:t>
            </w:r>
          </w:p>
        </w:tc>
        <w:tc>
          <w:tcPr>
            <w:tcW w:type="dxa" w:w="2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Wave 1 complete</w:t>
            </w:r>
          </w:p>
        </w:tc>
        <w:tc>
          <w:tcPr>
            <w:tcW w:type="dxa" w:w="3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Shared navigation, footer, layout.tsx. Lenis smooth scroll (Technique 1). Magnetic button (Technique 7). No gradient mesh hero.</w:t>
            </w:r>
          </w:p>
        </w:tc>
      </w:tr>
      <w:tr>
        <w:trPr>
          <w:tblHeader w:val="false"/>
        </w:trPr>
        <w:tc>
          <w:tcPr>
            <w:tcW w:type="dxa" w:w="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Wave 3A</w:t>
            </w:r>
          </w:p>
        </w:tc>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Agent 4: Homepage
Agent 5: For Buyers / Operators</w:t>
            </w:r>
          </w:p>
        </w:tc>
        <w:tc>
          <w:tcPr>
            <w:tcW w:type="dxa" w:w="2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Wave 2 complete — LAUNCH PRIORITY</w:t>
            </w:r>
          </w:p>
        </w:tc>
        <w:tc>
          <w:tcPr>
            <w:tcW w:type="dxa" w:w="3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P1 + P2. These two pages alone constitute a valid soft launch. Both use new visual tokens + preserved Playbook copy.</w:t>
            </w:r>
          </w:p>
        </w:tc>
      </w:tr>
      <w:tr>
        <w:trPr>
          <w:tblHeader w:val="false"/>
        </w:trPr>
        <w:tc>
          <w:tcPr>
            <w:tcW w:type="dxa" w:w="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Wave 3B</w:t>
            </w:r>
          </w:p>
        </w:tc>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Agent 6: Request Access
Agent 7: Intelligence Hub Teaser</w:t>
            </w:r>
          </w:p>
        </w:tc>
        <w:tc>
          <w:tcPr>
            <w:tcW w:type="dxa" w:w="2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Wave 2 complete — parallel with 3A</w:t>
            </w:r>
          </w:p>
        </w:tc>
        <w:tc>
          <w:tcPr>
            <w:tcW w:type="dxa" w:w="3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P3 + P5. Request Access is a conversion page, not a form. IH teaser is a marketing page — no backend yet.</w:t>
            </w:r>
          </w:p>
        </w:tc>
      </w:tr>
      <w:tr>
        <w:trPr>
          <w:tblHeader w:val="false"/>
        </w:trPr>
        <w:tc>
          <w:tcPr>
            <w:tcW w:type="dxa" w:w="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Wave 3C</w:t>
            </w:r>
          </w:p>
        </w:tc>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Agent 8: For Brands
Agent 9: How It Works
Agent 10: About + Pricing</w:t>
            </w:r>
          </w:p>
        </w:tc>
        <w:tc>
          <w:tcPr>
            <w:tcW w:type="dxa" w:w="2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Wave 2 complete — parallel with 3A</w:t>
            </w:r>
          </w:p>
        </w:tc>
        <w:tc>
          <w:tcPr>
            <w:tcW w:type="dxa" w:w="3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P6 + P4 + secondary pages. Apply new tokens to existing Playbook copy. No structural changes.</w:t>
            </w:r>
          </w:p>
        </w:tc>
      </w:tr>
      <w:tr>
        <w:trPr>
          <w:tblHeader w:val="false"/>
        </w:trPr>
        <w:tc>
          <w:tcPr>
            <w:tcW w:type="dxa" w:w="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Wave 4</w:t>
            </w:r>
          </w:p>
        </w:tc>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Agent 10: SEO + Metadata</w:t>
            </w:r>
          </w:p>
        </w:tc>
        <w:tc>
          <w:tcPr>
            <w:tcW w:type="dxa" w:w="2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All Wave 3 complete</w:t>
            </w:r>
          </w:p>
        </w:tc>
        <w:tc>
          <w:tcPr>
            <w:tcW w:type="dxa" w:w="3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Sitemap, per-page meta, OG tags, robots.txt. Standard Agent 10 scope from Phase 2 Work Order.</w:t>
            </w:r>
          </w:p>
        </w:tc>
      </w:tr>
      <w:tr>
        <w:trPr>
          <w:tblHeader w:val="false"/>
        </w:trPr>
        <w:tc>
          <w:tcPr>
            <w:tcW w:type="dxa" w:w="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Wave 5</w:t>
            </w:r>
          </w:p>
        </w:tc>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Agent 11: QA + Accessibility</w:t>
            </w:r>
          </w:p>
        </w:tc>
        <w:tc>
          <w:tcPr>
            <w:tcW w:type="dxa" w:w="2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Wave 4 complete</w:t>
            </w:r>
          </w:p>
        </w:tc>
        <w:tc>
          <w:tcPr>
            <w:tcW w:type="dxa" w:w="3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Full QA per Phase 2 Work Order. Color contrast (must meet WCAG AA against new slate tokens). No gradient classes remain.</w:t>
            </w:r>
          </w:p>
        </w:tc>
      </w:tr>
      <w:tr>
        <w:trPr>
          <w:tblHeader w:val="false"/>
        </w:trPr>
        <w:tc>
          <w:tcPr>
            <w:tcW w:type="dxa" w:w="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Post-Launch
Wave 6</w:t>
            </w:r>
          </w:p>
        </w:tc>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Intelligence Hub MVP
(Gated, account required)</w:t>
            </w:r>
          </w:p>
        </w:tc>
        <w:tc>
          <w:tcPr>
            <w:tcW w:type="dxa" w:w="2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Wave 5 + minimum 10 operator accounts</w:t>
            </w:r>
          </w:p>
        </w:tc>
        <w:tc>
          <w:tcPr>
            <w:tcW w:type="dxa" w:w="38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Full IH backend: benchmarking, recommendations, education units. Built after operator cohort data exists.</w:t>
            </w:r>
          </w:p>
        </w:tc>
      </w:tr>
    </w:tbl>
    <w:p>
      <w:r>
        <w:br w:type="page"/>
      </w:r>
    </w:p>
    <w:p>
      <w:pPr>
        <w:pStyle w:val="Heading1"/>
        <w:spacing w:after="200" w:before="480"/>
      </w:pPr>
      <w:r>
        <w:rPr>
          <w:rFonts w:ascii="Arial" w:cs="Arial" w:eastAsia="Arial" w:hAnsi="Arial"/>
          <w:b/>
          <w:bCs/>
          <w:color w:val="181614"/>
          <w:sz w:val="44"/>
          <w:szCs w:val="44"/>
        </w:rPr>
        <w:t xml:space="preserve">H. Agent Deployment Sequence</w:t>
      </w:r>
    </w:p>
    <w:p>
      <w:pPr>
        <w:spacing w:after="160" w:before="80"/>
      </w:pPr>
      <w:r>
        <w:rPr>
          <w:rFonts w:ascii="Arial" w:cs="Arial" w:eastAsia="Arial" w:hAnsi="Arial"/>
          <w:b w:val="false"/>
          <w:bCs w:val="false"/>
          <w:color w:val="181614"/>
          <w:sz w:val="20"/>
          <w:szCs w:val="20"/>
        </w:rPr>
        <w:t xml:space="preserve">Eight specialist agents deploy in the order below. The first two agents run sequentially. All subsequent waves run in parallel where the dependency map allows.</w:t>
      </w:r>
    </w:p>
    <w:p>
      <w:pPr>
        <w:pStyle w:val="Heading2"/>
        <w:pBdr>
          <w:bottom w:val="single" w:color="C0BCBA" w:sz="3" w:space="4"/>
        </w:pBdr>
        <w:spacing w:after="160" w:before="360"/>
      </w:pPr>
      <w:r>
        <w:rPr>
          <w:rFonts w:ascii="Arial" w:cs="Arial" w:eastAsia="Arial" w:hAnsi="Arial"/>
          <w:b/>
          <w:bCs/>
          <w:color w:val="3E4C5E"/>
          <w:sz w:val="32"/>
          <w:szCs w:val="32"/>
        </w:rPr>
        <w:t xml:space="preserve">H1 — Agent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AGENT / ROLE</w:t>
            </w:r>
          </w:p>
        </w:tc>
        <w:tc>
          <w:tcPr>
            <w:tcW w:type="dxa" w:w="65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MANDATE &amp; SCOPE</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Agent 0
Preservation + Audit</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Runs first. Read-only. Outputs a conflict map: which files contain conflicting color tokens, typography references, or gradient classes. Does not write code. Protects valuable work by making the scope of revision explicit before any agent touches a file.</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Agent 1
Work-Order Sequencing</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Updates PHASE2_WORK_ORDER.md with the revised D1, D5, and removed Technique 5. Updates agent scope descriptions for Agent 2. Ensures the Phase 2 document is the correct source of truth before downstream agents read it.</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Agent 2
Visual System Application</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Implements globals.css and tailwind.config.js from SOCELLE_VISUAL_RESET.docx Parts G and H. Removes all warm palette tokens. Removes gradient mesh classes. Verifies WCAG AA contrast on all semantic token pairs. Outputs a verified token map for all downstream agents.</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Agent 3
Public Pages Priority</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Builds P1 (Homepage) and P2 (For Buyers/Operators) as the first two production pages, using verified tokens from Agent 2 and copy locked from Playbook Section H. Owns the visual and copy standard all subsequent page agents follow.</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Agent 4
Intelligence Hub Strategy</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Designs the IH architecture: information hierarchy, component structure, data model for benchmarking, operator onboarding flow, and access gating logic. Does not build the full IH — outputs the specification that post-launch Wave 6 agents will execute against.</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Agent 5
Education Layer</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Works inside Agent 4's IH architecture specification. Defines the four day-one education units (Section F4), trigger logic, format templates, and content outline for each unit. Outputs education content briefs — not final prose.</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Agent 6
Website Copy + Messaging</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Applied agent — not a standalone build. Reviews all page copy in Waves 3A–3C against the locked Playbook copy, flags any deviations, and writes the new copy required for P2 additions (IH preview section on For Buyers), P3 (Request Access page), and P5 (IH teaser landing page). Does not rewrite existing locked copy.</w:t>
            </w:r>
          </w:p>
        </w:tc>
      </w:tr>
      <w:tr>
        <w:trPr>
          <w:tblHeader w:val="false"/>
        </w:trPr>
        <w:tc>
          <w:tcPr>
            <w:tcW w:type="dxa" w:w="2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Agent 7
QA + Alignment</w:t>
            </w:r>
          </w:p>
        </w:tc>
        <w:tc>
          <w:tcPr>
            <w:tcW w:type="dxa" w:w="6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Final agent. Validates: (1) no warm palette tokens remain in any file, (2) all page copy matches Playbook Section H where applicable, (3) all new copy (Agents 3 and 6) is consistent with brand voice and positioning, (4) all CTAs resolve to correct destinations, (5) accessibility passes WCAG AA. Outputs a sign-off checklist.</w:t>
            </w:r>
          </w:p>
        </w:tc>
      </w:tr>
    </w:tbl>
    <w:p>
      <w:pPr>
        <w:pStyle w:val="Heading2"/>
        <w:pBdr>
          <w:bottom w:val="single" w:color="C0BCBA" w:sz="3" w:space="4"/>
        </w:pBdr>
        <w:spacing w:after="160" w:before="360"/>
      </w:pPr>
      <w:r>
        <w:rPr>
          <w:rFonts w:ascii="Arial" w:cs="Arial" w:eastAsia="Arial" w:hAnsi="Arial"/>
          <w:b/>
          <w:bCs/>
          <w:color w:val="3E4C5E"/>
          <w:sz w:val="32"/>
          <w:szCs w:val="32"/>
        </w:rPr>
        <w:t xml:space="preserve">H2 — Execution Timing</w:t>
      </w:r>
    </w:p>
    <w:p>
      <w:pPr>
        <w:spacing w:after="120" w:before="80"/>
      </w:pPr>
      <w:r>
        <w:rPr>
          <w:rFonts w:ascii="Arial" w:cs="Arial" w:eastAsia="Arial" w:hAnsi="Arial"/>
          <w:b w:val="false"/>
          <w:bCs w:val="false"/>
          <w:color w:val="181614"/>
          <w:sz w:val="20"/>
          <w:szCs w:val="20"/>
        </w:rPr>
        <w:t xml:space="preserve">The following timeline assumes all Phase 0 decisions confirmed and agents deployed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TIMELINE</w:t>
            </w:r>
          </w:p>
        </w:tc>
        <w:tc>
          <w:tcPr>
            <w:tcW w:type="dxa" w:w="75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ACTIVITY</w:t>
            </w:r>
          </w:p>
        </w:tc>
      </w:tr>
      <w:tr>
        <w:trPr>
          <w:tblHeader w:val="false"/>
        </w:trPr>
        <w:tc>
          <w:tcPr>
            <w:tcW w:type="dxa" w:w="1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Day 0</w:t>
            </w:r>
          </w:p>
        </w:tc>
        <w:tc>
          <w:tcPr>
            <w:tcW w:type="dxa" w:w="7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Phase 0 decisions confirmed. Agent 0 (Audit) + Agent 1 (Work Order Update) deployed simultaneously.</w:t>
            </w:r>
          </w:p>
        </w:tc>
      </w:tr>
      <w:tr>
        <w:trPr>
          <w:tblHeader w:val="false"/>
        </w:trPr>
        <w:tc>
          <w:tcPr>
            <w:tcW w:type="dxa" w:w="1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Day 0–1</w:t>
            </w:r>
          </w:p>
        </w:tc>
        <w:tc>
          <w:tcPr>
            <w:tcW w:type="dxa" w:w="7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Agent 2 (Visual System) deploys. Outputs verified token map. All subsequent agents wait for this output.</w:t>
            </w:r>
          </w:p>
        </w:tc>
      </w:tr>
      <w:tr>
        <w:trPr>
          <w:tblHeader w:val="false"/>
        </w:trPr>
        <w:tc>
          <w:tcPr>
            <w:tcW w:type="dxa" w:w="1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Day 1–2</w:t>
            </w:r>
          </w:p>
        </w:tc>
        <w:tc>
          <w:tcPr>
            <w:tcW w:type="dxa" w:w="7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Agent 3 (Nav + Layout) deploys.</w:t>
            </w:r>
          </w:p>
        </w:tc>
      </w:tr>
      <w:tr>
        <w:trPr>
          <w:tblHeader w:val="false"/>
        </w:trPr>
        <w:tc>
          <w:tcPr>
            <w:tcW w:type="dxa" w:w="1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Day 2–5</w:t>
            </w:r>
          </w:p>
        </w:tc>
        <w:tc>
          <w:tcPr>
            <w:tcW w:type="dxa" w:w="7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Wave 3 agents (Homepage, For Buyers, Request Access, IH Teaser, For Brands, How It Works, About/Pricing) run in parallel. Agent 4 (IH Strategy) and Agent 5 (Education Layer) run concurrently — their outputs are specifications, not code.</w:t>
            </w:r>
          </w:p>
        </w:tc>
      </w:tr>
      <w:tr>
        <w:trPr>
          <w:tblHeader w:val="false"/>
        </w:trPr>
        <w:tc>
          <w:tcPr>
            <w:tcW w:type="dxa" w:w="1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Day 5</w:t>
            </w:r>
          </w:p>
        </w:tc>
        <w:tc>
          <w:tcPr>
            <w:tcW w:type="dxa" w:w="7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Agent 6 (Copy) reviews and fills gaps across all Wave 3 pages.</w:t>
            </w:r>
          </w:p>
        </w:tc>
      </w:tr>
      <w:tr>
        <w:trPr>
          <w:tblHeader w:val="false"/>
        </w:trPr>
        <w:tc>
          <w:tcPr>
            <w:tcW w:type="dxa" w:w="1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Day 5–6</w:t>
            </w:r>
          </w:p>
        </w:tc>
        <w:tc>
          <w:tcPr>
            <w:tcW w:type="dxa" w:w="7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Agent 7 (QA) runs full validation pass.</w:t>
            </w:r>
          </w:p>
        </w:tc>
      </w:tr>
      <w:tr>
        <w:trPr>
          <w:tblHeader w:val="false"/>
        </w:trPr>
        <w:tc>
          <w:tcPr>
            <w:tcW w:type="dxa" w:w="1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Day 6–7</w:t>
            </w:r>
          </w:p>
        </w:tc>
        <w:tc>
          <w:tcPr>
            <w:tcW w:type="dxa" w:w="7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Soft launch: P1 + P2 + P3 live. Secondary pages follow within days.</w:t>
            </w:r>
          </w:p>
        </w:tc>
      </w:tr>
      <w:tr>
        <w:trPr>
          <w:tblHeader w:val="false"/>
        </w:trPr>
        <w:tc>
          <w:tcPr>
            <w:tcW w:type="dxa" w:w="18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Post-launch</w:t>
            </w:r>
          </w:p>
        </w:tc>
        <w:tc>
          <w:tcPr>
            <w:tcW w:type="dxa" w:w="75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Wave 6 (Intelligence Hub MVP) builds after first operator cohort data exists.</w:t>
            </w:r>
          </w:p>
        </w:tc>
      </w:tr>
    </w:tbl>
    <w:p>
      <w:r>
        <w:br w:type="page"/>
      </w:r>
    </w:p>
    <w:p>
      <w:pPr>
        <w:pStyle w:val="Heading1"/>
        <w:spacing w:after="200" w:before="480"/>
      </w:pPr>
      <w:r>
        <w:rPr>
          <w:rFonts w:ascii="Arial" w:cs="Arial" w:eastAsia="Arial" w:hAnsi="Arial"/>
          <w:b/>
          <w:bCs/>
          <w:color w:val="181614"/>
          <w:sz w:val="44"/>
          <w:szCs w:val="44"/>
        </w:rPr>
        <w:t xml:space="preserve">I. Approval Gates</w:t>
      </w:r>
    </w:p>
    <w:p>
      <w:pPr>
        <w:spacing w:after="160" w:before="80"/>
      </w:pPr>
      <w:r>
        <w:rPr>
          <w:rFonts w:ascii="Arial" w:cs="Arial" w:eastAsia="Arial" w:hAnsi="Arial"/>
          <w:b w:val="false"/>
          <w:bCs w:val="false"/>
          <w:color w:val="181614"/>
          <w:sz w:val="20"/>
          <w:szCs w:val="20"/>
        </w:rPr>
        <w:t xml:space="preserve">No agent proceeds past a gate without owner confirmation. Gates protect the critical path and prevent rework. The list below is ordered by sequence — no gate is skippable.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4760"/>
      </w:tblGrid>
      <w:tr>
        <w:trPr>
          <w:tblHeader/>
        </w:trPr>
        <w:tc>
          <w:tcPr>
            <w:tcW w:type="dxa" w:w="8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w:t>
            </w:r>
          </w:p>
        </w:tc>
        <w:tc>
          <w:tcPr>
            <w:tcW w:type="dxa" w:w="22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APPROVAL GATE</w:t>
            </w:r>
          </w:p>
        </w:tc>
        <w:tc>
          <w:tcPr>
            <w:tcW w:type="dxa" w:w="160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OWNER</w:t>
            </w:r>
          </w:p>
        </w:tc>
        <w:tc>
          <w:tcPr>
            <w:tcW w:type="dxa" w:w="4760"/>
            <w:tcBorders>
              <w:top w:val="single" w:color="1A2030" w:sz="2"/>
              <w:left w:val="single" w:color="1A2030" w:sz="2"/>
              <w:bottom w:val="single" w:color="1A2030" w:sz="2"/>
              <w:right w:val="single" w:color="1A2030" w:sz="2"/>
            </w:tcBorders>
            <w:shd w:fill="2A3040" w:val="clear"/>
            <w:tcMar>
              <w:top w:type="dxa" w:w="80"/>
              <w:left w:type="dxa" w:w="160"/>
              <w:bottom w:type="dxa" w:w="80"/>
              <w:right w:type="dxa" w:w="160"/>
            </w:tcMar>
          </w:tcPr>
          <w:p>
            <w:pPr>
              <w:spacing w:after="0" w:before="0"/>
            </w:pPr>
            <w:r>
              <w:rPr>
                <w:rFonts w:ascii="Arial" w:cs="Arial" w:eastAsia="Arial" w:hAnsi="Arial"/>
                <w:b/>
                <w:bCs/>
                <w:color w:val="F5F4F2"/>
                <w:spacing w:val="80"/>
                <w:sz w:val="17"/>
                <w:szCs w:val="17"/>
              </w:rPr>
              <w:t xml:space="preserve">WHAT IT UNLOCKS</w:t>
            </w:r>
          </w:p>
        </w:tc>
      </w:tr>
      <w:tr>
        <w:trPr>
          <w:tblHeader w:val="false"/>
        </w:trPr>
        <w:tc>
          <w:tcPr>
            <w:tcW w:type="dxa" w:w="800"/>
            <w:tcBorders>
              <w:top w:val="single" w:color="C0BCBA" w:sz="2"/>
              <w:left w:val="single" w:color="C0BCBA" w:sz="2"/>
              <w:bottom w:val="single" w:color="C0BCBA" w:sz="2"/>
              <w:right w:val="single" w:color="C0BCBA" w:sz="2"/>
            </w:tcBorders>
            <w:shd w:fill="2A3040"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G0</w:t>
            </w:r>
          </w:p>
        </w:tc>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Phase 0 decisions confirmed (D2, D3, D4). D1 and D5 are already resolved by VISUAL_RESET.</w:t>
            </w:r>
          </w:p>
        </w:tc>
        <w:tc>
          <w:tcPr>
            <w:tcW w:type="dxa" w:w="1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Owner (Bruce)</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Wave 1 deployment. Without D2/D3/D4, agents build on undefined architecture and routing.</w:t>
            </w:r>
          </w:p>
        </w:tc>
      </w:tr>
      <w:tr>
        <w:trPr>
          <w:tblHeader w:val="false"/>
        </w:trPr>
        <w:tc>
          <w:tcPr>
            <w:tcW w:type="dxa" w:w="800"/>
            <w:tcBorders>
              <w:top w:val="single" w:color="C0BCBA" w:sz="2"/>
              <w:left w:val="single" w:color="C0BCBA" w:sz="2"/>
              <w:bottom w:val="single" w:color="C0BCBA" w:sz="2"/>
              <w:right w:val="single" w:color="C0BCBA" w:sz="2"/>
            </w:tcBorders>
            <w:shd w:fill="2A3040"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G1</w:t>
            </w:r>
          </w:p>
        </w:tc>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Visual token system verified. Agent 2 output: all WCAG AA pairs pass, no warm tokens remain, gradient classes absent from codebase.</w:t>
            </w:r>
          </w:p>
        </w:tc>
        <w:tc>
          <w:tcPr>
            <w:tcW w:type="dxa" w:w="1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Agent 2 + Agent 7 (spot check)</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Wave 3 deployment. No page agent builds on an unverified visual system.</w:t>
            </w:r>
          </w:p>
        </w:tc>
      </w:tr>
      <w:tr>
        <w:trPr>
          <w:tblHeader w:val="false"/>
        </w:trPr>
        <w:tc>
          <w:tcPr>
            <w:tcW w:type="dxa" w:w="800"/>
            <w:tcBorders>
              <w:top w:val="single" w:color="C0BCBA" w:sz="2"/>
              <w:left w:val="single" w:color="C0BCBA" w:sz="2"/>
              <w:bottom w:val="single" w:color="C0BCBA" w:sz="2"/>
              <w:right w:val="single" w:color="C0BCBA" w:sz="2"/>
            </w:tcBorders>
            <w:shd w:fill="2A3040"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G2</w:t>
            </w:r>
          </w:p>
        </w:tc>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Homepage (P1) approved by owner. Visual quality, copy accuracy, and CTA routing confirmed.</w:t>
            </w:r>
          </w:p>
        </w:tc>
        <w:tc>
          <w:tcPr>
            <w:tcW w:type="dxa" w:w="1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Owner (Bruce)</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Remainder of Wave 3 and public soft launch. Homepage sets the standard all other pages follow.</w:t>
            </w:r>
          </w:p>
        </w:tc>
      </w:tr>
      <w:tr>
        <w:trPr>
          <w:tblHeader w:val="false"/>
        </w:trPr>
        <w:tc>
          <w:tcPr>
            <w:tcW w:type="dxa" w:w="800"/>
            <w:tcBorders>
              <w:top w:val="single" w:color="C0BCBA" w:sz="2"/>
              <w:left w:val="single" w:color="C0BCBA" w:sz="2"/>
              <w:bottom w:val="single" w:color="C0BCBA" w:sz="2"/>
              <w:right w:val="single" w:color="C0BCBA" w:sz="2"/>
            </w:tcBorders>
            <w:shd w:fill="2A3040"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G3</w:t>
            </w:r>
          </w:p>
        </w:tc>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For Buyers / Operators page (P2) approved by owner. IH preview section reviewed. CTA routing confirmed.</w:t>
            </w:r>
          </w:p>
        </w:tc>
        <w:tc>
          <w:tcPr>
            <w:tcW w:type="dxa" w:w="1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Owner (Bruce)</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Intelligence Hub teaser page (P5) build. IH teaser must be consistent with P2 framing.</w:t>
            </w:r>
          </w:p>
        </w:tc>
      </w:tr>
      <w:tr>
        <w:trPr>
          <w:tblHeader w:val="false"/>
        </w:trPr>
        <w:tc>
          <w:tcPr>
            <w:tcW w:type="dxa" w:w="800"/>
            <w:tcBorders>
              <w:top w:val="single" w:color="C0BCBA" w:sz="2"/>
              <w:left w:val="single" w:color="C0BCBA" w:sz="2"/>
              <w:bottom w:val="single" w:color="C0BCBA" w:sz="2"/>
              <w:right w:val="single" w:color="C0BCBA" w:sz="2"/>
            </w:tcBorders>
            <w:shd w:fill="2A3040"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G4</w:t>
            </w:r>
          </w:p>
        </w:tc>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Intelligence Hub architecture (Agent 4 output) approved by owner. Information hierarchy, gating logic, and benchmarking model confirmed.</w:t>
            </w:r>
          </w:p>
        </w:tc>
        <w:tc>
          <w:tcPr>
            <w:tcW w:type="dxa" w:w="1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Owner (Bruce) + Agent 4</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Education Layer build (Agent 5 goes to content phase). Wave 6 scoping.</w:t>
            </w:r>
          </w:p>
        </w:tc>
      </w:tr>
      <w:tr>
        <w:trPr>
          <w:tblHeader w:val="false"/>
        </w:trPr>
        <w:tc>
          <w:tcPr>
            <w:tcW w:type="dxa" w:w="800"/>
            <w:tcBorders>
              <w:top w:val="single" w:color="C0BCBA" w:sz="2"/>
              <w:left w:val="single" w:color="C0BCBA" w:sz="2"/>
              <w:bottom w:val="single" w:color="C0BCBA" w:sz="2"/>
              <w:right w:val="single" w:color="C0BCBA" w:sz="2"/>
            </w:tcBorders>
            <w:shd w:fill="2A3040"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G5</w:t>
            </w:r>
          </w:p>
        </w:tc>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QA sign-off from Agent 7. All validation checks passed. No warm tokens. All copy locked. All CTAs resolve.</w:t>
            </w:r>
          </w:p>
        </w:tc>
        <w:tc>
          <w:tcPr>
            <w:tcW w:type="dxa" w:w="16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Agent 7</w:t>
            </w:r>
          </w:p>
        </w:tc>
        <w:tc>
          <w:tcPr>
            <w:tcW w:type="dxa" w:w="47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Full public launch. No exceptions to this gate.</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C0BCBA" w:sz="2"/>
              <w:left w:val="single" w:color="C0BCBA" w:sz="2"/>
              <w:bottom w:val="single" w:color="C0BCBA" w:sz="2"/>
              <w:right w:val="single" w:color="C0BCBA" w:sz="2"/>
            </w:tcBorders>
            <w:shd w:fill="ECEAE7" w:val="clear"/>
            <w:tcMar>
              <w:top w:type="dxa" w:w="160"/>
              <w:left w:type="dxa" w:w="280"/>
              <w:bottom w:type="dxa" w:w="160"/>
              <w:right w:type="dxa" w:w="280"/>
            </w:tcMar>
          </w:tcPr>
          <w:p>
            <w:pPr>
              <w:spacing w:after="80" w:before="0"/>
            </w:pPr>
            <w:r>
              <w:rPr>
                <w:rFonts w:ascii="Arial" w:cs="Arial" w:eastAsia="Arial" w:hAnsi="Arial"/>
                <w:b/>
                <w:bCs/>
                <w:color w:val="3E4C5E"/>
                <w:spacing w:val="120"/>
                <w:sz w:val="17"/>
                <w:szCs w:val="17"/>
              </w:rPr>
              <w:t xml:space="preserve">DOCUMENT STATUS</w:t>
            </w:r>
          </w:p>
          <w:p>
            <w:pPr>
              <w:spacing w:after="80" w:before="0"/>
            </w:pPr>
            <w:r>
              <w:rPr>
                <w:rFonts w:ascii="Arial" w:cs="Arial" w:eastAsia="Arial" w:hAnsi="Arial"/>
                <w:color w:val="181614"/>
                <w:sz w:val="19"/>
                <w:szCs w:val="19"/>
              </w:rPr>
              <w:t xml:space="preserve">This document is the coordination layer between the visual reset (SOCELLE_VISUAL_RESET.docx) and the build execution (PHASE2_WORK_ORDER.md). It does not replace either document. It tells agents what to keep, what to change, what to skip, and in what order to work.</w:t>
            </w:r>
          </w:p>
          <w:p>
            <w:pPr>
              <w:spacing w:after="0" w:before="0"/>
            </w:pPr>
            <w:r>
              <w:rPr>
                <w:rFonts w:ascii="Arial" w:cs="Arial" w:eastAsia="Arial" w:hAnsi="Arial"/>
                <w:color w:val="6E6A65"/>
                <w:sz w:val="19"/>
                <w:szCs w:val="19"/>
              </w:rPr>
              <w:t xml:space="preserve">Source hierarchy: SOCELLE_VISUAL_RESET.docx (visual system) → this document (coordination) → PHASE2_WORK_ORDER.md (execution) → SOCELLE_PLAYBOOK.md (copy + strategy).</w:t>
            </w:r>
          </w:p>
        </w:tc>
      </w:tr>
    </w:tbl>
    <w:p>
      <w:pPr>
        <w:spacing w:after="40" w:before="120"/>
      </w:pPr>
      <w:r>
        <w:t xml:space="preserve"/>
      </w:r>
    </w:p>
    <w:p>
      <w:pPr>
        <w:spacing w:after="120" w:before="60"/>
      </w:pPr>
      <w:r>
        <w:rPr>
          <w:rFonts w:ascii="Arial" w:cs="Arial" w:eastAsia="Arial" w:hAnsi="Arial"/>
          <w:b w:val="false"/>
          <w:bCs w:val="false"/>
          <w:color w:val="6E6A65"/>
          <w:sz w:val="17"/>
          <w:szCs w:val="17"/>
        </w:rPr>
        <w:t xml:space="preserve">SOCELLE — Multi-Agent Coordination Document v1.0  ·  March 2026  ·  All agents: treat this document as the binding coordination layer.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2026-03-04T00:35:21.769Z</dcterms:created>
  <dcterms:modified xsi:type="dcterms:W3CDTF">2026-03-04T00:35:21.769Z</dcterms:modified>
</cp:coreProperties>
</file>

<file path=docProps/custom.xml><?xml version="1.0" encoding="utf-8"?>
<Properties xmlns="http://schemas.openxmlformats.org/officeDocument/2006/custom-properties" xmlns:vt="http://schemas.openxmlformats.org/officeDocument/2006/docPropsVTypes"/>
</file>