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
      </w:tblGrid>
      <w:tr>
        <w:trPr>
          <w:tblHeader w:val="false"/>
        </w:trPr>
        <w:tc>
          <w:tcPr>
            <w:tcW w:type="dxa" w:w="9360"/>
            <w:tcBorders>
              <w:top w:val="single" w:color="2A3040" w:sz="2"/>
              <w:left w:val="single" w:color="2A3040" w:sz="2"/>
              <w:bottom w:val="single" w:color="2A3040" w:sz="2"/>
              <w:right w:val="single" w:color="2A3040" w:sz="2"/>
            </w:tcBorders>
            <w:shd w:fill="2A3040" w:val="clear"/>
            <w:tcMar>
              <w:top w:type="dxa" w:w="600"/>
              <w:left w:type="dxa" w:w="600"/>
              <w:bottom w:type="dxa" w:w="600"/>
              <w:right w:type="dxa" w:w="600"/>
            </w:tcMar>
          </w:tcPr>
          <w:p>
            <w:pPr>
              <w:spacing w:after="120" w:before="0"/>
            </w:pPr>
            <w:r>
              <w:rPr>
                <w:rFonts w:ascii="Arial" w:cs="Arial" w:eastAsia="Arial" w:hAnsi="Arial"/>
                <w:b/>
                <w:bCs/>
                <w:color w:val="C0BCBA"/>
                <w:spacing w:val="300"/>
                <w:sz w:val="17"/>
                <w:szCs w:val="17"/>
              </w:rPr>
              <w:t xml:space="preserve">SOCELLE</w:t>
            </w:r>
          </w:p>
          <w:p>
            <w:pPr>
              <w:spacing w:after="80" w:before="0"/>
            </w:pPr>
            <w:r>
              <w:rPr>
                <w:rFonts w:ascii="Arial" w:cs="Arial" w:eastAsia="Arial" w:hAnsi="Arial"/>
                <w:b/>
                <w:bCs/>
                <w:color w:val="F5F4F2"/>
                <w:sz w:val="46"/>
                <w:szCs w:val="46"/>
              </w:rPr>
              <w:t xml:space="preserve">PAGE-LEVEL SEO REWRITE MATRIX</w:t>
            </w:r>
          </w:p>
          <w:p>
            <w:pPr>
              <w:spacing w:after="240" w:before="0"/>
            </w:pPr>
            <w:r>
              <w:rPr>
                <w:rFonts w:ascii="Arial" w:cs="Arial" w:eastAsia="Arial" w:hAnsi="Arial"/>
                <w:color w:val="C0BCBA"/>
                <w:sz w:val="22"/>
                <w:szCs w:val="22"/>
              </w:rPr>
              <w:t xml:space="preserve">10 pages · 11 fields per page · Ranking blueprint before copy</w:t>
            </w:r>
          </w:p>
          <w:p>
            <w:pPr>
              <w:spacing w:after="0" w:before="0"/>
            </w:pPr>
            <w:r>
              <w:rPr>
                <w:rFonts w:ascii="Arial" w:cs="Arial" w:eastAsia="Arial" w:hAnsi="Arial"/>
                <w:color w:val="8090A8"/>
                <w:sz w:val="17"/>
                <w:szCs w:val="17"/>
              </w:rPr>
              <w:t xml:space="preserve">Goal · Intent · Keywords · Entities · H1 · H2 Structure · Links · CTA · Risks · Guardrails</w:t>
            </w:r>
          </w:p>
        </w:tc>
      </w:tr>
    </w:tbl>
    <w:p>
      <w:pPr>
        <w:spacing w:after="0" w:before="360"/>
      </w:pPr>
      <w:r>
        <w:t xml:space="preserve"/>
      </w:r>
    </w:p>
    <w:p>
      <w:pPr>
        <w:spacing w:after="120" w:before="160"/>
      </w:pPr>
      <w:r>
        <w:rPr>
          <w:rFonts w:ascii="Arial" w:cs="Arial" w:eastAsia="Arial" w:hAnsi="Arial"/>
          <w:b w:val="false"/>
          <w:bCs w:val="false"/>
          <w:color w:val="181614"/>
          <w:sz w:val="20"/>
          <w:szCs w:val="20"/>
        </w:rPr>
        <w:t xml:space="preserve">This document is the ranking blueprint for the SOCELLE public website. It defines the SEO and copy architecture for each page before any copy is written. Agent 6 uses this as the brief. Agent 10 uses this as the technical SEO spec. No page goes to Agent 6 without an approved row in this matrix.</w:t>
      </w:r>
    </w:p>
    <w:p>
      <w:pPr>
        <w:spacing w:after="80" w:before="60"/>
      </w:pPr>
      <w:r>
        <w:rPr>
          <w:rFonts w:ascii="Arial" w:cs="Arial" w:eastAsia="Arial" w:hAnsi="Arial"/>
          <w:b w:val="false"/>
          <w:bCs w:val="false"/>
          <w:color w:val="6E6A65"/>
          <w:sz w:val="20"/>
          <w:szCs w:val="20"/>
        </w:rPr>
        <w:t xml:space="preserve">Fields marked LOCKED contain copy or strategy that must not change. Fields marked RISK contain SEO or copy dangers Agent 6 and Agent 11 must actively prevent. All other fields are the target state.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
        <w:gridCol w:w="100"/>
        <w:gridCol w:w="100"/>
      </w:tblGrid>
      <w:tr>
        <w:trPr>
          <w:tblHeader w:val="false"/>
        </w:trPr>
        <w:tc>
          <w:tcPr>
            <w:tcW w:type="dxa" w:w="960"/>
            <w:tcBorders>
              <w:top w:val="single" w:color="A32828" w:sz="2"/>
              <w:left w:val="single" w:color="A32828" w:sz="2"/>
              <w:bottom w:val="single" w:color="A32828" w:sz="2"/>
              <w:right w:val="single" w:color="A32828" w:sz="2"/>
            </w:tcBorders>
            <w:shd w:fill="A32828" w:val="clear"/>
            <w:tcMar>
              <w:top w:type="dxa" w:w="240"/>
              <w:left w:type="dxa" w:w="200"/>
              <w:bottom w:type="dxa" w:w="240"/>
              <w:right w:type="dxa" w:w="200"/>
            </w:tcMar>
          </w:tcPr>
          <w:p>
            <w:pPr>
              <w:spacing w:after="0" w:before="0"/>
              <w:jc w:val="center"/>
            </w:pPr>
            <w:r>
              <w:rPr>
                <w:rFonts w:ascii="Arial" w:cs="Arial" w:eastAsia="Arial" w:hAnsi="Arial"/>
                <w:b/>
                <w:bCs/>
                <w:color w:val="F5F4F2"/>
                <w:sz w:val="52"/>
                <w:szCs w:val="52"/>
              </w:rPr>
              <w:t xml:space="preserve">01</w:t>
            </w:r>
          </w:p>
          <w:p>
            <w:pPr>
              <w:spacing w:after="0" w:before="40"/>
              <w:jc w:val="center"/>
            </w:pPr>
            <w:r>
              <w:rPr>
                <w:rFonts w:ascii="Arial" w:cs="Arial" w:eastAsia="Arial" w:hAnsi="Arial"/>
                <w:b/>
                <w:bCs/>
                <w:color w:val="F5F4F2"/>
                <w:spacing w:val="80"/>
                <w:sz w:val="17"/>
                <w:szCs w:val="17"/>
              </w:rPr>
              <w:t xml:space="preserve">P1</w:t>
            </w:r>
          </w:p>
        </w:tc>
        <w:tc>
          <w:tcPr>
            <w:tcW w:type="dxa" w:w="5600"/>
            <w:tcBorders>
              <w:top w:val="single" w:color="2A3040" w:sz="2"/>
              <w:left w:val="single" w:color="2A3040" w:sz="2"/>
              <w:bottom w:val="single" w:color="2A3040" w:sz="2"/>
              <w:right w:val="single" w:color="2A3040" w:sz="2"/>
            </w:tcBorders>
            <w:shd w:fill="2A3040" w:val="clear"/>
            <w:tcMar>
              <w:top w:type="dxa" w:w="200"/>
              <w:left w:type="dxa" w:w="280"/>
              <w:bottom w:type="dxa" w:w="200"/>
              <w:right w:type="dxa" w:w="280"/>
            </w:tcMar>
          </w:tcPr>
          <w:p>
            <w:pPr>
              <w:spacing w:after="60" w:before="0"/>
            </w:pPr>
            <w:r>
              <w:rPr>
                <w:rFonts w:ascii="Arial" w:cs="Arial" w:eastAsia="Arial" w:hAnsi="Arial"/>
                <w:b/>
                <w:bCs/>
                <w:color w:val="F5F4F2"/>
                <w:sz w:val="44"/>
                <w:szCs w:val="44"/>
              </w:rPr>
              <w:t xml:space="preserve">Homepage</w:t>
            </w:r>
          </w:p>
          <w:p>
            <w:pPr>
              <w:spacing w:after="0" w:before="0"/>
            </w:pPr>
            <w:r>
              <w:rPr>
                <w:rFonts w:ascii="Courier New" w:cs="Courier New" w:eastAsia="Courier New" w:hAnsi="Courier New"/>
                <w:color w:val="8090A8"/>
                <w:sz w:val="18"/>
                <w:szCs w:val="18"/>
              </w:rPr>
              <w:t xml:space="preserve">socelle.com</w:t>
            </w:r>
          </w:p>
        </w:tc>
        <w:tc>
          <w:tcPr>
            <w:tcW w:type="dxa" w:w="2800"/>
            <w:tcBorders>
              <w:top w:val="single" w:color="1E2630" w:sz="2"/>
              <w:left w:val="single" w:color="1E2630" w:sz="2"/>
              <w:bottom w:val="single" w:color="1E2630" w:sz="2"/>
              <w:right w:val="single" w:color="1E2630" w:sz="2"/>
            </w:tcBorders>
            <w:shd w:fill="1E2630" w:val="clear"/>
            <w:tcMar>
              <w:top w:type="dxa" w:w="200"/>
              <w:left w:type="dxa" w:w="200"/>
              <w:bottom w:type="dxa" w:w="200"/>
              <w:right w:type="dxa" w:w="200"/>
            </w:tcMar>
          </w:tcPr>
          <w:p>
            <w:pPr>
              <w:spacing w:after="60" w:before="0"/>
            </w:pPr>
            <w:r>
              <w:rPr>
                <w:rFonts w:ascii="Arial" w:cs="Arial" w:eastAsia="Arial" w:hAnsi="Arial"/>
                <w:b/>
                <w:bCs/>
                <w:color w:val="6E8090"/>
                <w:spacing w:val="120"/>
                <w:sz w:val="15"/>
                <w:szCs w:val="15"/>
              </w:rPr>
              <w:t xml:space="preserve">SEARCH INTENT</w:t>
            </w:r>
          </w:p>
          <w:p>
            <w:pPr>
              <w:spacing w:after="0" w:before="0"/>
            </w:pPr>
            <w:r>
              <w:rPr>
                <w:rFonts w:ascii="Arial" w:cs="Arial" w:eastAsia="Arial" w:hAnsi="Arial"/>
                <w:color w:val="D0D8E0"/>
                <w:sz w:val="19"/>
                <w:szCs w:val="19"/>
              </w:rPr>
              <w:t xml:space="preserve">Commercial investigation + Navigational</w:t>
            </w:r>
          </w:p>
        </w:tc>
      </w:tr>
    </w:tbl>
    <w:p>
      <w:pPr>
        <w:spacing w:after="4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
        <w:gridCol w:w="100"/>
      </w:tblGrid>
      <w:tr>
        <w:trPr>
          <w:tblHeader w:val="false"/>
        </w:trPr>
        <w:tc>
          <w:tcPr>
            <w:tcW w:type="dxa" w:w="22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3E4C5E"/>
                <w:spacing w:val="80"/>
                <w:sz w:val="18"/>
                <w:szCs w:val="18"/>
              </w:rPr>
              <w:t xml:space="preserve">Page Goal</w:t>
            </w:r>
          </w:p>
        </w:tc>
        <w:tc>
          <w:tcPr>
            <w:tcW w:type="dxa" w:w="716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Establish platform authority for cold traffic from both sides. Earn trust from brand decision-makers and licensed operators simultaneously. Direct each audience to their conversion path without making either feel secondary.</w:t>
            </w:r>
          </w:p>
        </w:tc>
      </w:tr>
      <w:tr>
        <w:trPr>
          <w:tblHeader w:val="false"/>
        </w:trPr>
        <w:tc>
          <w:tcPr>
            <w:tcW w:type="dxa" w:w="22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b/>
                <w:bCs/>
                <w:color w:val="3E4C5E"/>
                <w:spacing w:val="80"/>
                <w:sz w:val="18"/>
                <w:szCs w:val="18"/>
              </w:rPr>
              <w:t xml:space="preserve">Search Intent</w:t>
            </w:r>
          </w:p>
        </w:tc>
        <w:tc>
          <w:tcPr>
            <w:tcW w:type="dxa" w:w="71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Dual-intent. Brand founders evaluate wholesale distribution options (commercial investigation). Salon owners and spa directors search for wholesale marketplaces (commercial). Navigational searches from people who have heard of Socelle (branded). The page must serve all three without prioritising any one over visual quality.</w:t>
            </w:r>
          </w:p>
        </w:tc>
      </w:tr>
      <w:tr>
        <w:trPr>
          <w:tblHeader w:val="false"/>
        </w:trPr>
        <w:tc>
          <w:tcPr>
            <w:tcW w:type="dxa" w:w="22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3E4C5E"/>
                <w:spacing w:val="80"/>
                <w:sz w:val="18"/>
                <w:szCs w:val="18"/>
              </w:rPr>
              <w:t xml:space="preserve">Primary Keyword</w:t>
            </w:r>
          </w:p>
        </w:tc>
        <w:tc>
          <w:tcPr>
            <w:tcW w:type="dxa" w:w="716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Courier New" w:cs="Courier New" w:eastAsia="Courier New" w:hAnsi="Courier New"/>
                <w:color w:val="1A3A6E"/>
                <w:sz w:val="18"/>
                <w:szCs w:val="18"/>
              </w:rPr>
              <w:t xml:space="preserve">professional beauty wholesale marketplace</w:t>
            </w:r>
          </w:p>
        </w:tc>
      </w:tr>
      <w:tr>
        <w:trPr>
          <w:tblHeader w:val="false"/>
        </w:trPr>
        <w:tc>
          <w:tcPr>
            <w:tcW w:type="dxa" w:w="22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b/>
                <w:bCs/>
                <w:color w:val="3E4C5E"/>
                <w:spacing w:val="80"/>
                <w:sz w:val="18"/>
                <w:szCs w:val="18"/>
              </w:rPr>
              <w:t xml:space="preserve">Secondary Keywords</w:t>
            </w:r>
          </w:p>
        </w:tc>
        <w:tc>
          <w:tcPr>
            <w:tcW w:type="dxa" w:w="71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color w:val="1A3A6E"/>
                <w:sz w:val="18"/>
                <w:szCs w:val="18"/>
              </w:rPr>
              <w:t xml:space="preserve">B2B professional beauty platform  ·  wholesale beauty brands  ·  beauty distributor for salons and spas  ·  professional beauty supply chain  ·  Socelle beauty marketplace</w:t>
            </w:r>
          </w:p>
        </w:tc>
      </w:tr>
      <w:tr>
        <w:trPr>
          <w:tblHeader w:val="false"/>
        </w:trPr>
        <w:tc>
          <w:tcPr>
            <w:tcW w:type="dxa" w:w="22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3E4C5E"/>
                <w:spacing w:val="80"/>
                <w:sz w:val="18"/>
                <w:szCs w:val="18"/>
              </w:rPr>
              <w:t xml:space="preserve">Entity Terms to Include</w:t>
            </w:r>
          </w:p>
        </w:tc>
        <w:tc>
          <w:tcPr>
            <w:tcW w:type="dxa" w:w="716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Licensed beauty professionals · verified professional brands · wholesale pricing tiers · multi-brand single checkout · brand storefronts · professional beauty distribution · commission-only · B2B marketplace · licensed operators · brand applications</w:t>
            </w:r>
          </w:p>
        </w:tc>
      </w:tr>
      <w:tr>
        <w:trPr>
          <w:tblHeader w:val="false"/>
        </w:trPr>
        <w:tc>
          <w:tcPr>
            <w:tcW w:type="dxa" w:w="22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b/>
                <w:bCs/>
                <w:color w:val="3E4C5E"/>
                <w:spacing w:val="80"/>
                <w:sz w:val="18"/>
                <w:szCs w:val="18"/>
              </w:rPr>
              <w:t xml:space="preserve">Ideal H1</w:t>
            </w:r>
          </w:p>
        </w:tc>
        <w:tc>
          <w:tcPr>
            <w:tcW w:type="dxa" w:w="7160"/>
            <w:tcBorders>
              <w:top w:val="single" w:color="C0BCBA" w:sz="2"/>
              <w:left w:val="single" w:color="C0BCBA" w:sz="2"/>
              <w:bottom w:val="single" w:color="C0BCBA" w:sz="2"/>
              <w:right w:val="single" w:color="C0BCBA" w:sz="2"/>
            </w:tcBorders>
            <w:shd w:fill="E8F0E8" w:val="clear"/>
            <w:tcMar>
              <w:top w:type="dxa" w:w="80"/>
              <w:left w:type="dxa" w:w="160"/>
              <w:bottom w:type="dxa" w:w="80"/>
              <w:right w:type="dxa" w:w="160"/>
            </w:tcMar>
          </w:tcPr>
          <w:p>
            <w:pPr>
              <w:spacing w:after="0" w:before="0"/>
            </w:pPr>
            <w:r>
              <w:rPr>
                <w:rFonts w:ascii="Arial" w:cs="Arial" w:eastAsia="Arial" w:hAnsi="Arial"/>
                <w:color w:val="1A5C2A"/>
                <w:sz w:val="18"/>
                <w:szCs w:val="18"/>
              </w:rPr>
              <w:t xml:space="preserve">The professional beauty supply chain, rebuilt. — Contains "professional beauty" and implies "supply chain" / "wholesale." Under 8 words. States a competitive truth. Both audiences recognise the problem it names.</w:t>
            </w:r>
          </w:p>
        </w:tc>
      </w:tr>
      <w:tr>
        <w:trPr>
          <w:tblHeader w:val="false"/>
        </w:trPr>
        <w:tc>
          <w:tcPr>
            <w:tcW w:type="dxa" w:w="22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3E4C5E"/>
                <w:spacing w:val="80"/>
                <w:sz w:val="18"/>
                <w:szCs w:val="18"/>
              </w:rPr>
              <w:t xml:space="preserve">Recommended H2 Structure</w:t>
            </w:r>
          </w:p>
        </w:tc>
        <w:tc>
          <w:tcPr>
            <w:tcW w:type="dxa" w:w="716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H2 1: For professional brands (platform split, brand card)  ·  H2 2: For licensed professionals (platform split, buyer card)  ·  H2 3: The only platform built for this vertical (Why Socelle)  ·  H2 4: Three steps. No complexity. (How It Works)  ·  H2 5: Where professional beauty moves. (Final CTA)</w:t>
            </w:r>
          </w:p>
        </w:tc>
      </w:tr>
      <w:tr>
        <w:trPr>
          <w:tblHeader w:val="false"/>
        </w:trPr>
        <w:tc>
          <w:tcPr>
            <w:tcW w:type="dxa" w:w="22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b/>
                <w:bCs/>
                <w:color w:val="3E4C5E"/>
                <w:spacing w:val="80"/>
                <w:sz w:val="18"/>
                <w:szCs w:val="18"/>
              </w:rPr>
              <w:t xml:space="preserve">Internal Links — In / Out</w:t>
            </w:r>
          </w:p>
        </w:tc>
        <w:tc>
          <w:tcPr>
            <w:tcW w:type="dxa" w:w="71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IN: All pages link to homepage via logo and nav. Direct and referral traffic.  ·  OUT: For Brands, For Buyers, How It Works, Request Access, Pricing, About, IH Teaser (via buyer card mention). Every outbound link uses descriptive anchor text, not "click here."</w:t>
            </w:r>
          </w:p>
        </w:tc>
      </w:tr>
      <w:tr>
        <w:trPr>
          <w:tblHeader w:val="false"/>
        </w:trPr>
        <w:tc>
          <w:tcPr>
            <w:tcW w:type="dxa" w:w="22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3E4C5E"/>
                <w:spacing w:val="80"/>
                <w:sz w:val="18"/>
                <w:szCs w:val="18"/>
              </w:rPr>
              <w:t xml:space="preserve">CTA Goal</w:t>
            </w:r>
          </w:p>
        </w:tc>
        <w:tc>
          <w:tcPr>
            <w:tcW w:type="dxa" w:w="716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Dual CTA split. Brand path: "Apply now" or "Apply as a brand" → /brand/apply. Operator path: "Create free account" or "Join free" → /portal/signup. CTAs appear in the hero and in the platform split section. The final CTA section repeats both.</w:t>
            </w:r>
          </w:p>
        </w:tc>
      </w:tr>
      <w:tr>
        <w:trPr>
          <w:tblHeader w:val="false"/>
        </w:trPr>
        <w:tc>
          <w:tcPr>
            <w:tcW w:type="dxa" w:w="22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b/>
                <w:bCs/>
                <w:color w:val="3E4C5E"/>
                <w:spacing w:val="80"/>
                <w:sz w:val="18"/>
                <w:szCs w:val="18"/>
              </w:rPr>
              <w:t xml:space="preserve">SEO Risks</w:t>
            </w:r>
          </w:p>
        </w:tc>
        <w:tc>
          <w:tcPr>
            <w:tcW w:type="dxa" w:w="7160"/>
            <w:tcBorders>
              <w:top w:val="single" w:color="C0BCBA" w:sz="2"/>
              <w:left w:val="single" w:color="C0BCBA" w:sz="2"/>
              <w:bottom w:val="single" w:color="C0BCBA" w:sz="2"/>
              <w:right w:val="single" w:color="C0BCBA" w:sz="2"/>
            </w:tcBorders>
            <w:shd w:fill="FFF4E8" w:val="clear"/>
            <w:tcMar>
              <w:top w:type="dxa" w:w="80"/>
              <w:left w:type="dxa" w:w="160"/>
              <w:bottom w:type="dxa" w:w="80"/>
              <w:right w:type="dxa" w:w="160"/>
            </w:tcMar>
          </w:tcPr>
          <w:p>
            <w:pPr>
              <w:spacing w:after="0" w:before="0"/>
            </w:pPr>
            <w:r>
              <w:rPr>
                <w:rFonts w:ascii="Arial" w:cs="Arial" w:eastAsia="Arial" w:hAnsi="Arial"/>
                <w:color w:val="7A4A1A"/>
                <w:sz w:val="18"/>
                <w:szCs w:val="18"/>
              </w:rPr>
              <w:t xml:space="preserve">RISK 1: Targeting too broad a head term ("wholesale marketplace") without sufficient page depth creates a mismatch between keyword authority and page content. Mitigate with entity coverage breadth.  ·  RISK 2: Dual-audience CTA creates confusion that increases bounce rate. Bounce rate is a negative ranking signal. Each CTA must be clearly labelled for its audience.  ·  RISK 3: Consumer beauty language ("skincare routine," "beauty products") will attract wrong-intent traffic and increase bounce rate. Strictly professional language throughout.</w:t>
            </w:r>
          </w:p>
        </w:tc>
      </w:tr>
      <w:tr>
        <w:trPr>
          <w:tblHeader w:val="false"/>
        </w:trPr>
        <w:tc>
          <w:tcPr>
            <w:tcW w:type="dxa" w:w="22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3E4C5E"/>
                <w:spacing w:val="80"/>
                <w:sz w:val="18"/>
                <w:szCs w:val="18"/>
              </w:rPr>
              <w:t xml:space="preserve">Premium-Tone Guardrails</w:t>
            </w:r>
          </w:p>
        </w:tc>
        <w:tc>
          <w:tcPr>
            <w:tcW w:type="dxa" w:w="716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No "everyone wins" or startup-speak.  ·  Hero subheadline under 20 words.  ·  No consumer beauty adjectives (glowing, transformative, luxurious).  ·  The comparison table is the single strongest asset on the page. Do not add animation or visual noise to it.  ·  Final CTA "Where professional beauty moves." is exceptional copy. Preserve it.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
        <w:gridCol w:w="100"/>
        <w:gridCol w:w="100"/>
      </w:tblGrid>
      <w:tr>
        <w:trPr>
          <w:tblHeader w:val="false"/>
        </w:trPr>
        <w:tc>
          <w:tcPr>
            <w:tcW w:type="dxa" w:w="960"/>
            <w:tcBorders>
              <w:top w:val="single" w:color="A32828" w:sz="2"/>
              <w:left w:val="single" w:color="A32828" w:sz="2"/>
              <w:bottom w:val="single" w:color="A32828" w:sz="2"/>
              <w:right w:val="single" w:color="A32828" w:sz="2"/>
            </w:tcBorders>
            <w:shd w:fill="A32828" w:val="clear"/>
            <w:tcMar>
              <w:top w:type="dxa" w:w="240"/>
              <w:left w:type="dxa" w:w="200"/>
              <w:bottom w:type="dxa" w:w="240"/>
              <w:right w:type="dxa" w:w="200"/>
            </w:tcMar>
          </w:tcPr>
          <w:p>
            <w:pPr>
              <w:spacing w:after="0" w:before="0"/>
              <w:jc w:val="center"/>
            </w:pPr>
            <w:r>
              <w:rPr>
                <w:rFonts w:ascii="Arial" w:cs="Arial" w:eastAsia="Arial" w:hAnsi="Arial"/>
                <w:b/>
                <w:bCs/>
                <w:color w:val="F5F4F2"/>
                <w:sz w:val="52"/>
                <w:szCs w:val="52"/>
              </w:rPr>
              <w:t xml:space="preserve">02</w:t>
            </w:r>
          </w:p>
          <w:p>
            <w:pPr>
              <w:spacing w:after="0" w:before="40"/>
              <w:jc w:val="center"/>
            </w:pPr>
            <w:r>
              <w:rPr>
                <w:rFonts w:ascii="Arial" w:cs="Arial" w:eastAsia="Arial" w:hAnsi="Arial"/>
                <w:b/>
                <w:bCs/>
                <w:color w:val="F5F4F2"/>
                <w:spacing w:val="80"/>
                <w:sz w:val="17"/>
                <w:szCs w:val="17"/>
              </w:rPr>
              <w:t xml:space="preserve">P1</w:t>
            </w:r>
          </w:p>
        </w:tc>
        <w:tc>
          <w:tcPr>
            <w:tcW w:type="dxa" w:w="5600"/>
            <w:tcBorders>
              <w:top w:val="single" w:color="2A3040" w:sz="2"/>
              <w:left w:val="single" w:color="2A3040" w:sz="2"/>
              <w:bottom w:val="single" w:color="2A3040" w:sz="2"/>
              <w:right w:val="single" w:color="2A3040" w:sz="2"/>
            </w:tcBorders>
            <w:shd w:fill="2A3040" w:val="clear"/>
            <w:tcMar>
              <w:top w:type="dxa" w:w="200"/>
              <w:left w:type="dxa" w:w="280"/>
              <w:bottom w:type="dxa" w:w="200"/>
              <w:right w:type="dxa" w:w="280"/>
            </w:tcMar>
          </w:tcPr>
          <w:p>
            <w:pPr>
              <w:spacing w:after="60" w:before="0"/>
            </w:pPr>
            <w:r>
              <w:rPr>
                <w:rFonts w:ascii="Arial" w:cs="Arial" w:eastAsia="Arial" w:hAnsi="Arial"/>
                <w:b/>
                <w:bCs/>
                <w:color w:val="F5F4F2"/>
                <w:sz w:val="44"/>
                <w:szCs w:val="44"/>
              </w:rPr>
              <w:t xml:space="preserve">For Buyers / Operators</w:t>
            </w:r>
          </w:p>
          <w:p>
            <w:pPr>
              <w:spacing w:after="0" w:before="0"/>
            </w:pPr>
            <w:r>
              <w:rPr>
                <w:rFonts w:ascii="Courier New" w:cs="Courier New" w:eastAsia="Courier New" w:hAnsi="Courier New"/>
                <w:color w:val="8090A8"/>
                <w:sz w:val="18"/>
                <w:szCs w:val="18"/>
              </w:rPr>
              <w:t xml:space="preserve">socelle.com/for-buyers</w:t>
            </w:r>
          </w:p>
        </w:tc>
        <w:tc>
          <w:tcPr>
            <w:tcW w:type="dxa" w:w="2800"/>
            <w:tcBorders>
              <w:top w:val="single" w:color="1E2630" w:sz="2"/>
              <w:left w:val="single" w:color="1E2630" w:sz="2"/>
              <w:bottom w:val="single" w:color="1E2630" w:sz="2"/>
              <w:right w:val="single" w:color="1E2630" w:sz="2"/>
            </w:tcBorders>
            <w:shd w:fill="1E2630" w:val="clear"/>
            <w:tcMar>
              <w:top w:type="dxa" w:w="200"/>
              <w:left w:type="dxa" w:w="200"/>
              <w:bottom w:type="dxa" w:w="200"/>
              <w:right w:type="dxa" w:w="200"/>
            </w:tcMar>
          </w:tcPr>
          <w:p>
            <w:pPr>
              <w:spacing w:after="60" w:before="0"/>
            </w:pPr>
            <w:r>
              <w:rPr>
                <w:rFonts w:ascii="Arial" w:cs="Arial" w:eastAsia="Arial" w:hAnsi="Arial"/>
                <w:b/>
                <w:bCs/>
                <w:color w:val="6E8090"/>
                <w:spacing w:val="120"/>
                <w:sz w:val="15"/>
                <w:szCs w:val="15"/>
              </w:rPr>
              <w:t xml:space="preserve">SEARCH INTENT</w:t>
            </w:r>
          </w:p>
          <w:p>
            <w:pPr>
              <w:spacing w:after="0" w:before="0"/>
            </w:pPr>
            <w:r>
              <w:rPr>
                <w:rFonts w:ascii="Arial" w:cs="Arial" w:eastAsia="Arial" w:hAnsi="Arial"/>
                <w:color w:val="D0D8E0"/>
                <w:sz w:val="19"/>
                <w:szCs w:val="19"/>
              </w:rPr>
              <w:t xml:space="preserve">Commercial — ready-to-source operators</w:t>
            </w:r>
          </w:p>
        </w:tc>
      </w:tr>
    </w:tbl>
    <w:p>
      <w:pPr>
        <w:spacing w:after="4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
        <w:gridCol w:w="100"/>
      </w:tblGrid>
      <w:tr>
        <w:trPr>
          <w:tblHeader w:val="false"/>
        </w:trPr>
        <w:tc>
          <w:tcPr>
            <w:tcW w:type="dxa" w:w="22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3E4C5E"/>
                <w:spacing w:val="80"/>
                <w:sz w:val="18"/>
                <w:szCs w:val="18"/>
              </w:rPr>
              <w:t xml:space="preserve">Page Goal</w:t>
            </w:r>
          </w:p>
        </w:tc>
        <w:tc>
          <w:tcPr>
            <w:tcW w:type="dxa" w:w="716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Convert licensed operator signups. Make spa directors, salon owners, and medspa operators feel this was built for their specific situation. Reduce friction to account creation to zero. Surface the Intelligence Hub as the second value layer.</w:t>
            </w:r>
          </w:p>
        </w:tc>
      </w:tr>
      <w:tr>
        <w:trPr>
          <w:tblHeader w:val="false"/>
        </w:trPr>
        <w:tc>
          <w:tcPr>
            <w:tcW w:type="dxa" w:w="22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b/>
                <w:bCs/>
                <w:color w:val="3E4C5E"/>
                <w:spacing w:val="80"/>
                <w:sz w:val="18"/>
                <w:szCs w:val="18"/>
              </w:rPr>
              <w:t xml:space="preserve">Search Intent</w:t>
            </w:r>
          </w:p>
        </w:tc>
        <w:tc>
          <w:tcPr>
            <w:tcW w:type="dxa" w:w="71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Commercial. Users are actively evaluating wholesale sources. They have a real procurement problem and are comparing options. High-intent audience with purchasing authority. Secondary: informational users researching how professional wholesale works before committing.</w:t>
            </w:r>
          </w:p>
        </w:tc>
      </w:tr>
      <w:tr>
        <w:trPr>
          <w:tblHeader w:val="false"/>
        </w:trPr>
        <w:tc>
          <w:tcPr>
            <w:tcW w:type="dxa" w:w="22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3E4C5E"/>
                <w:spacing w:val="80"/>
                <w:sz w:val="18"/>
                <w:szCs w:val="18"/>
              </w:rPr>
              <w:t xml:space="preserve">Primary Keyword</w:t>
            </w:r>
          </w:p>
        </w:tc>
        <w:tc>
          <w:tcPr>
            <w:tcW w:type="dxa" w:w="716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Courier New" w:cs="Courier New" w:eastAsia="Courier New" w:hAnsi="Courier New"/>
                <w:color w:val="1A3A6E"/>
                <w:sz w:val="18"/>
                <w:szCs w:val="18"/>
              </w:rPr>
              <w:t xml:space="preserve">salon wholesale marketplace  ·  professional beauty wholesale for licensed professionals</w:t>
            </w:r>
          </w:p>
        </w:tc>
      </w:tr>
      <w:tr>
        <w:trPr>
          <w:tblHeader w:val="false"/>
        </w:trPr>
        <w:tc>
          <w:tcPr>
            <w:tcW w:type="dxa" w:w="22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b/>
                <w:bCs/>
                <w:color w:val="3E4C5E"/>
                <w:spacing w:val="80"/>
                <w:sz w:val="18"/>
                <w:szCs w:val="18"/>
              </w:rPr>
              <w:t xml:space="preserve">Secondary Keywords</w:t>
            </w:r>
          </w:p>
        </w:tc>
        <w:tc>
          <w:tcPr>
            <w:tcW w:type="dxa" w:w="71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color w:val="1A3A6E"/>
                <w:sz w:val="18"/>
                <w:szCs w:val="18"/>
              </w:rPr>
              <w:t xml:space="preserve">buy wholesale professional beauty products  ·  medspa wholesale beauty supply  ·  spa wholesale beauty brands  ·  wholesale beauty account for salons  ·  multi-brand beauty wholesale</w:t>
            </w:r>
          </w:p>
        </w:tc>
      </w:tr>
      <w:tr>
        <w:trPr>
          <w:tblHeader w:val="false"/>
        </w:trPr>
        <w:tc>
          <w:tcPr>
            <w:tcW w:type="dxa" w:w="22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3E4C5E"/>
                <w:spacing w:val="80"/>
                <w:sz w:val="18"/>
                <w:szCs w:val="18"/>
              </w:rPr>
              <w:t xml:space="preserve">Entity Terms to Include</w:t>
            </w:r>
          </w:p>
        </w:tc>
        <w:tc>
          <w:tcPr>
            <w:tcW w:type="dxa" w:w="716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Salon owners · spa directors · medspa operators · licensed professionals · wholesale pricing tiers · multi-brand single checkout · purchasing benchmarks · Intelligence Hub · order history · brand verification · six portals · free to join</w:t>
            </w:r>
          </w:p>
        </w:tc>
      </w:tr>
      <w:tr>
        <w:trPr>
          <w:tblHeader w:val="false"/>
        </w:trPr>
        <w:tc>
          <w:tcPr>
            <w:tcW w:type="dxa" w:w="22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b/>
                <w:bCs/>
                <w:color w:val="3E4C5E"/>
                <w:spacing w:val="80"/>
                <w:sz w:val="18"/>
                <w:szCs w:val="18"/>
              </w:rPr>
              <w:t xml:space="preserve">Ideal H1</w:t>
            </w:r>
          </w:p>
        </w:tc>
        <w:tc>
          <w:tcPr>
            <w:tcW w:type="dxa" w:w="7160"/>
            <w:tcBorders>
              <w:top w:val="single" w:color="C0BCBA" w:sz="2"/>
              <w:left w:val="single" w:color="C0BCBA" w:sz="2"/>
              <w:bottom w:val="single" w:color="C0BCBA" w:sz="2"/>
              <w:right w:val="single" w:color="C0BCBA" w:sz="2"/>
            </w:tcBorders>
            <w:shd w:fill="E8F0E8" w:val="clear"/>
            <w:tcMar>
              <w:top w:type="dxa" w:w="80"/>
              <w:left w:type="dxa" w:w="160"/>
              <w:bottom w:type="dxa" w:w="80"/>
              <w:right w:type="dxa" w:w="160"/>
            </w:tcMar>
          </w:tcPr>
          <w:p>
            <w:pPr>
              <w:spacing w:after="0" w:before="0"/>
            </w:pPr>
            <w:r>
              <w:rPr>
                <w:rFonts w:ascii="Arial" w:cs="Arial" w:eastAsia="Arial" w:hAnsi="Arial"/>
                <w:color w:val="1A5C2A"/>
                <w:sz w:val="18"/>
                <w:szCs w:val="18"/>
              </w:rPr>
              <w:t xml:space="preserve">Every brand you carry. Every brand you should. One place. — LOCKED. This is the strongest operator-facing headline on the site. Compressed, possessive, and specific. Do not test alternatives.</w:t>
            </w:r>
          </w:p>
        </w:tc>
      </w:tr>
      <w:tr>
        <w:trPr>
          <w:tblHeader w:val="false"/>
        </w:trPr>
        <w:tc>
          <w:tcPr>
            <w:tcW w:type="dxa" w:w="22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3E4C5E"/>
                <w:spacing w:val="80"/>
                <w:sz w:val="18"/>
                <w:szCs w:val="18"/>
              </w:rPr>
              <w:t xml:space="preserve">Recommended H2 Structure</w:t>
            </w:r>
          </w:p>
        </w:tc>
        <w:tc>
          <w:tcPr>
            <w:tcW w:type="dxa" w:w="716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H2 1: The problem with six portals. (unlabeled problem section — no "The problem" header)  ·  H2 2: One account. Every brand you need. (What you get)  ·  H2 3: Market intelligence for the treatment room. (IH preview section — new)  ·  H2 4: Built for licensed professionals. (Who qualifies)  ·  H2 5: Join free. (Final CTA)</w:t>
            </w:r>
          </w:p>
        </w:tc>
      </w:tr>
      <w:tr>
        <w:trPr>
          <w:tblHeader w:val="false"/>
        </w:trPr>
        <w:tc>
          <w:tcPr>
            <w:tcW w:type="dxa" w:w="22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b/>
                <w:bCs/>
                <w:color w:val="3E4C5E"/>
                <w:spacing w:val="80"/>
                <w:sz w:val="18"/>
                <w:szCs w:val="18"/>
              </w:rPr>
              <w:t xml:space="preserve">Internal Links — In / Out</w:t>
            </w:r>
          </w:p>
        </w:tc>
        <w:tc>
          <w:tcPr>
            <w:tcW w:type="dxa" w:w="71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IN: Homepage buyer card CTA, How It Works operator path, IH Teaser, /for-salons, /for-medspas (vertical pages).  ·  OUT: Request Access (primary CTA → /portal/signup), IH Teaser (IH preview section link), How It Works, Pricing (if referenced in FAQ).</w:t>
            </w:r>
          </w:p>
        </w:tc>
      </w:tr>
      <w:tr>
        <w:trPr>
          <w:tblHeader w:val="false"/>
        </w:trPr>
        <w:tc>
          <w:tcPr>
            <w:tcW w:type="dxa" w:w="22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3E4C5E"/>
                <w:spacing w:val="80"/>
                <w:sz w:val="18"/>
                <w:szCs w:val="18"/>
              </w:rPr>
              <w:t xml:space="preserve">CTA Goal</w:t>
            </w:r>
          </w:p>
        </w:tc>
        <w:tc>
          <w:tcPr>
            <w:tcW w:type="dxa" w:w="716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"Create free account" → /portal/signup. The CTA must appear in the hero, after the What You Get section, and as the final CTA. Free account is the zero-friction conversion. No credit card reference near the CTA.</w:t>
            </w:r>
          </w:p>
        </w:tc>
      </w:tr>
      <w:tr>
        <w:trPr>
          <w:tblHeader w:val="false"/>
        </w:trPr>
        <w:tc>
          <w:tcPr>
            <w:tcW w:type="dxa" w:w="22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b/>
                <w:bCs/>
                <w:color w:val="3E4C5E"/>
                <w:spacing w:val="80"/>
                <w:sz w:val="18"/>
                <w:szCs w:val="18"/>
              </w:rPr>
              <w:t xml:space="preserve">SEO Risks</w:t>
            </w:r>
          </w:p>
        </w:tc>
        <w:tc>
          <w:tcPr>
            <w:tcW w:type="dxa" w:w="7160"/>
            <w:tcBorders>
              <w:top w:val="single" w:color="C0BCBA" w:sz="2"/>
              <w:left w:val="single" w:color="C0BCBA" w:sz="2"/>
              <w:bottom w:val="single" w:color="C0BCBA" w:sz="2"/>
              <w:right w:val="single" w:color="C0BCBA" w:sz="2"/>
            </w:tcBorders>
            <w:shd w:fill="FFF4E8" w:val="clear"/>
            <w:tcMar>
              <w:top w:type="dxa" w:w="80"/>
              <w:left w:type="dxa" w:w="160"/>
              <w:bottom w:type="dxa" w:w="80"/>
              <w:right w:type="dxa" w:w="160"/>
            </w:tcMar>
          </w:tcPr>
          <w:p>
            <w:pPr>
              <w:spacing w:after="0" w:before="0"/>
            </w:pPr>
            <w:r>
              <w:rPr>
                <w:rFonts w:ascii="Arial" w:cs="Arial" w:eastAsia="Arial" w:hAnsi="Arial"/>
                <w:color w:val="7A4A1A"/>
                <w:sz w:val="18"/>
                <w:szCs w:val="18"/>
              </w:rPr>
              <w:t xml:space="preserve">RISK 1: "Buy wholesale beauty products" search terms can attract consumer intent (retail buyers, not licensed operators). Language must consistently signal professional / licensed to filter unqualified traffic.  ·  RISK 2: The IH preview section introduces a second value proposition on the page. It must not dilute the primary conversion message. One CTA per section, not two competing value propositions fighting for attention.  ·  RISK 3: Free forever claim must be specific and qualified. "Free for licensed professionals" is accurate. "Free" without qualification attracts unqualified signups.</w:t>
            </w:r>
          </w:p>
        </w:tc>
      </w:tr>
      <w:tr>
        <w:trPr>
          <w:tblHeader w:val="false"/>
        </w:trPr>
        <w:tc>
          <w:tcPr>
            <w:tcW w:type="dxa" w:w="22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3E4C5E"/>
                <w:spacing w:val="80"/>
                <w:sz w:val="18"/>
                <w:szCs w:val="18"/>
              </w:rPr>
              <w:t xml:space="preserve">Premium-Tone Guardrails</w:t>
            </w:r>
          </w:p>
        </w:tc>
        <w:tc>
          <w:tcPr>
            <w:tcW w:type="dxa" w:w="7160"/>
            <w:tcBorders>
              <w:top w:val="single" w:color="C0BCBA" w:sz="2"/>
              <w:left w:val="single" w:color="C0BCBA" w:sz="2"/>
              <w:bottom w:val="single" w:color="C0BCBA" w:sz="2"/>
              <w:right w:val="single" w:color="C0BCBA" w:sz="2"/>
            </w:tcBorders>
            <w:shd w:fill="E8F0E8" w:val="clear"/>
            <w:tcMar>
              <w:top w:type="dxa" w:w="80"/>
              <w:left w:type="dxa" w:w="160"/>
              <w:bottom w:type="dxa" w:w="80"/>
              <w:right w:type="dxa" w:w="160"/>
            </w:tcMar>
          </w:tcPr>
          <w:p>
            <w:pPr>
              <w:spacing w:after="0" w:before="0"/>
            </w:pPr>
            <w:r>
              <w:rPr>
                <w:rFonts w:ascii="Arial" w:cs="Arial" w:eastAsia="Arial" w:hAnsi="Arial"/>
                <w:color w:val="1A5C2A"/>
                <w:sz w:val="18"/>
                <w:szCs w:val="18"/>
              </w:rPr>
              <w:t xml:space="preserve">Hero headline is locked. Problem statement ("six portals, six order histories") is locked. IH section must name at least one concrete data capability (purchasing benchmarks, not "intelligence" alone). Feature copy leads with operator outcome, not feature name.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
        <w:gridCol w:w="100"/>
        <w:gridCol w:w="100"/>
      </w:tblGrid>
      <w:tr>
        <w:trPr>
          <w:tblHeader w:val="false"/>
        </w:trPr>
        <w:tc>
          <w:tcPr>
            <w:tcW w:type="dxa" w:w="960"/>
            <w:tcBorders>
              <w:top w:val="single" w:color="A32828" w:sz="2"/>
              <w:left w:val="single" w:color="A32828" w:sz="2"/>
              <w:bottom w:val="single" w:color="A32828" w:sz="2"/>
              <w:right w:val="single" w:color="A32828" w:sz="2"/>
            </w:tcBorders>
            <w:shd w:fill="A32828" w:val="clear"/>
            <w:tcMar>
              <w:top w:type="dxa" w:w="240"/>
              <w:left w:type="dxa" w:w="200"/>
              <w:bottom w:type="dxa" w:w="240"/>
              <w:right w:type="dxa" w:w="200"/>
            </w:tcMar>
          </w:tcPr>
          <w:p>
            <w:pPr>
              <w:spacing w:after="0" w:before="0"/>
              <w:jc w:val="center"/>
            </w:pPr>
            <w:r>
              <w:rPr>
                <w:rFonts w:ascii="Arial" w:cs="Arial" w:eastAsia="Arial" w:hAnsi="Arial"/>
                <w:b/>
                <w:bCs/>
                <w:color w:val="F5F4F2"/>
                <w:sz w:val="52"/>
                <w:szCs w:val="52"/>
              </w:rPr>
              <w:t xml:space="preserve">03</w:t>
            </w:r>
          </w:p>
          <w:p>
            <w:pPr>
              <w:spacing w:after="0" w:before="40"/>
              <w:jc w:val="center"/>
            </w:pPr>
            <w:r>
              <w:rPr>
                <w:rFonts w:ascii="Arial" w:cs="Arial" w:eastAsia="Arial" w:hAnsi="Arial"/>
                <w:b/>
                <w:bCs/>
                <w:color w:val="F5F4F2"/>
                <w:spacing w:val="80"/>
                <w:sz w:val="17"/>
                <w:szCs w:val="17"/>
              </w:rPr>
              <w:t xml:space="preserve">P1</w:t>
            </w:r>
          </w:p>
        </w:tc>
        <w:tc>
          <w:tcPr>
            <w:tcW w:type="dxa" w:w="5600"/>
            <w:tcBorders>
              <w:top w:val="single" w:color="2A3040" w:sz="2"/>
              <w:left w:val="single" w:color="2A3040" w:sz="2"/>
              <w:bottom w:val="single" w:color="2A3040" w:sz="2"/>
              <w:right w:val="single" w:color="2A3040" w:sz="2"/>
            </w:tcBorders>
            <w:shd w:fill="2A3040" w:val="clear"/>
            <w:tcMar>
              <w:top w:type="dxa" w:w="200"/>
              <w:left w:type="dxa" w:w="280"/>
              <w:bottom w:type="dxa" w:w="200"/>
              <w:right w:type="dxa" w:w="280"/>
            </w:tcMar>
          </w:tcPr>
          <w:p>
            <w:pPr>
              <w:spacing w:after="60" w:before="0"/>
            </w:pPr>
            <w:r>
              <w:rPr>
                <w:rFonts w:ascii="Arial" w:cs="Arial" w:eastAsia="Arial" w:hAnsi="Arial"/>
                <w:b/>
                <w:bCs/>
                <w:color w:val="F5F4F2"/>
                <w:sz w:val="44"/>
                <w:szCs w:val="44"/>
              </w:rPr>
              <w:t xml:space="preserve">For Brands</w:t>
            </w:r>
          </w:p>
          <w:p>
            <w:pPr>
              <w:spacing w:after="0" w:before="0"/>
            </w:pPr>
            <w:r>
              <w:rPr>
                <w:rFonts w:ascii="Courier New" w:cs="Courier New" w:eastAsia="Courier New" w:hAnsi="Courier New"/>
                <w:color w:val="8090A8"/>
                <w:sz w:val="18"/>
                <w:szCs w:val="18"/>
              </w:rPr>
              <w:t xml:space="preserve">socelle.com/for-brands</w:t>
            </w:r>
          </w:p>
        </w:tc>
        <w:tc>
          <w:tcPr>
            <w:tcW w:type="dxa" w:w="2800"/>
            <w:tcBorders>
              <w:top w:val="single" w:color="1E2630" w:sz="2"/>
              <w:left w:val="single" w:color="1E2630" w:sz="2"/>
              <w:bottom w:val="single" w:color="1E2630" w:sz="2"/>
              <w:right w:val="single" w:color="1E2630" w:sz="2"/>
            </w:tcBorders>
            <w:shd w:fill="1E2630" w:val="clear"/>
            <w:tcMar>
              <w:top w:type="dxa" w:w="200"/>
              <w:left w:type="dxa" w:w="200"/>
              <w:bottom w:type="dxa" w:w="200"/>
              <w:right w:type="dxa" w:w="200"/>
            </w:tcMar>
          </w:tcPr>
          <w:p>
            <w:pPr>
              <w:spacing w:after="60" w:before="0"/>
            </w:pPr>
            <w:r>
              <w:rPr>
                <w:rFonts w:ascii="Arial" w:cs="Arial" w:eastAsia="Arial" w:hAnsi="Arial"/>
                <w:b/>
                <w:bCs/>
                <w:color w:val="6E8090"/>
                <w:spacing w:val="120"/>
                <w:sz w:val="15"/>
                <w:szCs w:val="15"/>
              </w:rPr>
              <w:t xml:space="preserve">SEARCH INTENT</w:t>
            </w:r>
          </w:p>
          <w:p>
            <w:pPr>
              <w:spacing w:after="0" w:before="0"/>
            </w:pPr>
            <w:r>
              <w:rPr>
                <w:rFonts w:ascii="Arial" w:cs="Arial" w:eastAsia="Arial" w:hAnsi="Arial"/>
                <w:color w:val="D0D8E0"/>
                <w:sz w:val="19"/>
                <w:szCs w:val="19"/>
              </w:rPr>
              <w:t xml:space="preserve">Commercial investigation — brand decision-makers</w:t>
            </w:r>
          </w:p>
        </w:tc>
      </w:tr>
    </w:tbl>
    <w:p>
      <w:pPr>
        <w:spacing w:after="4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
        <w:gridCol w:w="100"/>
      </w:tblGrid>
      <w:tr>
        <w:trPr>
          <w:tblHeader w:val="false"/>
        </w:trPr>
        <w:tc>
          <w:tcPr>
            <w:tcW w:type="dxa" w:w="22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3E4C5E"/>
                <w:spacing w:val="80"/>
                <w:sz w:val="18"/>
                <w:szCs w:val="18"/>
              </w:rPr>
              <w:t xml:space="preserve">Page Goal</w:t>
            </w:r>
          </w:p>
        </w:tc>
        <w:tc>
          <w:tcPr>
            <w:tcW w:type="dxa" w:w="716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Convert brand applications. Answer every question a skeptical brand founder, VP of Sales, or Brand Manager will ask before they spend time applying. Every section of this page must remove a specific objection, not just describe features.</w:t>
            </w:r>
          </w:p>
        </w:tc>
      </w:tr>
      <w:tr>
        <w:trPr>
          <w:tblHeader w:val="false"/>
        </w:trPr>
        <w:tc>
          <w:tcPr>
            <w:tcW w:type="dxa" w:w="22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b/>
                <w:bCs/>
                <w:color w:val="3E4C5E"/>
                <w:spacing w:val="80"/>
                <w:sz w:val="18"/>
                <w:szCs w:val="18"/>
              </w:rPr>
              <w:t xml:space="preserve">Search Intent</w:t>
            </w:r>
          </w:p>
        </w:tc>
        <w:tc>
          <w:tcPr>
            <w:tcW w:type="dxa" w:w="71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Commercial investigation. Brand decision-makers are comparing wholesale distribution options. They have budget authority but high skepticism. They have probably failed with a previous distribution approach. They want proof the economics work and that the channel is real.</w:t>
            </w:r>
          </w:p>
        </w:tc>
      </w:tr>
      <w:tr>
        <w:trPr>
          <w:tblHeader w:val="false"/>
        </w:trPr>
        <w:tc>
          <w:tcPr>
            <w:tcW w:type="dxa" w:w="22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3E4C5E"/>
                <w:spacing w:val="80"/>
                <w:sz w:val="18"/>
                <w:szCs w:val="18"/>
              </w:rPr>
              <w:t xml:space="preserve">Primary Keyword</w:t>
            </w:r>
          </w:p>
        </w:tc>
        <w:tc>
          <w:tcPr>
            <w:tcW w:type="dxa" w:w="716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Courier New" w:cs="Courier New" w:eastAsia="Courier New" w:hAnsi="Courier New"/>
                <w:color w:val="1A3A6E"/>
                <w:sz w:val="18"/>
                <w:szCs w:val="18"/>
              </w:rPr>
              <w:t xml:space="preserve">wholesale platform for beauty brands  ·  professional beauty brand distribution</w:t>
            </w:r>
          </w:p>
        </w:tc>
      </w:tr>
      <w:tr>
        <w:trPr>
          <w:tblHeader w:val="false"/>
        </w:trPr>
        <w:tc>
          <w:tcPr>
            <w:tcW w:type="dxa" w:w="22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b/>
                <w:bCs/>
                <w:color w:val="3E4C5E"/>
                <w:spacing w:val="80"/>
                <w:sz w:val="18"/>
                <w:szCs w:val="18"/>
              </w:rPr>
              <w:t xml:space="preserve">Secondary Keywords</w:t>
            </w:r>
          </w:p>
        </w:tc>
        <w:tc>
          <w:tcPr>
            <w:tcW w:type="dxa" w:w="71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color w:val="1A3A6E"/>
                <w:sz w:val="18"/>
                <w:szCs w:val="18"/>
              </w:rPr>
              <w:t xml:space="preserve">sell wholesale professional beauty products  ·  commission-only wholesale beauty platform  ·  B2B beauty brand portal  ·  professional beauty brand wholesale channel  ·  beauty brand wholesale storefront</w:t>
            </w:r>
          </w:p>
        </w:tc>
      </w:tr>
      <w:tr>
        <w:trPr>
          <w:tblHeader w:val="false"/>
        </w:trPr>
        <w:tc>
          <w:tcPr>
            <w:tcW w:type="dxa" w:w="22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3E4C5E"/>
                <w:spacing w:val="80"/>
                <w:sz w:val="18"/>
                <w:szCs w:val="18"/>
              </w:rPr>
              <w:t xml:space="preserve">Entity Terms to Include</w:t>
            </w:r>
          </w:p>
        </w:tc>
        <w:tc>
          <w:tcPr>
            <w:tcW w:type="dxa" w:w="716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Brand storefronts · tiered pricing · commission-only · reseller accounts · brand analytics · order management · direct messaging · Stripe Connect payouts · brand application · professional beauty brands · licensed resellers · brand verification badge</w:t>
            </w:r>
          </w:p>
        </w:tc>
      </w:tr>
      <w:tr>
        <w:trPr>
          <w:tblHeader w:val="false"/>
        </w:trPr>
        <w:tc>
          <w:tcPr>
            <w:tcW w:type="dxa" w:w="22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b/>
                <w:bCs/>
                <w:color w:val="3E4C5E"/>
                <w:spacing w:val="80"/>
                <w:sz w:val="18"/>
                <w:szCs w:val="18"/>
              </w:rPr>
              <w:t xml:space="preserve">Ideal H1</w:t>
            </w:r>
          </w:p>
        </w:tc>
        <w:tc>
          <w:tcPr>
            <w:tcW w:type="dxa" w:w="71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Your wholesale channel. Rebuilt for how this industry works. — Strong candidate. "Wholesale channel" contains the primary keyword signal. "Rebuilt" echoes the homepage thesis. Alternative for A/B: "The professional wholesale channel your brand has been missing." Tests the specificity principle.</w:t>
            </w:r>
          </w:p>
        </w:tc>
      </w:tr>
      <w:tr>
        <w:trPr>
          <w:tblHeader w:val="false"/>
        </w:trPr>
        <w:tc>
          <w:tcPr>
            <w:tcW w:type="dxa" w:w="22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3E4C5E"/>
                <w:spacing w:val="80"/>
                <w:sz w:val="18"/>
                <w:szCs w:val="18"/>
              </w:rPr>
              <w:t xml:space="preserve">Recommended H2 Structure</w:t>
            </w:r>
          </w:p>
        </w:tc>
        <w:tc>
          <w:tcPr>
            <w:tcW w:type="dxa" w:w="716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H2 1: [No header — open directly into problem prose] (problem section: remove "The problem we're solving for you" label)  ·  H2 2: Your storefront. Your terms. Your data. (What you get)  ·  H2 3: You pay nothing until you sell. (Economics section — replaces "Simple. Transparent. Aligned.")  ·  H2 4: Common questions. (FAQ — not "FAQ" as a header)  ·  H2 5: Apply to list your brand. (Final CTA)</w:t>
            </w:r>
          </w:p>
        </w:tc>
      </w:tr>
      <w:tr>
        <w:trPr>
          <w:tblHeader w:val="false"/>
        </w:trPr>
        <w:tc>
          <w:tcPr>
            <w:tcW w:type="dxa" w:w="22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b/>
                <w:bCs/>
                <w:color w:val="3E4C5E"/>
                <w:spacing w:val="80"/>
                <w:sz w:val="18"/>
                <w:szCs w:val="18"/>
              </w:rPr>
              <w:t xml:space="preserve">Internal Links — In / Out</w:t>
            </w:r>
          </w:p>
        </w:tc>
        <w:tc>
          <w:tcPr>
            <w:tcW w:type="dxa" w:w="71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IN: Homepage brand CTA, How It Works brand path, Nav "Apply as a brand" CTA, About (platform reference).  ·  OUT: Request Access / Apply (/brand/apply as primary CTA), Pricing (economics reference), How It Works (process reference), IH Teaser (one proof-point sentence: "Brands receive reseller performance data through the Intelligence Hub").</w:t>
            </w:r>
          </w:p>
        </w:tc>
      </w:tr>
      <w:tr>
        <w:trPr>
          <w:tblHeader w:val="false"/>
        </w:trPr>
        <w:tc>
          <w:tcPr>
            <w:tcW w:type="dxa" w:w="22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3E4C5E"/>
                <w:spacing w:val="80"/>
                <w:sz w:val="18"/>
                <w:szCs w:val="18"/>
              </w:rPr>
              <w:t xml:space="preserve">CTA Goal</w:t>
            </w:r>
          </w:p>
        </w:tc>
        <w:tc>
          <w:tcPr>
            <w:tcW w:type="dxa" w:w="716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"Apply now" or "Apply to list your brand" → /brand/apply. The CTA appears in the hero trust bar, after economics, and as the final page CTA. The application link must work and feel fast. "Apply to see your rate" is a strong mid-page CTA after the economics section.</w:t>
            </w:r>
          </w:p>
        </w:tc>
      </w:tr>
      <w:tr>
        <w:trPr>
          <w:tblHeader w:val="false"/>
        </w:trPr>
        <w:tc>
          <w:tcPr>
            <w:tcW w:type="dxa" w:w="22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b/>
                <w:bCs/>
                <w:color w:val="3E4C5E"/>
                <w:spacing w:val="80"/>
                <w:sz w:val="18"/>
                <w:szCs w:val="18"/>
              </w:rPr>
              <w:t xml:space="preserve">SEO Risks</w:t>
            </w:r>
          </w:p>
        </w:tc>
        <w:tc>
          <w:tcPr>
            <w:tcW w:type="dxa" w:w="7160"/>
            <w:tcBorders>
              <w:top w:val="single" w:color="C0BCBA" w:sz="2"/>
              <w:left w:val="single" w:color="C0BCBA" w:sz="2"/>
              <w:bottom w:val="single" w:color="C0BCBA" w:sz="2"/>
              <w:right w:val="single" w:color="C0BCBA" w:sz="2"/>
            </w:tcBorders>
            <w:shd w:fill="FFF4E8" w:val="clear"/>
            <w:tcMar>
              <w:top w:type="dxa" w:w="80"/>
              <w:left w:type="dxa" w:w="160"/>
              <w:bottom w:type="dxa" w:w="80"/>
              <w:right w:type="dxa" w:w="160"/>
            </w:tcMar>
          </w:tcPr>
          <w:p>
            <w:pPr>
              <w:spacing w:after="0" w:before="0"/>
            </w:pPr>
            <w:r>
              <w:rPr>
                <w:rFonts w:ascii="Arial" w:cs="Arial" w:eastAsia="Arial" w:hAnsi="Arial"/>
                <w:color w:val="7A4A1A"/>
                <w:sz w:val="18"/>
                <w:szCs w:val="18"/>
              </w:rPr>
              <w:t xml:space="preserve">RISK 1: The labeled "problem" section header ("The problem we're solving for you") uses section-label language that is semantically thin. Remove the header and let the problem statement open the section directly. This also improves SEO by replacing a non-semantic header with flowing content.  ·  RISK 2: "Simple. Transparent. Aligned." as an H2 is used in 40% of B2B SaaS copy. Search engines that have indexed this phrase in thousands of other contexts will not give it topical authority. Replace with a claim that is specific to SOCELLE.  ·  RISK 3: FAQ questions must match real search queries. "What does commission-only actually mean?" matches how a skeptical founder thinks and searches. "What is the Socelle commission model?" does not.</w:t>
            </w:r>
          </w:p>
        </w:tc>
      </w:tr>
      <w:tr>
        <w:trPr>
          <w:tblHeader w:val="false"/>
        </w:trPr>
        <w:tc>
          <w:tcPr>
            <w:tcW w:type="dxa" w:w="22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3E4C5E"/>
                <w:spacing w:val="80"/>
                <w:sz w:val="18"/>
                <w:szCs w:val="18"/>
              </w:rPr>
              <w:t xml:space="preserve">Premium-Tone Guardrails</w:t>
            </w:r>
          </w:p>
        </w:tc>
        <w:tc>
          <w:tcPr>
            <w:tcW w:type="dxa" w:w="716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No labeled problem section header. Economics headline must be a factual claim, not an adjective trio. Feature descriptions lead with the brand outcome, not the feature name. "Branded wholesale storefront" is a label. "Your catalog, your pricing, your brand presentation" is a benefit. All FAQ answers under 60 words.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
        <w:gridCol w:w="100"/>
        <w:gridCol w:w="100"/>
      </w:tblGrid>
      <w:tr>
        <w:trPr>
          <w:tblHeader w:val="false"/>
        </w:trPr>
        <w:tc>
          <w:tcPr>
            <w:tcW w:type="dxa" w:w="960"/>
            <w:tcBorders>
              <w:top w:val="single" w:color="7A4A1A" w:sz="2"/>
              <w:left w:val="single" w:color="7A4A1A" w:sz="2"/>
              <w:bottom w:val="single" w:color="7A4A1A" w:sz="2"/>
              <w:right w:val="single" w:color="7A4A1A" w:sz="2"/>
            </w:tcBorders>
            <w:shd w:fill="7A4A1A" w:val="clear"/>
            <w:tcMar>
              <w:top w:type="dxa" w:w="240"/>
              <w:left w:type="dxa" w:w="200"/>
              <w:bottom w:type="dxa" w:w="240"/>
              <w:right w:type="dxa" w:w="200"/>
            </w:tcMar>
          </w:tcPr>
          <w:p>
            <w:pPr>
              <w:spacing w:after="0" w:before="0"/>
              <w:jc w:val="center"/>
            </w:pPr>
            <w:r>
              <w:rPr>
                <w:rFonts w:ascii="Arial" w:cs="Arial" w:eastAsia="Arial" w:hAnsi="Arial"/>
                <w:b/>
                <w:bCs/>
                <w:color w:val="F5F4F2"/>
                <w:sz w:val="52"/>
                <w:szCs w:val="52"/>
              </w:rPr>
              <w:t xml:space="preserve">04</w:t>
            </w:r>
          </w:p>
          <w:p>
            <w:pPr>
              <w:spacing w:after="0" w:before="40"/>
              <w:jc w:val="center"/>
            </w:pPr>
            <w:r>
              <w:rPr>
                <w:rFonts w:ascii="Arial" w:cs="Arial" w:eastAsia="Arial" w:hAnsi="Arial"/>
                <w:b/>
                <w:bCs/>
                <w:color w:val="F5F4F2"/>
                <w:spacing w:val="80"/>
                <w:sz w:val="17"/>
                <w:szCs w:val="17"/>
              </w:rPr>
              <w:t xml:space="preserve">P2</w:t>
            </w:r>
          </w:p>
        </w:tc>
        <w:tc>
          <w:tcPr>
            <w:tcW w:type="dxa" w:w="5600"/>
            <w:tcBorders>
              <w:top w:val="single" w:color="2A3040" w:sz="2"/>
              <w:left w:val="single" w:color="2A3040" w:sz="2"/>
              <w:bottom w:val="single" w:color="2A3040" w:sz="2"/>
              <w:right w:val="single" w:color="2A3040" w:sz="2"/>
            </w:tcBorders>
            <w:shd w:fill="2A3040" w:val="clear"/>
            <w:tcMar>
              <w:top w:type="dxa" w:w="200"/>
              <w:left w:type="dxa" w:w="280"/>
              <w:bottom w:type="dxa" w:w="200"/>
              <w:right w:type="dxa" w:w="280"/>
            </w:tcMar>
          </w:tcPr>
          <w:p>
            <w:pPr>
              <w:spacing w:after="60" w:before="0"/>
            </w:pPr>
            <w:r>
              <w:rPr>
                <w:rFonts w:ascii="Arial" w:cs="Arial" w:eastAsia="Arial" w:hAnsi="Arial"/>
                <w:b/>
                <w:bCs/>
                <w:color w:val="F5F4F2"/>
                <w:sz w:val="44"/>
                <w:szCs w:val="44"/>
              </w:rPr>
              <w:t xml:space="preserve">About</w:t>
            </w:r>
          </w:p>
          <w:p>
            <w:pPr>
              <w:spacing w:after="0" w:before="0"/>
            </w:pPr>
            <w:r>
              <w:rPr>
                <w:rFonts w:ascii="Courier New" w:cs="Courier New" w:eastAsia="Courier New" w:hAnsi="Courier New"/>
                <w:color w:val="8090A8"/>
                <w:sz w:val="18"/>
                <w:szCs w:val="18"/>
              </w:rPr>
              <w:t xml:space="preserve">socelle.com/about</w:t>
            </w:r>
          </w:p>
        </w:tc>
        <w:tc>
          <w:tcPr>
            <w:tcW w:type="dxa" w:w="2800"/>
            <w:tcBorders>
              <w:top w:val="single" w:color="1E2630" w:sz="2"/>
              <w:left w:val="single" w:color="1E2630" w:sz="2"/>
              <w:bottom w:val="single" w:color="1E2630" w:sz="2"/>
              <w:right w:val="single" w:color="1E2630" w:sz="2"/>
            </w:tcBorders>
            <w:shd w:fill="1E2630" w:val="clear"/>
            <w:tcMar>
              <w:top w:type="dxa" w:w="200"/>
              <w:left w:type="dxa" w:w="200"/>
              <w:bottom w:type="dxa" w:w="200"/>
              <w:right w:type="dxa" w:w="200"/>
            </w:tcMar>
          </w:tcPr>
          <w:p>
            <w:pPr>
              <w:spacing w:after="60" w:before="0"/>
            </w:pPr>
            <w:r>
              <w:rPr>
                <w:rFonts w:ascii="Arial" w:cs="Arial" w:eastAsia="Arial" w:hAnsi="Arial"/>
                <w:b/>
                <w:bCs/>
                <w:color w:val="6E8090"/>
                <w:spacing w:val="120"/>
                <w:sz w:val="15"/>
                <w:szCs w:val="15"/>
              </w:rPr>
              <w:t xml:space="preserve">SEARCH INTENT</w:t>
            </w:r>
          </w:p>
          <w:p>
            <w:pPr>
              <w:spacing w:after="0" w:before="0"/>
            </w:pPr>
            <w:r>
              <w:rPr>
                <w:rFonts w:ascii="Arial" w:cs="Arial" w:eastAsia="Arial" w:hAnsi="Arial"/>
                <w:color w:val="D0D8E0"/>
                <w:sz w:val="19"/>
                <w:szCs w:val="19"/>
              </w:rPr>
              <w:t xml:space="preserve">Navigational + Informational — due diligence</w:t>
            </w:r>
          </w:p>
        </w:tc>
      </w:tr>
    </w:tbl>
    <w:p>
      <w:pPr>
        <w:spacing w:after="4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
        <w:gridCol w:w="100"/>
      </w:tblGrid>
      <w:tr>
        <w:trPr>
          <w:tblHeader w:val="false"/>
        </w:trPr>
        <w:tc>
          <w:tcPr>
            <w:tcW w:type="dxa" w:w="22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3E4C5E"/>
                <w:spacing w:val="80"/>
                <w:sz w:val="18"/>
                <w:szCs w:val="18"/>
              </w:rPr>
              <w:t xml:space="preserve">Page Goal</w:t>
            </w:r>
          </w:p>
        </w:tc>
        <w:tc>
          <w:tcPr>
            <w:tcW w:type="dxa" w:w="716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Build deep institutional trust. Prove the platform has intellectual conviction, not just commercial intention. Convert skeptical visitors who want to understand the WHY before they evaluate the WHAT. The About page is the brand's conscience. It must be the most intellectually honest page on the site.</w:t>
            </w:r>
          </w:p>
        </w:tc>
      </w:tr>
      <w:tr>
        <w:trPr>
          <w:tblHeader w:val="false"/>
        </w:trPr>
        <w:tc>
          <w:tcPr>
            <w:tcW w:type="dxa" w:w="22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b/>
                <w:bCs/>
                <w:color w:val="3E4C5E"/>
                <w:spacing w:val="80"/>
                <w:sz w:val="18"/>
                <w:szCs w:val="18"/>
              </w:rPr>
              <w:t xml:space="preserve">Search Intent</w:t>
            </w:r>
          </w:p>
        </w:tc>
        <w:tc>
          <w:tcPr>
            <w:tcW w:type="dxa" w:w="71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Navigational and informational. Users who have heard of Socelle and want to learn more. Brand founders doing due diligence. Press and investors. The About page does not typically rank for commercial terms — it ranks for branded and semi-branded searches. Its primary SEO job is credibility, not acquisition.</w:t>
            </w:r>
          </w:p>
        </w:tc>
      </w:tr>
      <w:tr>
        <w:trPr>
          <w:tblHeader w:val="false"/>
        </w:trPr>
        <w:tc>
          <w:tcPr>
            <w:tcW w:type="dxa" w:w="22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3E4C5E"/>
                <w:spacing w:val="80"/>
                <w:sz w:val="18"/>
                <w:szCs w:val="18"/>
              </w:rPr>
              <w:t xml:space="preserve">Primary Keyword</w:t>
            </w:r>
          </w:p>
        </w:tc>
        <w:tc>
          <w:tcPr>
            <w:tcW w:type="dxa" w:w="716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Courier New" w:cs="Courier New" w:eastAsia="Courier New" w:hAnsi="Courier New"/>
                <w:color w:val="1A3A6E"/>
                <w:sz w:val="18"/>
                <w:szCs w:val="18"/>
              </w:rPr>
              <w:t xml:space="preserve">Socelle professional beauty marketplace  ·  professional beauty marketplace platform</w:t>
            </w:r>
          </w:p>
        </w:tc>
      </w:tr>
      <w:tr>
        <w:trPr>
          <w:tblHeader w:val="false"/>
        </w:trPr>
        <w:tc>
          <w:tcPr>
            <w:tcW w:type="dxa" w:w="22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b/>
                <w:bCs/>
                <w:color w:val="3E4C5E"/>
                <w:spacing w:val="80"/>
                <w:sz w:val="18"/>
                <w:szCs w:val="18"/>
              </w:rPr>
              <w:t xml:space="preserve">Secondary Keywords</w:t>
            </w:r>
          </w:p>
        </w:tc>
        <w:tc>
          <w:tcPr>
            <w:tcW w:type="dxa" w:w="71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color w:val="1A3A6E"/>
                <w:sz w:val="18"/>
                <w:szCs w:val="18"/>
              </w:rPr>
              <w:t xml:space="preserve">professional beauty supply chain  ·  wholesale beauty platform story  ·  B2B professional beauty platform  ·  beauty industry marketplace</w:t>
            </w:r>
          </w:p>
        </w:tc>
      </w:tr>
      <w:tr>
        <w:trPr>
          <w:tblHeader w:val="false"/>
        </w:trPr>
        <w:tc>
          <w:tcPr>
            <w:tcW w:type="dxa" w:w="22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3E4C5E"/>
                <w:spacing w:val="80"/>
                <w:sz w:val="18"/>
                <w:szCs w:val="18"/>
              </w:rPr>
              <w:t xml:space="preserve">Entity Terms to Include</w:t>
            </w:r>
          </w:p>
        </w:tc>
        <w:tc>
          <w:tcPr>
            <w:tcW w:type="dxa" w:w="716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Professional beauty distribution · fragmented supply chain · brand visibility · licensed service businesses · direct ordering · wholesale marketplace · platform infrastructure · professional beauty brands · medspa operators · salon owners · education layer</w:t>
            </w:r>
          </w:p>
        </w:tc>
      </w:tr>
      <w:tr>
        <w:trPr>
          <w:tblHeader w:val="false"/>
        </w:trPr>
        <w:tc>
          <w:tcPr>
            <w:tcW w:type="dxa" w:w="22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b/>
                <w:bCs/>
                <w:color w:val="3E4C5E"/>
                <w:spacing w:val="80"/>
                <w:sz w:val="18"/>
                <w:szCs w:val="18"/>
              </w:rPr>
              <w:t xml:space="preserve">Ideal H1</w:t>
            </w:r>
          </w:p>
        </w:tc>
        <w:tc>
          <w:tcPr>
            <w:tcW w:type="dxa" w:w="7160"/>
            <w:tcBorders>
              <w:top w:val="single" w:color="C0BCBA" w:sz="2"/>
              <w:left w:val="single" w:color="C0BCBA" w:sz="2"/>
              <w:bottom w:val="single" w:color="C0BCBA" w:sz="2"/>
              <w:right w:val="single" w:color="C0BCBA" w:sz="2"/>
            </w:tcBorders>
            <w:shd w:fill="E8F0E8" w:val="clear"/>
            <w:tcMar>
              <w:top w:type="dxa" w:w="80"/>
              <w:left w:type="dxa" w:w="160"/>
              <w:bottom w:type="dxa" w:w="80"/>
              <w:right w:type="dxa" w:w="160"/>
            </w:tcMar>
          </w:tcPr>
          <w:p>
            <w:pPr>
              <w:spacing w:after="0" w:before="0"/>
            </w:pPr>
            <w:r>
              <w:rPr>
                <w:rFonts w:ascii="Arial" w:cs="Arial" w:eastAsia="Arial" w:hAnsi="Arial"/>
                <w:color w:val="1A5C2A"/>
                <w:sz w:val="18"/>
                <w:szCs w:val="18"/>
              </w:rPr>
              <w:t xml:space="preserve">The professional beauty supply chain is broken. — LOCKED. Perfect hero headline. Specific, declarative, and immediately validated by the four-problem section that follows. Do not replace. Do not soften.</w:t>
            </w:r>
          </w:p>
        </w:tc>
      </w:tr>
      <w:tr>
        <w:trPr>
          <w:tblHeader w:val="false"/>
        </w:trPr>
        <w:tc>
          <w:tcPr>
            <w:tcW w:type="dxa" w:w="22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3E4C5E"/>
                <w:spacing w:val="80"/>
                <w:sz w:val="18"/>
                <w:szCs w:val="18"/>
              </w:rPr>
              <w:t xml:space="preserve">Recommended H2 Structure</w:t>
            </w:r>
          </w:p>
        </w:tc>
        <w:tc>
          <w:tcPr>
            <w:tcW w:type="dxa" w:w="716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H2 1: Four things that should not still be true. (Problem section — unlabeled, opens directly)  ·  H2 2: What we are building. (Platform vision)  ·  H2 3: The team. → Built by people who know this industry. (Team section — Option A until bios available)  ·  H2 4: Join the platform. (Final CTA — soft, not aggressive)</w:t>
            </w:r>
          </w:p>
        </w:tc>
      </w:tr>
      <w:tr>
        <w:trPr>
          <w:tblHeader w:val="false"/>
        </w:trPr>
        <w:tc>
          <w:tcPr>
            <w:tcW w:type="dxa" w:w="22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b/>
                <w:bCs/>
                <w:color w:val="3E4C5E"/>
                <w:spacing w:val="80"/>
                <w:sz w:val="18"/>
                <w:szCs w:val="18"/>
              </w:rPr>
              <w:t xml:space="preserve">Internal Links — In / Out</w:t>
            </w:r>
          </w:p>
        </w:tc>
        <w:tc>
          <w:tcPr>
            <w:tcW w:type="dxa" w:w="71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IN: Homepage footer and nav, For Brands (brand reference), For Buyers (operator reference), press / external links.  ·  OUT: Homepage (logo), For Brands (brand path mention), For Buyers (operator path mention), Request Access (final CTA). The About page is a trust-building endpoint, not a funnel accelerator.</w:t>
            </w:r>
          </w:p>
        </w:tc>
      </w:tr>
      <w:tr>
        <w:trPr>
          <w:tblHeader w:val="false"/>
        </w:trPr>
        <w:tc>
          <w:tcPr>
            <w:tcW w:type="dxa" w:w="22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3E4C5E"/>
                <w:spacing w:val="80"/>
                <w:sz w:val="18"/>
                <w:szCs w:val="18"/>
              </w:rPr>
              <w:t xml:space="preserve">CTA Goal</w:t>
            </w:r>
          </w:p>
        </w:tc>
        <w:tc>
          <w:tcPr>
            <w:tcW w:type="dxa" w:w="716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Soft dual CTA at the close. The About page reader is more likely to be doing research than ready to apply or sign up. The CTA should feel like an invitation: "Ready to join the platform?" with sub-links to both paths rather than a single aggressive button.</w:t>
            </w:r>
          </w:p>
        </w:tc>
      </w:tr>
      <w:tr>
        <w:trPr>
          <w:tblHeader w:val="false"/>
        </w:trPr>
        <w:tc>
          <w:tcPr>
            <w:tcW w:type="dxa" w:w="22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b/>
                <w:bCs/>
                <w:color w:val="3E4C5E"/>
                <w:spacing w:val="80"/>
                <w:sz w:val="18"/>
                <w:szCs w:val="18"/>
              </w:rPr>
              <w:t xml:space="preserve">SEO Risks</w:t>
            </w:r>
          </w:p>
        </w:tc>
        <w:tc>
          <w:tcPr>
            <w:tcW w:type="dxa" w:w="7160"/>
            <w:tcBorders>
              <w:top w:val="single" w:color="C0BCBA" w:sz="2"/>
              <w:left w:val="single" w:color="C0BCBA" w:sz="2"/>
              <w:bottom w:val="single" w:color="C0BCBA" w:sz="2"/>
              <w:right w:val="single" w:color="C0BCBA" w:sz="2"/>
            </w:tcBorders>
            <w:shd w:fill="FFF4E8" w:val="clear"/>
            <w:tcMar>
              <w:top w:type="dxa" w:w="80"/>
              <w:left w:type="dxa" w:w="160"/>
              <w:bottom w:type="dxa" w:w="80"/>
              <w:right w:type="dxa" w:w="160"/>
            </w:tcMar>
          </w:tcPr>
          <w:p>
            <w:pPr>
              <w:spacing w:after="0" w:before="0"/>
            </w:pPr>
            <w:r>
              <w:rPr>
                <w:rFonts w:ascii="Arial" w:cs="Arial" w:eastAsia="Arial" w:hAnsi="Arial"/>
                <w:color w:val="7A4A1A"/>
                <w:sz w:val="18"/>
                <w:szCs w:val="18"/>
              </w:rPr>
              <w:t xml:space="preserve">RISK 1: About pages rarely rank for high-volume commercial terms. Optimising aggressively for commercial keywords on this page wastes effort. Focus on branded and semi-branded terms. The SEO value of this page comes from institutional credibility, not keyword traffic.  ·  RISK 2: If the team section remains a placeholder indefinitely, the page has low unique content value. Either publish the Option A placeholder (no bios) or leave the section minimal. Do not leave visible "coming soon" copy on a live page.  ·  RISK 3: "The sequence is intentional" is defensive phrasing that reads like the brand anticipates being challenged. Remove it. State the sequence without defending it.</w:t>
            </w:r>
          </w:p>
        </w:tc>
      </w:tr>
      <w:tr>
        <w:trPr>
          <w:tblHeader w:val="false"/>
        </w:trPr>
        <w:tc>
          <w:tcPr>
            <w:tcW w:type="dxa" w:w="22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3E4C5E"/>
                <w:spacing w:val="80"/>
                <w:sz w:val="18"/>
                <w:szCs w:val="18"/>
              </w:rPr>
              <w:t xml:space="preserve">Premium-Tone Guardrails</w:t>
            </w:r>
          </w:p>
        </w:tc>
        <w:tc>
          <w:tcPr>
            <w:tcW w:type="dxa" w:w="7160"/>
            <w:tcBorders>
              <w:top w:val="single" w:color="C0BCBA" w:sz="2"/>
              <w:left w:val="single" w:color="C0BCBA" w:sz="2"/>
              <w:bottom w:val="single" w:color="C0BCBA" w:sz="2"/>
              <w:right w:val="single" w:color="C0BCBA" w:sz="2"/>
            </w:tcBorders>
            <w:shd w:fill="E8F0E8" w:val="clear"/>
            <w:tcMar>
              <w:top w:type="dxa" w:w="80"/>
              <w:left w:type="dxa" w:w="160"/>
              <w:bottom w:type="dxa" w:w="80"/>
              <w:right w:type="dxa" w:w="160"/>
            </w:tcMar>
          </w:tcPr>
          <w:p>
            <w:pPr>
              <w:spacing w:after="0" w:before="0"/>
            </w:pPr>
            <w:r>
              <w:rPr>
                <w:rFonts w:ascii="Arial" w:cs="Arial" w:eastAsia="Arial" w:hAnsi="Arial"/>
                <w:color w:val="1A5C2A"/>
                <w:sz w:val="18"/>
                <w:szCs w:val="18"/>
              </w:rPr>
              <w:t xml:space="preserve">Four-problem argument structure is locked. Hero headline is locked. Do not summarise the four problems into one sentence. Confident brands do not justify their strategic sequence — they state it. "We build the commerce layer first because everything else depends on the commerce relationship" is sufficient. "The sequence is intentional" is the sentence to remove.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
        <w:gridCol w:w="100"/>
        <w:gridCol w:w="100"/>
      </w:tblGrid>
      <w:tr>
        <w:trPr>
          <w:tblHeader w:val="false"/>
        </w:trPr>
        <w:tc>
          <w:tcPr>
            <w:tcW w:type="dxa" w:w="960"/>
            <w:tcBorders>
              <w:top w:val="single" w:color="7A4A1A" w:sz="2"/>
              <w:left w:val="single" w:color="7A4A1A" w:sz="2"/>
              <w:bottom w:val="single" w:color="7A4A1A" w:sz="2"/>
              <w:right w:val="single" w:color="7A4A1A" w:sz="2"/>
            </w:tcBorders>
            <w:shd w:fill="7A4A1A" w:val="clear"/>
            <w:tcMar>
              <w:top w:type="dxa" w:w="240"/>
              <w:left w:type="dxa" w:w="200"/>
              <w:bottom w:type="dxa" w:w="240"/>
              <w:right w:type="dxa" w:w="200"/>
            </w:tcMar>
          </w:tcPr>
          <w:p>
            <w:pPr>
              <w:spacing w:after="0" w:before="0"/>
              <w:jc w:val="center"/>
            </w:pPr>
            <w:r>
              <w:rPr>
                <w:rFonts w:ascii="Arial" w:cs="Arial" w:eastAsia="Arial" w:hAnsi="Arial"/>
                <w:b/>
                <w:bCs/>
                <w:color w:val="F5F4F2"/>
                <w:sz w:val="52"/>
                <w:szCs w:val="52"/>
              </w:rPr>
              <w:t xml:space="preserve">05</w:t>
            </w:r>
          </w:p>
          <w:p>
            <w:pPr>
              <w:spacing w:after="0" w:before="40"/>
              <w:jc w:val="center"/>
            </w:pPr>
            <w:r>
              <w:rPr>
                <w:rFonts w:ascii="Arial" w:cs="Arial" w:eastAsia="Arial" w:hAnsi="Arial"/>
                <w:b/>
                <w:bCs/>
                <w:color w:val="F5F4F2"/>
                <w:spacing w:val="80"/>
                <w:sz w:val="17"/>
                <w:szCs w:val="17"/>
              </w:rPr>
              <w:t xml:space="preserve">P2</w:t>
            </w:r>
          </w:p>
        </w:tc>
        <w:tc>
          <w:tcPr>
            <w:tcW w:type="dxa" w:w="5600"/>
            <w:tcBorders>
              <w:top w:val="single" w:color="2A3040" w:sz="2"/>
              <w:left w:val="single" w:color="2A3040" w:sz="2"/>
              <w:bottom w:val="single" w:color="2A3040" w:sz="2"/>
              <w:right w:val="single" w:color="2A3040" w:sz="2"/>
            </w:tcBorders>
            <w:shd w:fill="2A3040" w:val="clear"/>
            <w:tcMar>
              <w:top w:type="dxa" w:w="200"/>
              <w:left w:type="dxa" w:w="280"/>
              <w:bottom w:type="dxa" w:w="200"/>
              <w:right w:type="dxa" w:w="280"/>
            </w:tcMar>
          </w:tcPr>
          <w:p>
            <w:pPr>
              <w:spacing w:after="60" w:before="0"/>
            </w:pPr>
            <w:r>
              <w:rPr>
                <w:rFonts w:ascii="Arial" w:cs="Arial" w:eastAsia="Arial" w:hAnsi="Arial"/>
                <w:b/>
                <w:bCs/>
                <w:color w:val="F5F4F2"/>
                <w:sz w:val="44"/>
                <w:szCs w:val="44"/>
              </w:rPr>
              <w:t xml:space="preserve">How It Works</w:t>
            </w:r>
          </w:p>
          <w:p>
            <w:pPr>
              <w:spacing w:after="0" w:before="0"/>
            </w:pPr>
            <w:r>
              <w:rPr>
                <w:rFonts w:ascii="Courier New" w:cs="Courier New" w:eastAsia="Courier New" w:hAnsi="Courier New"/>
                <w:color w:val="8090A8"/>
                <w:sz w:val="18"/>
                <w:szCs w:val="18"/>
              </w:rPr>
              <w:t xml:space="preserve">socelle.com/how-it-works</w:t>
            </w:r>
          </w:p>
        </w:tc>
        <w:tc>
          <w:tcPr>
            <w:tcW w:type="dxa" w:w="2800"/>
            <w:tcBorders>
              <w:top w:val="single" w:color="1E2630" w:sz="2"/>
              <w:left w:val="single" w:color="1E2630" w:sz="2"/>
              <w:bottom w:val="single" w:color="1E2630" w:sz="2"/>
              <w:right w:val="single" w:color="1E2630" w:sz="2"/>
            </w:tcBorders>
            <w:shd w:fill="1E2630" w:val="clear"/>
            <w:tcMar>
              <w:top w:type="dxa" w:w="200"/>
              <w:left w:type="dxa" w:w="200"/>
              <w:bottom w:type="dxa" w:w="200"/>
              <w:right w:type="dxa" w:w="200"/>
            </w:tcMar>
          </w:tcPr>
          <w:p>
            <w:pPr>
              <w:spacing w:after="60" w:before="0"/>
            </w:pPr>
            <w:r>
              <w:rPr>
                <w:rFonts w:ascii="Arial" w:cs="Arial" w:eastAsia="Arial" w:hAnsi="Arial"/>
                <w:b/>
                <w:bCs/>
                <w:color w:val="6E8090"/>
                <w:spacing w:val="120"/>
                <w:sz w:val="15"/>
                <w:szCs w:val="15"/>
              </w:rPr>
              <w:t xml:space="preserve">SEARCH INTENT</w:t>
            </w:r>
          </w:p>
          <w:p>
            <w:pPr>
              <w:spacing w:after="0" w:before="0"/>
            </w:pPr>
            <w:r>
              <w:rPr>
                <w:rFonts w:ascii="Arial" w:cs="Arial" w:eastAsia="Arial" w:hAnsi="Arial"/>
                <w:color w:val="D0D8E0"/>
                <w:sz w:val="19"/>
                <w:szCs w:val="19"/>
              </w:rPr>
              <w:t xml:space="preserve">Informational — warm return traffic</w:t>
            </w:r>
          </w:p>
        </w:tc>
      </w:tr>
    </w:tbl>
    <w:p>
      <w:pPr>
        <w:spacing w:after="4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
        <w:gridCol w:w="100"/>
      </w:tblGrid>
      <w:tr>
        <w:trPr>
          <w:tblHeader w:val="false"/>
        </w:trPr>
        <w:tc>
          <w:tcPr>
            <w:tcW w:type="dxa" w:w="22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3E4C5E"/>
                <w:spacing w:val="80"/>
                <w:sz w:val="18"/>
                <w:szCs w:val="18"/>
              </w:rPr>
              <w:t xml:space="preserve">Page Goal</w:t>
            </w:r>
          </w:p>
        </w:tc>
        <w:tc>
          <w:tcPr>
            <w:tcW w:type="dxa" w:w="716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Reduce friction for warm return traffic and referral visits. Explain the platform mechanics for both sides in clear, step-based language without over-simplifying. Add the Intelligence Hub as a fourth value layer that operators discover here, not just on the IH teaser page.</w:t>
            </w:r>
          </w:p>
        </w:tc>
      </w:tr>
      <w:tr>
        <w:trPr>
          <w:tblHeader w:val="false"/>
        </w:trPr>
        <w:tc>
          <w:tcPr>
            <w:tcW w:type="dxa" w:w="22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b/>
                <w:bCs/>
                <w:color w:val="3E4C5E"/>
                <w:spacing w:val="80"/>
                <w:sz w:val="18"/>
                <w:szCs w:val="18"/>
              </w:rPr>
              <w:t xml:space="preserve">Search Intent</w:t>
            </w:r>
          </w:p>
        </w:tc>
        <w:tc>
          <w:tcPr>
            <w:tcW w:type="dxa" w:w="71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Informational. Users who have seen the homepage or been referred and want to understand the process before committing. They are not yet convinced. This page must convince them the platform is not operationally complex and that both sides get genuine value.</w:t>
            </w:r>
          </w:p>
        </w:tc>
      </w:tr>
      <w:tr>
        <w:trPr>
          <w:tblHeader w:val="false"/>
        </w:trPr>
        <w:tc>
          <w:tcPr>
            <w:tcW w:type="dxa" w:w="22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3E4C5E"/>
                <w:spacing w:val="80"/>
                <w:sz w:val="18"/>
                <w:szCs w:val="18"/>
              </w:rPr>
              <w:t xml:space="preserve">Primary Keyword</w:t>
            </w:r>
          </w:p>
        </w:tc>
        <w:tc>
          <w:tcPr>
            <w:tcW w:type="dxa" w:w="716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Courier New" w:cs="Courier New" w:eastAsia="Courier New" w:hAnsi="Courier New"/>
                <w:color w:val="1A3A6E"/>
                <w:sz w:val="18"/>
                <w:szCs w:val="18"/>
              </w:rPr>
              <w:t xml:space="preserve">how professional beauty wholesale works  ·  professional beauty marketplace guide</w:t>
            </w:r>
          </w:p>
        </w:tc>
      </w:tr>
      <w:tr>
        <w:trPr>
          <w:tblHeader w:val="false"/>
        </w:trPr>
        <w:tc>
          <w:tcPr>
            <w:tcW w:type="dxa" w:w="22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b/>
                <w:bCs/>
                <w:color w:val="3E4C5E"/>
                <w:spacing w:val="80"/>
                <w:sz w:val="18"/>
                <w:szCs w:val="18"/>
              </w:rPr>
              <w:t xml:space="preserve">Secondary Keywords</w:t>
            </w:r>
          </w:p>
        </w:tc>
        <w:tc>
          <w:tcPr>
            <w:tcW w:type="dxa" w:w="71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color w:val="1A3A6E"/>
                <w:sz w:val="18"/>
                <w:szCs w:val="18"/>
              </w:rPr>
              <w:t xml:space="preserve">wholesale ordering professional beauty brands  ·  B2B beauty platform process  ·  how to order wholesale beauty products salon  ·  professional beauty brand storefront setup</w:t>
            </w:r>
          </w:p>
        </w:tc>
      </w:tr>
      <w:tr>
        <w:trPr>
          <w:tblHeader w:val="false"/>
        </w:trPr>
        <w:tc>
          <w:tcPr>
            <w:tcW w:type="dxa" w:w="22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3E4C5E"/>
                <w:spacing w:val="80"/>
                <w:sz w:val="18"/>
                <w:szCs w:val="18"/>
              </w:rPr>
              <w:t xml:space="preserve">Entity Terms to Include</w:t>
            </w:r>
          </w:p>
        </w:tc>
        <w:tc>
          <w:tcPr>
            <w:tcW w:type="dxa" w:w="716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Brand application · storefront setup · catalog management · tier pricing configuration · licensed professional verification · multi-brand checkout · order fulfillment · direct messaging · Intelligence Hub · purchasing benchmarks · reorder in seconds</w:t>
            </w:r>
          </w:p>
        </w:tc>
      </w:tr>
      <w:tr>
        <w:trPr>
          <w:tblHeader w:val="false"/>
        </w:trPr>
        <w:tc>
          <w:tcPr>
            <w:tcW w:type="dxa" w:w="22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b/>
                <w:bCs/>
                <w:color w:val="3E4C5E"/>
                <w:spacing w:val="80"/>
                <w:sz w:val="18"/>
                <w:szCs w:val="18"/>
              </w:rPr>
              <w:t xml:space="preserve">Ideal H1</w:t>
            </w:r>
          </w:p>
        </w:tc>
        <w:tc>
          <w:tcPr>
            <w:tcW w:type="dxa" w:w="71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Wholesale that works for both sides. — States the competitive advantage (works for both sides) in the headline. Contains "wholesale" naturally. Under 8 words. Alternative: "How professional beauty wholesale should work." Tests the aspirational framing.</w:t>
            </w:r>
          </w:p>
        </w:tc>
      </w:tr>
      <w:tr>
        <w:trPr>
          <w:tblHeader w:val="false"/>
        </w:trPr>
        <w:tc>
          <w:tcPr>
            <w:tcW w:type="dxa" w:w="22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3E4C5E"/>
                <w:spacing w:val="80"/>
                <w:sz w:val="18"/>
                <w:szCs w:val="18"/>
              </w:rPr>
              <w:t xml:space="preserve">Recommended H2 Structure</w:t>
            </w:r>
          </w:p>
        </w:tc>
        <w:tc>
          <w:tcPr>
            <w:tcW w:type="dxa" w:w="716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H2 1: For professional brands (brand process section)  ·  H2 2: 01 Apply and launch your storefront.  ·  02 Set your pricing and catalog.  ·  03 Receive orders directly.  ·  H2 3: For licensed professionals (operator process section)  ·  H2 4: 01 Create your free account.  ·  02 Browse and order from verified brands.  ·  03 Reorder in seconds.  ·  H2 5: The Intelligence Hub. (fourth value layer — brief, links to IH teaser)  ·  H2 6: Get started. (Final CTA — dual split)</w:t>
            </w:r>
          </w:p>
        </w:tc>
      </w:tr>
      <w:tr>
        <w:trPr>
          <w:tblHeader w:val="false"/>
        </w:trPr>
        <w:tc>
          <w:tcPr>
            <w:tcW w:type="dxa" w:w="22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b/>
                <w:bCs/>
                <w:color w:val="3E4C5E"/>
                <w:spacing w:val="80"/>
                <w:sz w:val="18"/>
                <w:szCs w:val="18"/>
              </w:rPr>
              <w:t xml:space="preserve">Internal Links — In / Out</w:t>
            </w:r>
          </w:p>
        </w:tc>
        <w:tc>
          <w:tcPr>
            <w:tcW w:type="dxa" w:w="71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IN: Homepage How It Works section anchor link, For Brands process reference, For Buyers process reference, Nav.  ·  OUT: For Brands (brand CTA), For Buyers (operator CTA), Request Access (final CTA), IH Teaser (from IH section).</w:t>
            </w:r>
          </w:p>
        </w:tc>
      </w:tr>
      <w:tr>
        <w:trPr>
          <w:tblHeader w:val="false"/>
        </w:trPr>
        <w:tc>
          <w:tcPr>
            <w:tcW w:type="dxa" w:w="22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3E4C5E"/>
                <w:spacing w:val="80"/>
                <w:sz w:val="18"/>
                <w:szCs w:val="18"/>
              </w:rPr>
              <w:t xml:space="preserve">CTA Goal</w:t>
            </w:r>
          </w:p>
        </w:tc>
        <w:tc>
          <w:tcPr>
            <w:tcW w:type="dxa" w:w="716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Dual split at close. Brand path: "Apply now" → /brand/apply. Operator path: "Create free account" → /portal/signup. The page should feel like it removes the last reason not to sign up. Close with the zero-friction offer.</w:t>
            </w:r>
          </w:p>
        </w:tc>
      </w:tr>
      <w:tr>
        <w:trPr>
          <w:tblHeader w:val="false"/>
        </w:trPr>
        <w:tc>
          <w:tcPr>
            <w:tcW w:type="dxa" w:w="22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b/>
                <w:bCs/>
                <w:color w:val="3E4C5E"/>
                <w:spacing w:val="80"/>
                <w:sz w:val="18"/>
                <w:szCs w:val="18"/>
              </w:rPr>
              <w:t xml:space="preserve">SEO Risks</w:t>
            </w:r>
          </w:p>
        </w:tc>
        <w:tc>
          <w:tcPr>
            <w:tcW w:type="dxa" w:w="7160"/>
            <w:tcBorders>
              <w:top w:val="single" w:color="C0BCBA" w:sz="2"/>
              <w:left w:val="single" w:color="C0BCBA" w:sz="2"/>
              <w:bottom w:val="single" w:color="C0BCBA" w:sz="2"/>
              <w:right w:val="single" w:color="C0BCBA" w:sz="2"/>
            </w:tcBorders>
            <w:shd w:fill="FFF4E8" w:val="clear"/>
            <w:tcMar>
              <w:top w:type="dxa" w:w="80"/>
              <w:left w:type="dxa" w:w="160"/>
              <w:bottom w:type="dxa" w:w="80"/>
              <w:right w:type="dxa" w:w="160"/>
            </w:tcMar>
          </w:tcPr>
          <w:p>
            <w:pPr>
              <w:spacing w:after="0" w:before="0"/>
            </w:pPr>
            <w:r>
              <w:rPr>
                <w:rFonts w:ascii="Arial" w:cs="Arial" w:eastAsia="Arial" w:hAnsi="Arial"/>
                <w:color w:val="7A4A1A"/>
                <w:sz w:val="18"/>
                <w:szCs w:val="18"/>
              </w:rPr>
              <w:t xml:space="preserve">RISK 1: The How It Works page duplicates sections of the Homepage. Ensure unique content that expands beyond what is on the homepage. Each section should be more detailed than its homepage equivalent, not identical.  ·  RISK 2: Informational pages have high bounce rates when they do not connect to a conversion action at the end. The dual CTA at close is critical to keeping users on the conversion path.  ·  RISK 3: FAQ sections added to this page (to capture question-format search queries) can create duplicate content with the standalone FAQ page. Use this page for process questions only. Direct complex objection questions to the FAQ page.</w:t>
            </w:r>
          </w:p>
        </w:tc>
      </w:tr>
      <w:tr>
        <w:trPr>
          <w:tblHeader w:val="false"/>
        </w:trPr>
        <w:tc>
          <w:tcPr>
            <w:tcW w:type="dxa" w:w="22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3E4C5E"/>
                <w:spacing w:val="80"/>
                <w:sz w:val="18"/>
                <w:szCs w:val="18"/>
              </w:rPr>
              <w:t xml:space="preserve">Premium-Tone Guardrails</w:t>
            </w:r>
          </w:p>
        </w:tc>
        <w:tc>
          <w:tcPr>
            <w:tcW w:type="dxa" w:w="716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Steps should have a supporting sentence each — not just a label. "01 Apply" is a label. "01 Apply. Professional brands apply and get reviewed. Most storefronts are live within 3 to 5 days." is a complete step. The IH section on this page is a teaser, not a full IH description — it should create curiosity and link to the IH teaser page.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
        <w:gridCol w:w="100"/>
        <w:gridCol w:w="100"/>
      </w:tblGrid>
      <w:tr>
        <w:trPr>
          <w:tblHeader w:val="false"/>
        </w:trPr>
        <w:tc>
          <w:tcPr>
            <w:tcW w:type="dxa" w:w="960"/>
            <w:tcBorders>
              <w:top w:val="single" w:color="A32828" w:sz="2"/>
              <w:left w:val="single" w:color="A32828" w:sz="2"/>
              <w:bottom w:val="single" w:color="A32828" w:sz="2"/>
              <w:right w:val="single" w:color="A32828" w:sz="2"/>
            </w:tcBorders>
            <w:shd w:fill="A32828" w:val="clear"/>
            <w:tcMar>
              <w:top w:type="dxa" w:w="240"/>
              <w:left w:type="dxa" w:w="200"/>
              <w:bottom w:type="dxa" w:w="240"/>
              <w:right w:type="dxa" w:w="200"/>
            </w:tcMar>
          </w:tcPr>
          <w:p>
            <w:pPr>
              <w:spacing w:after="0" w:before="0"/>
              <w:jc w:val="center"/>
            </w:pPr>
            <w:r>
              <w:rPr>
                <w:rFonts w:ascii="Arial" w:cs="Arial" w:eastAsia="Arial" w:hAnsi="Arial"/>
                <w:b/>
                <w:bCs/>
                <w:color w:val="F5F4F2"/>
                <w:sz w:val="52"/>
                <w:szCs w:val="52"/>
              </w:rPr>
              <w:t xml:space="preserve">06</w:t>
            </w:r>
          </w:p>
          <w:p>
            <w:pPr>
              <w:spacing w:after="0" w:before="40"/>
              <w:jc w:val="center"/>
            </w:pPr>
            <w:r>
              <w:rPr>
                <w:rFonts w:ascii="Arial" w:cs="Arial" w:eastAsia="Arial" w:hAnsi="Arial"/>
                <w:b/>
                <w:bCs/>
                <w:color w:val="F5F4F2"/>
                <w:spacing w:val="80"/>
                <w:sz w:val="17"/>
                <w:szCs w:val="17"/>
              </w:rPr>
              <w:t xml:space="preserve">P1</w:t>
            </w:r>
          </w:p>
        </w:tc>
        <w:tc>
          <w:tcPr>
            <w:tcW w:type="dxa" w:w="5600"/>
            <w:tcBorders>
              <w:top w:val="single" w:color="2A3040" w:sz="2"/>
              <w:left w:val="single" w:color="2A3040" w:sz="2"/>
              <w:bottom w:val="single" w:color="2A3040" w:sz="2"/>
              <w:right w:val="single" w:color="2A3040" w:sz="2"/>
            </w:tcBorders>
            <w:shd w:fill="2A3040" w:val="clear"/>
            <w:tcMar>
              <w:top w:type="dxa" w:w="200"/>
              <w:left w:type="dxa" w:w="280"/>
              <w:bottom w:type="dxa" w:w="200"/>
              <w:right w:type="dxa" w:w="280"/>
            </w:tcMar>
          </w:tcPr>
          <w:p>
            <w:pPr>
              <w:spacing w:after="60" w:before="0"/>
            </w:pPr>
            <w:r>
              <w:rPr>
                <w:rFonts w:ascii="Arial" w:cs="Arial" w:eastAsia="Arial" w:hAnsi="Arial"/>
                <w:b/>
                <w:bCs/>
                <w:color w:val="F5F4F2"/>
                <w:sz w:val="44"/>
                <w:szCs w:val="44"/>
              </w:rPr>
              <w:t xml:space="preserve">Request Access</w:t>
            </w:r>
          </w:p>
          <w:p>
            <w:pPr>
              <w:spacing w:after="0" w:before="0"/>
            </w:pPr>
            <w:r>
              <w:rPr>
                <w:rFonts w:ascii="Courier New" w:cs="Courier New" w:eastAsia="Courier New" w:hAnsi="Courier New"/>
                <w:color w:val="8090A8"/>
                <w:sz w:val="18"/>
                <w:szCs w:val="18"/>
              </w:rPr>
              <w:t xml:space="preserve">socelle.com/request-access</w:t>
            </w:r>
          </w:p>
        </w:tc>
        <w:tc>
          <w:tcPr>
            <w:tcW w:type="dxa" w:w="2800"/>
            <w:tcBorders>
              <w:top w:val="single" w:color="1E2630" w:sz="2"/>
              <w:left w:val="single" w:color="1E2630" w:sz="2"/>
              <w:bottom w:val="single" w:color="1E2630" w:sz="2"/>
              <w:right w:val="single" w:color="1E2630" w:sz="2"/>
            </w:tcBorders>
            <w:shd w:fill="1E2630" w:val="clear"/>
            <w:tcMar>
              <w:top w:type="dxa" w:w="200"/>
              <w:left w:type="dxa" w:w="200"/>
              <w:bottom w:type="dxa" w:w="200"/>
              <w:right w:type="dxa" w:w="200"/>
            </w:tcMar>
          </w:tcPr>
          <w:p>
            <w:pPr>
              <w:spacing w:after="60" w:before="0"/>
            </w:pPr>
            <w:r>
              <w:rPr>
                <w:rFonts w:ascii="Arial" w:cs="Arial" w:eastAsia="Arial" w:hAnsi="Arial"/>
                <w:b/>
                <w:bCs/>
                <w:color w:val="6E8090"/>
                <w:spacing w:val="120"/>
                <w:sz w:val="15"/>
                <w:szCs w:val="15"/>
              </w:rPr>
              <w:t xml:space="preserve">SEARCH INTENT</w:t>
            </w:r>
          </w:p>
          <w:p>
            <w:pPr>
              <w:spacing w:after="0" w:before="0"/>
            </w:pPr>
            <w:r>
              <w:rPr>
                <w:rFonts w:ascii="Arial" w:cs="Arial" w:eastAsia="Arial" w:hAnsi="Arial"/>
                <w:color w:val="D0D8E0"/>
                <w:sz w:val="19"/>
                <w:szCs w:val="19"/>
              </w:rPr>
              <w:t xml:space="preserve">Transactional — ready-to-convert</w:t>
            </w:r>
          </w:p>
        </w:tc>
      </w:tr>
    </w:tbl>
    <w:p>
      <w:pPr>
        <w:spacing w:after="4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
        <w:gridCol w:w="100"/>
      </w:tblGrid>
      <w:tr>
        <w:trPr>
          <w:tblHeader w:val="false"/>
        </w:trPr>
        <w:tc>
          <w:tcPr>
            <w:tcW w:type="dxa" w:w="22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3E4C5E"/>
                <w:spacing w:val="80"/>
                <w:sz w:val="18"/>
                <w:szCs w:val="18"/>
              </w:rPr>
              <w:t xml:space="preserve">Page Goal</w:t>
            </w:r>
          </w:p>
        </w:tc>
        <w:tc>
          <w:tcPr>
            <w:tcW w:type="dxa" w:w="716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Convert. This is the endpoint of every CTA on the site. Both audiences arrive here with intent to act. Remove every possible reason to leave without completing their path. This is not a form page — it is a conversion page that contains a form.</w:t>
            </w:r>
          </w:p>
        </w:tc>
      </w:tr>
      <w:tr>
        <w:trPr>
          <w:tblHeader w:val="false"/>
        </w:trPr>
        <w:tc>
          <w:tcPr>
            <w:tcW w:type="dxa" w:w="22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b/>
                <w:bCs/>
                <w:color w:val="3E4C5E"/>
                <w:spacing w:val="80"/>
                <w:sz w:val="18"/>
                <w:szCs w:val="18"/>
              </w:rPr>
              <w:t xml:space="preserve">Search Intent</w:t>
            </w:r>
          </w:p>
        </w:tc>
        <w:tc>
          <w:tcPr>
            <w:tcW w:type="dxa" w:w="71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Transactional. The highest-intent page on the site. Users who arrive here from internal CTAs are ready to apply or sign up. Users who arrive from organic search are looking for direct access to the platform. Every element of this page should reduce friction, not add steps.</w:t>
            </w:r>
          </w:p>
        </w:tc>
      </w:tr>
      <w:tr>
        <w:trPr>
          <w:tblHeader w:val="false"/>
        </w:trPr>
        <w:tc>
          <w:tcPr>
            <w:tcW w:type="dxa" w:w="22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3E4C5E"/>
                <w:spacing w:val="80"/>
                <w:sz w:val="18"/>
                <w:szCs w:val="18"/>
              </w:rPr>
              <w:t xml:space="preserve">Primary Keyword</w:t>
            </w:r>
          </w:p>
        </w:tc>
        <w:tc>
          <w:tcPr>
            <w:tcW w:type="dxa" w:w="716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Courier New" w:cs="Courier New" w:eastAsia="Courier New" w:hAnsi="Courier New"/>
                <w:color w:val="1A3A6E"/>
                <w:sz w:val="18"/>
                <w:szCs w:val="18"/>
              </w:rPr>
              <w:t xml:space="preserve">join professional beauty marketplace  ·  professional beauty wholesale application</w:t>
            </w:r>
          </w:p>
        </w:tc>
      </w:tr>
      <w:tr>
        <w:trPr>
          <w:tblHeader w:val="false"/>
        </w:trPr>
        <w:tc>
          <w:tcPr>
            <w:tcW w:type="dxa" w:w="22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b/>
                <w:bCs/>
                <w:color w:val="3E4C5E"/>
                <w:spacing w:val="80"/>
                <w:sz w:val="18"/>
                <w:szCs w:val="18"/>
              </w:rPr>
              <w:t xml:space="preserve">Secondary Keywords</w:t>
            </w:r>
          </w:p>
        </w:tc>
        <w:tc>
          <w:tcPr>
            <w:tcW w:type="dxa" w:w="71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color w:val="1A3A6E"/>
                <w:sz w:val="18"/>
                <w:szCs w:val="18"/>
              </w:rPr>
              <w:t xml:space="preserve">apply beauty brand wholesale platform  ·  salon wholesale account signup  ·  medspa wholesale beauty account  ·  beauty brand distribution application  ·  Socelle apply</w:t>
            </w:r>
          </w:p>
        </w:tc>
      </w:tr>
      <w:tr>
        <w:trPr>
          <w:tblHeader w:val="false"/>
        </w:trPr>
        <w:tc>
          <w:tcPr>
            <w:tcW w:type="dxa" w:w="22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3E4C5E"/>
                <w:spacing w:val="80"/>
                <w:sz w:val="18"/>
                <w:szCs w:val="18"/>
              </w:rPr>
              <w:t xml:space="preserve">Entity Terms to Include</w:t>
            </w:r>
          </w:p>
        </w:tc>
        <w:tc>
          <w:tcPr>
            <w:tcW w:type="dxa" w:w="716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Brand application · professional verification · licensed business · wholesale account · commission-only · free account creation · reviewed within 48 hours · no monthly fee · licensed service business</w:t>
            </w:r>
          </w:p>
        </w:tc>
      </w:tr>
      <w:tr>
        <w:trPr>
          <w:tblHeader w:val="false"/>
        </w:trPr>
        <w:tc>
          <w:tcPr>
            <w:tcW w:type="dxa" w:w="22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b/>
                <w:bCs/>
                <w:color w:val="3E4C5E"/>
                <w:spacing w:val="80"/>
                <w:sz w:val="18"/>
                <w:szCs w:val="18"/>
              </w:rPr>
              <w:t xml:space="preserve">Ideal H1</w:t>
            </w:r>
          </w:p>
        </w:tc>
        <w:tc>
          <w:tcPr>
            <w:tcW w:type="dxa" w:w="71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Join the professional beauty marketplace. — Clear, transactional, keyword-present. Alternative: "Your place in the professional beauty supply chain." Tests the belonging / membership framing. Both are strong. H1 selection should be the first Gate G2 / G3 copy decision.</w:t>
            </w:r>
          </w:p>
        </w:tc>
      </w:tr>
      <w:tr>
        <w:trPr>
          <w:tblHeader w:val="false"/>
        </w:trPr>
        <w:tc>
          <w:tcPr>
            <w:tcW w:type="dxa" w:w="22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3E4C5E"/>
                <w:spacing w:val="80"/>
                <w:sz w:val="18"/>
                <w:szCs w:val="18"/>
              </w:rPr>
              <w:t xml:space="preserve">Recommended H2 Structure</w:t>
            </w:r>
          </w:p>
        </w:tc>
        <w:tc>
          <w:tcPr>
            <w:tcW w:type="dxa" w:w="716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H2 1: For professional brands. Apply to list your brand. (brand section)  ·  H2 2: For licensed professionals. Create your free account. (operator section)  ·  H2 3: What to expect. (trust section: 48-hour review, no fee until you sell, licensed-only platform)</w:t>
            </w:r>
          </w:p>
        </w:tc>
      </w:tr>
      <w:tr>
        <w:trPr>
          <w:tblHeader w:val="false"/>
        </w:trPr>
        <w:tc>
          <w:tcPr>
            <w:tcW w:type="dxa" w:w="22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b/>
                <w:bCs/>
                <w:color w:val="3E4C5E"/>
                <w:spacing w:val="80"/>
                <w:sz w:val="18"/>
                <w:szCs w:val="18"/>
              </w:rPr>
              <w:t xml:space="preserve">Internal Links — In / Out</w:t>
            </w:r>
          </w:p>
        </w:tc>
        <w:tc>
          <w:tcPr>
            <w:tcW w:type="dxa" w:w="71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IN: Every CTA on every page of the site. This is the terminal conversion page.  ·  OUT: /brand/apply (brand form), /portal/signup (operator signup). No outbound links to content pages — this page keeps users on the conversion path only.</w:t>
            </w:r>
          </w:p>
        </w:tc>
      </w:tr>
      <w:tr>
        <w:trPr>
          <w:tblHeader w:val="false"/>
        </w:trPr>
        <w:tc>
          <w:tcPr>
            <w:tcW w:type="dxa" w:w="22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3E4C5E"/>
                <w:spacing w:val="80"/>
                <w:sz w:val="18"/>
                <w:szCs w:val="18"/>
              </w:rPr>
              <w:t xml:space="preserve">CTA Goal</w:t>
            </w:r>
          </w:p>
        </w:tc>
        <w:tc>
          <w:tcPr>
            <w:tcW w:type="dxa" w:w="716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Dual CTA split. Brand: "Apply now" → /brand/apply (form). Operator: "Create free account" → /portal/signup. Below each CTA, a trust bar: brand ("No monthly fee · Commission-only · Reviewed within 48 hours"), operator ("Free forever · No credit card · Licensed businesses only"). The trust bars do the selling that the CTAs cannot.</w:t>
            </w:r>
          </w:p>
        </w:tc>
      </w:tr>
      <w:tr>
        <w:trPr>
          <w:tblHeader w:val="false"/>
        </w:trPr>
        <w:tc>
          <w:tcPr>
            <w:tcW w:type="dxa" w:w="22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b/>
                <w:bCs/>
                <w:color w:val="3E4C5E"/>
                <w:spacing w:val="80"/>
                <w:sz w:val="18"/>
                <w:szCs w:val="18"/>
              </w:rPr>
              <w:t xml:space="preserve">SEO Risks</w:t>
            </w:r>
          </w:p>
        </w:tc>
        <w:tc>
          <w:tcPr>
            <w:tcW w:type="dxa" w:w="7160"/>
            <w:tcBorders>
              <w:top w:val="single" w:color="C0BCBA" w:sz="2"/>
              <w:left w:val="single" w:color="C0BCBA" w:sz="2"/>
              <w:bottom w:val="single" w:color="C0BCBA" w:sz="2"/>
              <w:right w:val="single" w:color="C0BCBA" w:sz="2"/>
            </w:tcBorders>
            <w:shd w:fill="FFF4E8" w:val="clear"/>
            <w:tcMar>
              <w:top w:type="dxa" w:w="80"/>
              <w:left w:type="dxa" w:w="160"/>
              <w:bottom w:type="dxa" w:w="80"/>
              <w:right w:type="dxa" w:w="160"/>
            </w:tcMar>
          </w:tcPr>
          <w:p>
            <w:pPr>
              <w:spacing w:after="0" w:before="0"/>
            </w:pPr>
            <w:r>
              <w:rPr>
                <w:rFonts w:ascii="Arial" w:cs="Arial" w:eastAsia="Arial" w:hAnsi="Arial"/>
                <w:color w:val="7A4A1A"/>
                <w:sz w:val="18"/>
                <w:szCs w:val="18"/>
              </w:rPr>
              <w:t xml:space="preserve">RISK 1: Conversion pages are thin by design (minimal copy). This creates a potential thin-content flag if the page has fewer than 300 words of meaningful content. The "What to expect" section and the two trust bars must provide enough entity coverage to signal page quality.  ·  RISK 2: Do not use "Book a demo" language. This is a marketplace, not a SaaS product. Demo-request framing creates a friction barrier for ready-to-convert visitors.  ·  RISK 3: Duplicate form language from the /brand/apply page can cause search engines to confusion between two pages targeting the same query. Ensure the Request Access page targets broader conversion terms; /brand/apply is the transaction-specific page.</w:t>
            </w:r>
          </w:p>
        </w:tc>
      </w:tr>
      <w:tr>
        <w:trPr>
          <w:tblHeader w:val="false"/>
        </w:trPr>
        <w:tc>
          <w:tcPr>
            <w:tcW w:type="dxa" w:w="22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3E4C5E"/>
                <w:spacing w:val="80"/>
                <w:sz w:val="18"/>
                <w:szCs w:val="18"/>
              </w:rPr>
              <w:t xml:space="preserve">Premium-Tone Guardrails</w:t>
            </w:r>
          </w:p>
        </w:tc>
        <w:tc>
          <w:tcPr>
            <w:tcW w:type="dxa" w:w="716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This page must feel like an invitation, not an intake form. The headline should communicate belonging. The CTAs should communicate zero barrier to entry. "Your place in the professional beauty supply chain" is the tone standard: confident, specific, welcoming. No "book a demo," no "schedule a call," no "our team will be in touch."</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
        <w:gridCol w:w="100"/>
        <w:gridCol w:w="100"/>
      </w:tblGrid>
      <w:tr>
        <w:trPr>
          <w:tblHeader w:val="false"/>
        </w:trPr>
        <w:tc>
          <w:tcPr>
            <w:tcW w:type="dxa" w:w="960"/>
            <w:tcBorders>
              <w:top w:val="single" w:color="7A4A1A" w:sz="2"/>
              <w:left w:val="single" w:color="7A4A1A" w:sz="2"/>
              <w:bottom w:val="single" w:color="7A4A1A" w:sz="2"/>
              <w:right w:val="single" w:color="7A4A1A" w:sz="2"/>
            </w:tcBorders>
            <w:shd w:fill="7A4A1A" w:val="clear"/>
            <w:tcMar>
              <w:top w:type="dxa" w:w="240"/>
              <w:left w:type="dxa" w:w="200"/>
              <w:bottom w:type="dxa" w:w="240"/>
              <w:right w:type="dxa" w:w="200"/>
            </w:tcMar>
          </w:tcPr>
          <w:p>
            <w:pPr>
              <w:spacing w:after="0" w:before="0"/>
              <w:jc w:val="center"/>
            </w:pPr>
            <w:r>
              <w:rPr>
                <w:rFonts w:ascii="Arial" w:cs="Arial" w:eastAsia="Arial" w:hAnsi="Arial"/>
                <w:b/>
                <w:bCs/>
                <w:color w:val="F5F4F2"/>
                <w:sz w:val="52"/>
                <w:szCs w:val="52"/>
              </w:rPr>
              <w:t xml:space="preserve">07</w:t>
            </w:r>
          </w:p>
          <w:p>
            <w:pPr>
              <w:spacing w:after="0" w:before="40"/>
              <w:jc w:val="center"/>
            </w:pPr>
            <w:r>
              <w:rPr>
                <w:rFonts w:ascii="Arial" w:cs="Arial" w:eastAsia="Arial" w:hAnsi="Arial"/>
                <w:b/>
                <w:bCs/>
                <w:color w:val="F5F4F2"/>
                <w:spacing w:val="80"/>
                <w:sz w:val="17"/>
                <w:szCs w:val="17"/>
              </w:rPr>
              <w:t xml:space="preserve">P2</w:t>
            </w:r>
          </w:p>
        </w:tc>
        <w:tc>
          <w:tcPr>
            <w:tcW w:type="dxa" w:w="5600"/>
            <w:tcBorders>
              <w:top w:val="single" w:color="2A3040" w:sz="2"/>
              <w:left w:val="single" w:color="2A3040" w:sz="2"/>
              <w:bottom w:val="single" w:color="2A3040" w:sz="2"/>
              <w:right w:val="single" w:color="2A3040" w:sz="2"/>
            </w:tcBorders>
            <w:shd w:fill="2A3040" w:val="clear"/>
            <w:tcMar>
              <w:top w:type="dxa" w:w="200"/>
              <w:left w:type="dxa" w:w="280"/>
              <w:bottom w:type="dxa" w:w="200"/>
              <w:right w:type="dxa" w:w="280"/>
            </w:tcMar>
          </w:tcPr>
          <w:p>
            <w:pPr>
              <w:spacing w:after="60" w:before="0"/>
            </w:pPr>
            <w:r>
              <w:rPr>
                <w:rFonts w:ascii="Arial" w:cs="Arial" w:eastAsia="Arial" w:hAnsi="Arial"/>
                <w:b/>
                <w:bCs/>
                <w:color w:val="F5F4F2"/>
                <w:sz w:val="44"/>
                <w:szCs w:val="44"/>
              </w:rPr>
              <w:t xml:space="preserve">Intelligence Hub Landing</w:t>
            </w:r>
          </w:p>
          <w:p>
            <w:pPr>
              <w:spacing w:after="0" w:before="0"/>
            </w:pPr>
            <w:r>
              <w:rPr>
                <w:rFonts w:ascii="Courier New" w:cs="Courier New" w:eastAsia="Courier New" w:hAnsi="Courier New"/>
                <w:color w:val="8090A8"/>
                <w:sz w:val="18"/>
                <w:szCs w:val="18"/>
              </w:rPr>
              <w:t xml:space="preserve">socelle.com/intelligence-hub</w:t>
            </w:r>
          </w:p>
        </w:tc>
        <w:tc>
          <w:tcPr>
            <w:tcW w:type="dxa" w:w="2800"/>
            <w:tcBorders>
              <w:top w:val="single" w:color="1E2630" w:sz="2"/>
              <w:left w:val="single" w:color="1E2630" w:sz="2"/>
              <w:bottom w:val="single" w:color="1E2630" w:sz="2"/>
              <w:right w:val="single" w:color="1E2630" w:sz="2"/>
            </w:tcBorders>
            <w:shd w:fill="1E2630" w:val="clear"/>
            <w:tcMar>
              <w:top w:type="dxa" w:w="200"/>
              <w:left w:type="dxa" w:w="200"/>
              <w:bottom w:type="dxa" w:w="200"/>
              <w:right w:type="dxa" w:w="200"/>
            </w:tcMar>
          </w:tcPr>
          <w:p>
            <w:pPr>
              <w:spacing w:after="60" w:before="0"/>
            </w:pPr>
            <w:r>
              <w:rPr>
                <w:rFonts w:ascii="Arial" w:cs="Arial" w:eastAsia="Arial" w:hAnsi="Arial"/>
                <w:b/>
                <w:bCs/>
                <w:color w:val="6E8090"/>
                <w:spacing w:val="120"/>
                <w:sz w:val="15"/>
                <w:szCs w:val="15"/>
              </w:rPr>
              <w:t xml:space="preserve">SEARCH INTENT</w:t>
            </w:r>
          </w:p>
          <w:p>
            <w:pPr>
              <w:spacing w:after="0" w:before="0"/>
            </w:pPr>
            <w:r>
              <w:rPr>
                <w:rFonts w:ascii="Arial" w:cs="Arial" w:eastAsia="Arial" w:hAnsi="Arial"/>
                <w:color w:val="D0D8E0"/>
                <w:sz w:val="19"/>
                <w:szCs w:val="19"/>
              </w:rPr>
              <w:t xml:space="preserve">Commercial + Informational — operator-specific</w:t>
            </w:r>
          </w:p>
        </w:tc>
      </w:tr>
    </w:tbl>
    <w:p>
      <w:pPr>
        <w:spacing w:after="4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
        <w:gridCol w:w="100"/>
      </w:tblGrid>
      <w:tr>
        <w:trPr>
          <w:tblHeader w:val="false"/>
        </w:trPr>
        <w:tc>
          <w:tcPr>
            <w:tcW w:type="dxa" w:w="22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3E4C5E"/>
                <w:spacing w:val="80"/>
                <w:sz w:val="18"/>
                <w:szCs w:val="18"/>
              </w:rPr>
              <w:t xml:space="preserve">Page Goal</w:t>
            </w:r>
          </w:p>
        </w:tc>
        <w:tc>
          <w:tcPr>
            <w:tcW w:type="dxa" w:w="716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Convert operator accounts by positioning SOCELLE as an intelligence partner, not just a marketplace. This page answers the question: "What is the Intelligence Hub and why does it matter to my business?" It is the strategic wedge for the operator acquisition thesis. Ships post-first-cohort (minimum 10 operator accounts).</w:t>
            </w:r>
          </w:p>
        </w:tc>
      </w:tr>
      <w:tr>
        <w:trPr>
          <w:tblHeader w:val="false"/>
        </w:trPr>
        <w:tc>
          <w:tcPr>
            <w:tcW w:type="dxa" w:w="22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b/>
                <w:bCs/>
                <w:color w:val="3E4C5E"/>
                <w:spacing w:val="80"/>
                <w:sz w:val="18"/>
                <w:szCs w:val="18"/>
              </w:rPr>
              <w:t xml:space="preserve">Search Intent</w:t>
            </w:r>
          </w:p>
        </w:tc>
        <w:tc>
          <w:tcPr>
            <w:tcW w:type="dxa" w:w="71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Commercial and informational. Operators who are aware of the platform and want to understand the IH before creating an account. Also captures early zero-competition searches for professional beauty market intelligence and salon purchasing data terms that SOCELLE can own immediately upon launch.</w:t>
            </w:r>
          </w:p>
        </w:tc>
      </w:tr>
      <w:tr>
        <w:trPr>
          <w:tblHeader w:val="false"/>
        </w:trPr>
        <w:tc>
          <w:tcPr>
            <w:tcW w:type="dxa" w:w="22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3E4C5E"/>
                <w:spacing w:val="80"/>
                <w:sz w:val="18"/>
                <w:szCs w:val="18"/>
              </w:rPr>
              <w:t xml:space="preserve">Primary Keyword</w:t>
            </w:r>
          </w:p>
        </w:tc>
        <w:tc>
          <w:tcPr>
            <w:tcW w:type="dxa" w:w="716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Courier New" w:cs="Courier New" w:eastAsia="Courier New" w:hAnsi="Courier New"/>
                <w:color w:val="1A3A6E"/>
                <w:sz w:val="18"/>
                <w:szCs w:val="18"/>
              </w:rPr>
              <w:t xml:space="preserve">professional beauty market intelligence  ·  salon purchasing benchmarks</w:t>
            </w:r>
          </w:p>
        </w:tc>
      </w:tr>
      <w:tr>
        <w:trPr>
          <w:tblHeader w:val="false"/>
        </w:trPr>
        <w:tc>
          <w:tcPr>
            <w:tcW w:type="dxa" w:w="22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b/>
                <w:bCs/>
                <w:color w:val="3E4C5E"/>
                <w:spacing w:val="80"/>
                <w:sz w:val="18"/>
                <w:szCs w:val="18"/>
              </w:rPr>
              <w:t xml:space="preserve">Secondary Keywords</w:t>
            </w:r>
          </w:p>
        </w:tc>
        <w:tc>
          <w:tcPr>
            <w:tcW w:type="dxa" w:w="71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color w:val="1A3A6E"/>
                <w:sz w:val="18"/>
                <w:szCs w:val="18"/>
              </w:rPr>
              <w:t xml:space="preserve">medspa market data  ·  beauty industry intelligence platform  ·  professional beauty purchasing data  ·  salon wholesale intelligence  ·  licensed operator market intelligence</w:t>
            </w:r>
          </w:p>
        </w:tc>
      </w:tr>
      <w:tr>
        <w:trPr>
          <w:tblHeader w:val="false"/>
        </w:trPr>
        <w:tc>
          <w:tcPr>
            <w:tcW w:type="dxa" w:w="22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3E4C5E"/>
                <w:spacing w:val="80"/>
                <w:sz w:val="18"/>
                <w:szCs w:val="18"/>
              </w:rPr>
              <w:t xml:space="preserve">Entity Terms to Include</w:t>
            </w:r>
          </w:p>
        </w:tc>
        <w:tc>
          <w:tcPr>
            <w:tcW w:type="dxa" w:w="716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Purchasing benchmarks · brand performance data · category trends · licensed operators · treatment room intelligence · professional education · market intelligence · operator analytics · private intelligence layer · medspa intelligence · spa purchasing data</w:t>
            </w:r>
          </w:p>
        </w:tc>
      </w:tr>
      <w:tr>
        <w:trPr>
          <w:tblHeader w:val="false"/>
        </w:trPr>
        <w:tc>
          <w:tcPr>
            <w:tcW w:type="dxa" w:w="22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b/>
                <w:bCs/>
                <w:color w:val="3E4C5E"/>
                <w:spacing w:val="80"/>
                <w:sz w:val="18"/>
                <w:szCs w:val="18"/>
              </w:rPr>
              <w:t xml:space="preserve">Ideal H1</w:t>
            </w:r>
          </w:p>
        </w:tc>
        <w:tc>
          <w:tcPr>
            <w:tcW w:type="dxa" w:w="71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Market intelligence for the treatment room. — Primary IH hook across all pages. 6 words. Specific to operator audience. Premium signal. Zero-competition term that SOCELLE can own. This is also the H2 used on For Buyers — it becomes the H1 here.</w:t>
            </w:r>
          </w:p>
        </w:tc>
      </w:tr>
      <w:tr>
        <w:trPr>
          <w:tblHeader w:val="false"/>
        </w:trPr>
        <w:tc>
          <w:tcPr>
            <w:tcW w:type="dxa" w:w="22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3E4C5E"/>
                <w:spacing w:val="80"/>
                <w:sz w:val="18"/>
                <w:szCs w:val="18"/>
              </w:rPr>
              <w:t xml:space="preserve">Recommended H2 Structure</w:t>
            </w:r>
          </w:p>
        </w:tc>
        <w:tc>
          <w:tcPr>
            <w:tcW w:type="dxa" w:w="716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H2 1: What is the Intelligence Hub? (definition section — answers the zero-level question)  ·  H2 2: Purchasing benchmarks by category. (first data capability)  ·  H2 3: Brand performance data. (second data capability)  ·  H2 4: Professional education. (third capability — education layer)  ·  H2 5: A private layer inside your account. (access and gating)  ·  H2 6: Get early access. (Final CTA)</w:t>
            </w:r>
          </w:p>
        </w:tc>
      </w:tr>
      <w:tr>
        <w:trPr>
          <w:tblHeader w:val="false"/>
        </w:trPr>
        <w:tc>
          <w:tcPr>
            <w:tcW w:type="dxa" w:w="22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b/>
                <w:bCs/>
                <w:color w:val="3E4C5E"/>
                <w:spacing w:val="80"/>
                <w:sz w:val="18"/>
                <w:szCs w:val="18"/>
              </w:rPr>
              <w:t xml:space="preserve">Internal Links — In / Out</w:t>
            </w:r>
          </w:p>
        </w:tc>
        <w:tc>
          <w:tcPr>
            <w:tcW w:type="dxa" w:w="71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IN: For Buyers (IH preview section link), Homepage (buyer card IH mention), For Buyers vertical pages (/for-medspas especially).  ·  OUT: Request Access (primary CTA → /portal/signup), For Buyers (contextual reference for users who want full marketplace context first).</w:t>
            </w:r>
          </w:p>
        </w:tc>
      </w:tr>
      <w:tr>
        <w:trPr>
          <w:tblHeader w:val="false"/>
        </w:trPr>
        <w:tc>
          <w:tcPr>
            <w:tcW w:type="dxa" w:w="22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3E4C5E"/>
                <w:spacing w:val="80"/>
                <w:sz w:val="18"/>
                <w:szCs w:val="18"/>
              </w:rPr>
              <w:t xml:space="preserve">CTA Goal</w:t>
            </w:r>
          </w:p>
        </w:tc>
        <w:tc>
          <w:tcPr>
            <w:tcW w:type="dxa" w:w="716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"Get early access" → /portal/signup (operator account creation). This is the only CTA on this page. No brand CTA — the IH is exclusively for licensed operators. The CTA should appear after each capability section and as the final page CTA.</w:t>
            </w:r>
          </w:p>
        </w:tc>
      </w:tr>
      <w:tr>
        <w:trPr>
          <w:tblHeader w:val="false"/>
        </w:trPr>
        <w:tc>
          <w:tcPr>
            <w:tcW w:type="dxa" w:w="22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b/>
                <w:bCs/>
                <w:color w:val="3E4C5E"/>
                <w:spacing w:val="80"/>
                <w:sz w:val="18"/>
                <w:szCs w:val="18"/>
              </w:rPr>
              <w:t xml:space="preserve">SEO Risks</w:t>
            </w:r>
          </w:p>
        </w:tc>
        <w:tc>
          <w:tcPr>
            <w:tcW w:type="dxa" w:w="7160"/>
            <w:tcBorders>
              <w:top w:val="single" w:color="C0BCBA" w:sz="2"/>
              <w:left w:val="single" w:color="C0BCBA" w:sz="2"/>
              <w:bottom w:val="single" w:color="C0BCBA" w:sz="2"/>
              <w:right w:val="single" w:color="C0BCBA" w:sz="2"/>
            </w:tcBorders>
            <w:shd w:fill="FFF4E8" w:val="clear"/>
            <w:tcMar>
              <w:top w:type="dxa" w:w="80"/>
              <w:left w:type="dxa" w:w="160"/>
              <w:bottom w:type="dxa" w:w="80"/>
              <w:right w:type="dxa" w:w="160"/>
            </w:tcMar>
          </w:tcPr>
          <w:p>
            <w:pPr>
              <w:spacing w:after="0" w:before="0"/>
            </w:pPr>
            <w:r>
              <w:rPr>
                <w:rFonts w:ascii="Arial" w:cs="Arial" w:eastAsia="Arial" w:hAnsi="Arial"/>
                <w:color w:val="7A4A1A"/>
                <w:sz w:val="18"/>
                <w:szCs w:val="18"/>
              </w:rPr>
              <w:t xml:space="preserve">RISK 1: This page ships post-cohort. If it ships before the IH is functional, it describes a product visitors cannot access. This creates a negative user signal (bounce, no conversion) that damages the page's ranking potential permanently. Ship only when the IH exists behind the account wall.  ·  RISK 2: "Market intelligence" as a term is competitive in general business contexts. The qualifier "for the treatment room" and entity terms like "purchasing benchmarks" and "salon" or "medspa" are what make this rankable without competition.  ·  RISK 3: Do not describe the IH as a "dashboard" or "analytics product" anywhere on this page. These descriptions attract wrong-intent traffic from general analytics software searchers.</w:t>
            </w:r>
          </w:p>
        </w:tc>
      </w:tr>
      <w:tr>
        <w:trPr>
          <w:tblHeader w:val="false"/>
        </w:trPr>
        <w:tc>
          <w:tcPr>
            <w:tcW w:type="dxa" w:w="22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3E4C5E"/>
                <w:spacing w:val="80"/>
                <w:sz w:val="18"/>
                <w:szCs w:val="18"/>
              </w:rPr>
              <w:t xml:space="preserve">Premium-Tone Guardrails</w:t>
            </w:r>
          </w:p>
        </w:tc>
        <w:tc>
          <w:tcPr>
            <w:tcW w:type="dxa" w:w="716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The IH is a private intelligence layer, not a feature. "Your account includes the Intelligence Hub" not "our Intelligence Hub feature." Every section must name a concrete data capability. "Insights" alone fails. "Purchasing benchmarks by category" passes. Do not use "exclusive," "VIP," or "members-only" — use "private" throughout.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
        <w:gridCol w:w="100"/>
        <w:gridCol w:w="100"/>
      </w:tblGrid>
      <w:tr>
        <w:trPr>
          <w:tblHeader w:val="false"/>
        </w:trPr>
        <w:tc>
          <w:tcPr>
            <w:tcW w:type="dxa" w:w="960"/>
            <w:tcBorders>
              <w:top w:val="single" w:color="7A4A1A" w:sz="2"/>
              <w:left w:val="single" w:color="7A4A1A" w:sz="2"/>
              <w:bottom w:val="single" w:color="7A4A1A" w:sz="2"/>
              <w:right w:val="single" w:color="7A4A1A" w:sz="2"/>
            </w:tcBorders>
            <w:shd w:fill="7A4A1A" w:val="clear"/>
            <w:tcMar>
              <w:top w:type="dxa" w:w="240"/>
              <w:left w:type="dxa" w:w="200"/>
              <w:bottom w:type="dxa" w:w="240"/>
              <w:right w:type="dxa" w:w="200"/>
            </w:tcMar>
          </w:tcPr>
          <w:p>
            <w:pPr>
              <w:spacing w:after="0" w:before="0"/>
              <w:jc w:val="center"/>
            </w:pPr>
            <w:r>
              <w:rPr>
                <w:rFonts w:ascii="Arial" w:cs="Arial" w:eastAsia="Arial" w:hAnsi="Arial"/>
                <w:b/>
                <w:bCs/>
                <w:color w:val="F5F4F2"/>
                <w:sz w:val="52"/>
                <w:szCs w:val="52"/>
              </w:rPr>
              <w:t xml:space="preserve">08</w:t>
            </w:r>
          </w:p>
          <w:p>
            <w:pPr>
              <w:spacing w:after="0" w:before="40"/>
              <w:jc w:val="center"/>
            </w:pPr>
            <w:r>
              <w:rPr>
                <w:rFonts w:ascii="Arial" w:cs="Arial" w:eastAsia="Arial" w:hAnsi="Arial"/>
                <w:b/>
                <w:bCs/>
                <w:color w:val="F5F4F2"/>
                <w:spacing w:val="80"/>
                <w:sz w:val="17"/>
                <w:szCs w:val="17"/>
              </w:rPr>
              <w:t xml:space="preserve">P2</w:t>
            </w:r>
          </w:p>
        </w:tc>
        <w:tc>
          <w:tcPr>
            <w:tcW w:type="dxa" w:w="5600"/>
            <w:tcBorders>
              <w:top w:val="single" w:color="2A3040" w:sz="2"/>
              <w:left w:val="single" w:color="2A3040" w:sz="2"/>
              <w:bottom w:val="single" w:color="2A3040" w:sz="2"/>
              <w:right w:val="single" w:color="2A3040" w:sz="2"/>
            </w:tcBorders>
            <w:shd w:fill="2A3040" w:val="clear"/>
            <w:tcMar>
              <w:top w:type="dxa" w:w="200"/>
              <w:left w:type="dxa" w:w="280"/>
              <w:bottom w:type="dxa" w:w="200"/>
              <w:right w:type="dxa" w:w="280"/>
            </w:tcMar>
          </w:tcPr>
          <w:p>
            <w:pPr>
              <w:spacing w:after="60" w:before="0"/>
            </w:pPr>
            <w:r>
              <w:rPr>
                <w:rFonts w:ascii="Arial" w:cs="Arial" w:eastAsia="Arial" w:hAnsi="Arial"/>
                <w:b/>
                <w:bCs/>
                <w:color w:val="F5F4F2"/>
                <w:sz w:val="44"/>
                <w:szCs w:val="44"/>
              </w:rPr>
              <w:t xml:space="preserve">FAQ</w:t>
            </w:r>
          </w:p>
          <w:p>
            <w:pPr>
              <w:spacing w:after="0" w:before="0"/>
            </w:pPr>
            <w:r>
              <w:rPr>
                <w:rFonts w:ascii="Courier New" w:cs="Courier New" w:eastAsia="Courier New" w:hAnsi="Courier New"/>
                <w:color w:val="8090A8"/>
                <w:sz w:val="18"/>
                <w:szCs w:val="18"/>
              </w:rPr>
              <w:t xml:space="preserve">socelle.com/faq</w:t>
            </w:r>
          </w:p>
        </w:tc>
        <w:tc>
          <w:tcPr>
            <w:tcW w:type="dxa" w:w="2800"/>
            <w:tcBorders>
              <w:top w:val="single" w:color="1E2630" w:sz="2"/>
              <w:left w:val="single" w:color="1E2630" w:sz="2"/>
              <w:bottom w:val="single" w:color="1E2630" w:sz="2"/>
              <w:right w:val="single" w:color="1E2630" w:sz="2"/>
            </w:tcBorders>
            <w:shd w:fill="1E2630" w:val="clear"/>
            <w:tcMar>
              <w:top w:type="dxa" w:w="200"/>
              <w:left w:type="dxa" w:w="200"/>
              <w:bottom w:type="dxa" w:w="200"/>
              <w:right w:type="dxa" w:w="200"/>
            </w:tcMar>
          </w:tcPr>
          <w:p>
            <w:pPr>
              <w:spacing w:after="60" w:before="0"/>
            </w:pPr>
            <w:r>
              <w:rPr>
                <w:rFonts w:ascii="Arial" w:cs="Arial" w:eastAsia="Arial" w:hAnsi="Arial"/>
                <w:b/>
                <w:bCs/>
                <w:color w:val="6E8090"/>
                <w:spacing w:val="120"/>
                <w:sz w:val="15"/>
                <w:szCs w:val="15"/>
              </w:rPr>
              <w:t xml:space="preserve">SEARCH INTENT</w:t>
            </w:r>
          </w:p>
          <w:p>
            <w:pPr>
              <w:spacing w:after="0" w:before="0"/>
            </w:pPr>
            <w:r>
              <w:rPr>
                <w:rFonts w:ascii="Arial" w:cs="Arial" w:eastAsia="Arial" w:hAnsi="Arial"/>
                <w:color w:val="D0D8E0"/>
                <w:sz w:val="19"/>
                <w:szCs w:val="19"/>
              </w:rPr>
              <w:t xml:space="preserve">Informational — high-intent due diligence</w:t>
            </w:r>
          </w:p>
        </w:tc>
      </w:tr>
    </w:tbl>
    <w:p>
      <w:pPr>
        <w:spacing w:after="4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
        <w:gridCol w:w="100"/>
      </w:tblGrid>
      <w:tr>
        <w:trPr>
          <w:tblHeader w:val="false"/>
        </w:trPr>
        <w:tc>
          <w:tcPr>
            <w:tcW w:type="dxa" w:w="22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3E4C5E"/>
                <w:spacing w:val="80"/>
                <w:sz w:val="18"/>
                <w:szCs w:val="18"/>
              </w:rPr>
              <w:t xml:space="preserve">Page Goal</w:t>
            </w:r>
          </w:p>
        </w:tc>
        <w:tc>
          <w:tcPr>
            <w:tcW w:type="dxa" w:w="716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Answer every pre-sales objection for both audiences in one authoritative page. Support SEO through question-format search queries that match how brand founders and spa directors actually search. This page is a featured snippet target — every question and answer pair should be structured for snippet capture.</w:t>
            </w:r>
          </w:p>
        </w:tc>
      </w:tr>
      <w:tr>
        <w:trPr>
          <w:tblHeader w:val="false"/>
        </w:trPr>
        <w:tc>
          <w:tcPr>
            <w:tcW w:type="dxa" w:w="22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b/>
                <w:bCs/>
                <w:color w:val="3E4C5E"/>
                <w:spacing w:val="80"/>
                <w:sz w:val="18"/>
                <w:szCs w:val="18"/>
              </w:rPr>
              <w:t xml:space="preserve">Search Intent</w:t>
            </w:r>
          </w:p>
        </w:tc>
        <w:tc>
          <w:tcPr>
            <w:tcW w:type="dxa" w:w="71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Informational with commercial undercurrent. Users have already decided they are interested in the platform. They are resolving final objections before applying or signing up. Every answer must remove doubt and move the reader toward conversion.</w:t>
            </w:r>
          </w:p>
        </w:tc>
      </w:tr>
      <w:tr>
        <w:trPr>
          <w:tblHeader w:val="false"/>
        </w:trPr>
        <w:tc>
          <w:tcPr>
            <w:tcW w:type="dxa" w:w="22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3E4C5E"/>
                <w:spacing w:val="80"/>
                <w:sz w:val="18"/>
                <w:szCs w:val="18"/>
              </w:rPr>
              <w:t xml:space="preserve">Primary Keyword</w:t>
            </w:r>
          </w:p>
        </w:tc>
        <w:tc>
          <w:tcPr>
            <w:tcW w:type="dxa" w:w="716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Courier New" w:cs="Courier New" w:eastAsia="Courier New" w:hAnsi="Courier New"/>
                <w:color w:val="1A3A6E"/>
                <w:sz w:val="18"/>
                <w:szCs w:val="18"/>
              </w:rPr>
              <w:t xml:space="preserve">professional beauty marketplace FAQ  ·  how does Socelle work</w:t>
            </w:r>
          </w:p>
        </w:tc>
      </w:tr>
      <w:tr>
        <w:trPr>
          <w:tblHeader w:val="false"/>
        </w:trPr>
        <w:tc>
          <w:tcPr>
            <w:tcW w:type="dxa" w:w="22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b/>
                <w:bCs/>
                <w:color w:val="3E4C5E"/>
                <w:spacing w:val="80"/>
                <w:sz w:val="18"/>
                <w:szCs w:val="18"/>
              </w:rPr>
              <w:t xml:space="preserve">Secondary Keywords</w:t>
            </w:r>
          </w:p>
        </w:tc>
        <w:tc>
          <w:tcPr>
            <w:tcW w:type="dxa" w:w="71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color w:val="1A3A6E"/>
                <w:sz w:val="18"/>
                <w:szCs w:val="18"/>
              </w:rPr>
              <w:t xml:space="preserve">professional beauty wholesale how it works  ·  beauty brand wholesale application questions  ·  salon wholesale account questions  ·  Socelle commission rate  ·  professional beauty wholesale pricing</w:t>
            </w:r>
          </w:p>
        </w:tc>
      </w:tr>
      <w:tr>
        <w:trPr>
          <w:tblHeader w:val="false"/>
        </w:trPr>
        <w:tc>
          <w:tcPr>
            <w:tcW w:type="dxa" w:w="22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3E4C5E"/>
                <w:spacing w:val="80"/>
                <w:sz w:val="18"/>
                <w:szCs w:val="18"/>
              </w:rPr>
              <w:t xml:space="preserve">Entity Terms to Include</w:t>
            </w:r>
          </w:p>
        </w:tc>
        <w:tc>
          <w:tcPr>
            <w:tcW w:type="dxa" w:w="716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Commission structure · verification process · license requirements · brand application · order management · tier pricing · multi-brand checkout · Intelligence Hub access · 48-hour review · Stripe Connect · storefront setup · cosmetology license</w:t>
            </w:r>
          </w:p>
        </w:tc>
      </w:tr>
      <w:tr>
        <w:trPr>
          <w:tblHeader w:val="false"/>
        </w:trPr>
        <w:tc>
          <w:tcPr>
            <w:tcW w:type="dxa" w:w="22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b/>
                <w:bCs/>
                <w:color w:val="3E4C5E"/>
                <w:spacing w:val="80"/>
                <w:sz w:val="18"/>
                <w:szCs w:val="18"/>
              </w:rPr>
              <w:t xml:space="preserve">Ideal H1</w:t>
            </w:r>
          </w:p>
        </w:tc>
        <w:tc>
          <w:tcPr>
            <w:tcW w:type="dxa" w:w="71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Everything you need to know about Socelle. — Functional, not creative. FAQ H1s should be clear and searchable, not clever. The H1 on this page does not need a competitive claim — it needs to signal that the page answers questions. Alternative: "Frequently asked questions." Simple and direct.</w:t>
            </w:r>
          </w:p>
        </w:tc>
      </w:tr>
      <w:tr>
        <w:trPr>
          <w:tblHeader w:val="false"/>
        </w:trPr>
        <w:tc>
          <w:tcPr>
            <w:tcW w:type="dxa" w:w="22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3E4C5E"/>
                <w:spacing w:val="80"/>
                <w:sz w:val="18"/>
                <w:szCs w:val="18"/>
              </w:rPr>
              <w:t xml:space="preserve">Recommended H2 Structure</w:t>
            </w:r>
          </w:p>
        </w:tc>
        <w:tc>
          <w:tcPr>
            <w:tcW w:type="dxa" w:w="716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H2 1: For professional brands (brand FAQ section)  ·  H2 2: For licensed professionals (operator FAQ section)  ·  H2 3: Pricing and economics (economic FAQ section)  ·  H2 4: The Intelligence Hub (IH FAQ section)  ·  Each H2 section contains H3 questions. H3 format: plain question language that mirrors real search queries. No rhetorical questions. No leading questions.</w:t>
            </w:r>
          </w:p>
        </w:tc>
      </w:tr>
      <w:tr>
        <w:trPr>
          <w:tblHeader w:val="false"/>
        </w:trPr>
        <w:tc>
          <w:tcPr>
            <w:tcW w:type="dxa" w:w="22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b/>
                <w:bCs/>
                <w:color w:val="3E4C5E"/>
                <w:spacing w:val="80"/>
                <w:sz w:val="18"/>
                <w:szCs w:val="18"/>
              </w:rPr>
              <w:t xml:space="preserve">Internal Links — In / Out</w:t>
            </w:r>
          </w:p>
        </w:tc>
        <w:tc>
          <w:tcPr>
            <w:tcW w:type="dxa" w:w="71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IN: For Brands (FAQ anchor), For Buyers (FAQ anchor), Pricing page, How It Works.  ·  OUT: For Brands (from brand FAQ CTA), For Buyers (from operator FAQ CTA), Request Access (from each section close), Pricing (from economics section), IH Teaser (from IH FAQ section).</w:t>
            </w:r>
          </w:p>
        </w:tc>
      </w:tr>
      <w:tr>
        <w:trPr>
          <w:tblHeader w:val="false"/>
        </w:trPr>
        <w:tc>
          <w:tcPr>
            <w:tcW w:type="dxa" w:w="22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3E4C5E"/>
                <w:spacing w:val="80"/>
                <w:sz w:val="18"/>
                <w:szCs w:val="18"/>
              </w:rPr>
              <w:t xml:space="preserve">CTA Goal</w:t>
            </w:r>
          </w:p>
        </w:tc>
        <w:tc>
          <w:tcPr>
            <w:tcW w:type="dxa" w:w="716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Contextual CTAs at the close of each section. Brand FAQ section: "Apply now." Operator FAQ section: "Create free account." Pricing FAQ section: "Apply to see your rate." IH FAQ section: "Get early access." Not one global CTA — each audience gets the right CTA at the end of their section.</w:t>
            </w:r>
          </w:p>
        </w:tc>
      </w:tr>
      <w:tr>
        <w:trPr>
          <w:tblHeader w:val="false"/>
        </w:trPr>
        <w:tc>
          <w:tcPr>
            <w:tcW w:type="dxa" w:w="22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b/>
                <w:bCs/>
                <w:color w:val="3E4C5E"/>
                <w:spacing w:val="80"/>
                <w:sz w:val="18"/>
                <w:szCs w:val="18"/>
              </w:rPr>
              <w:t xml:space="preserve">SEO Risks</w:t>
            </w:r>
          </w:p>
        </w:tc>
        <w:tc>
          <w:tcPr>
            <w:tcW w:type="dxa" w:w="7160"/>
            <w:tcBorders>
              <w:top w:val="single" w:color="C0BCBA" w:sz="2"/>
              <w:left w:val="single" w:color="C0BCBA" w:sz="2"/>
              <w:bottom w:val="single" w:color="C0BCBA" w:sz="2"/>
              <w:right w:val="single" w:color="C0BCBA" w:sz="2"/>
            </w:tcBorders>
            <w:shd w:fill="FFF4E8" w:val="clear"/>
            <w:tcMar>
              <w:top w:type="dxa" w:w="80"/>
              <w:left w:type="dxa" w:w="160"/>
              <w:bottom w:type="dxa" w:w="80"/>
              <w:right w:type="dxa" w:w="160"/>
            </w:tcMar>
          </w:tcPr>
          <w:p>
            <w:pPr>
              <w:spacing w:after="0" w:before="0"/>
            </w:pPr>
            <w:r>
              <w:rPr>
                <w:rFonts w:ascii="Arial" w:cs="Arial" w:eastAsia="Arial" w:hAnsi="Arial"/>
                <w:color w:val="7A4A1A"/>
                <w:sz w:val="18"/>
                <w:szCs w:val="18"/>
              </w:rPr>
              <w:t xml:space="preserve">RISK 1: FAQ pages built around keyword phrases rather than real user questions are the most common form of thin SEO content. Every question must be drawn from real objections (the For Brands and For Buyers FAQ in the Playbook is the source). No invented questions.  ·  RISK 2: Each FAQ answer must be structured as a Question (H3) + Answer (paragraph under 60 words). Answers that run longer are not fully answering the question — they are covering multiple questions. Split them.  ·  RISK 3: FAQPage structured data is the highest-ROI structured data implementation for this page. Agent 10 must implement FAQPage schema on every H3/answer pair. Featured snippet capture depends on it.</w:t>
            </w:r>
          </w:p>
        </w:tc>
      </w:tr>
      <w:tr>
        <w:trPr>
          <w:tblHeader w:val="false"/>
        </w:trPr>
        <w:tc>
          <w:tcPr>
            <w:tcW w:type="dxa" w:w="22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3E4C5E"/>
                <w:spacing w:val="80"/>
                <w:sz w:val="18"/>
                <w:szCs w:val="18"/>
              </w:rPr>
              <w:t xml:space="preserve">Premium-Tone Guardrails</w:t>
            </w:r>
          </w:p>
        </w:tc>
        <w:tc>
          <w:tcPr>
            <w:tcW w:type="dxa" w:w="716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FAQ answers must sound like an authoritative founder, not a legal disclaimer. No passive voice. No "we would recommend." Every answer opens with the direct answer, then the context. Not the context and then the answer. Answers under 60 words each. No hedging ("we believe," "in our experience," "it depends").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
        <w:gridCol w:w="100"/>
        <w:gridCol w:w="100"/>
      </w:tblGrid>
      <w:tr>
        <w:trPr>
          <w:tblHeader w:val="false"/>
        </w:trPr>
        <w:tc>
          <w:tcPr>
            <w:tcW w:type="dxa" w:w="960"/>
            <w:tcBorders>
              <w:top w:val="single" w:color="7A4A1A" w:sz="2"/>
              <w:left w:val="single" w:color="7A4A1A" w:sz="2"/>
              <w:bottom w:val="single" w:color="7A4A1A" w:sz="2"/>
              <w:right w:val="single" w:color="7A4A1A" w:sz="2"/>
            </w:tcBorders>
            <w:shd w:fill="7A4A1A" w:val="clear"/>
            <w:tcMar>
              <w:top w:type="dxa" w:w="240"/>
              <w:left w:type="dxa" w:w="200"/>
              <w:bottom w:type="dxa" w:w="240"/>
              <w:right w:type="dxa" w:w="200"/>
            </w:tcMar>
          </w:tcPr>
          <w:p>
            <w:pPr>
              <w:spacing w:after="0" w:before="0"/>
              <w:jc w:val="center"/>
            </w:pPr>
            <w:r>
              <w:rPr>
                <w:rFonts w:ascii="Arial" w:cs="Arial" w:eastAsia="Arial" w:hAnsi="Arial"/>
                <w:b/>
                <w:bCs/>
                <w:color w:val="F5F4F2"/>
                <w:sz w:val="52"/>
                <w:szCs w:val="52"/>
              </w:rPr>
              <w:t xml:space="preserve">09</w:t>
            </w:r>
          </w:p>
          <w:p>
            <w:pPr>
              <w:spacing w:after="0" w:before="40"/>
              <w:jc w:val="center"/>
            </w:pPr>
            <w:r>
              <w:rPr>
                <w:rFonts w:ascii="Arial" w:cs="Arial" w:eastAsia="Arial" w:hAnsi="Arial"/>
                <w:b/>
                <w:bCs/>
                <w:color w:val="F5F4F2"/>
                <w:spacing w:val="80"/>
                <w:sz w:val="17"/>
                <w:szCs w:val="17"/>
              </w:rPr>
              <w:t xml:space="preserve">P2</w:t>
            </w:r>
          </w:p>
        </w:tc>
        <w:tc>
          <w:tcPr>
            <w:tcW w:type="dxa" w:w="5600"/>
            <w:tcBorders>
              <w:top w:val="single" w:color="2A3040" w:sz="2"/>
              <w:left w:val="single" w:color="2A3040" w:sz="2"/>
              <w:bottom w:val="single" w:color="2A3040" w:sz="2"/>
              <w:right w:val="single" w:color="2A3040" w:sz="2"/>
            </w:tcBorders>
            <w:shd w:fill="2A3040" w:val="clear"/>
            <w:tcMar>
              <w:top w:type="dxa" w:w="200"/>
              <w:left w:type="dxa" w:w="280"/>
              <w:bottom w:type="dxa" w:w="200"/>
              <w:right w:type="dxa" w:w="280"/>
            </w:tcMar>
          </w:tcPr>
          <w:p>
            <w:pPr>
              <w:spacing w:after="60" w:before="0"/>
            </w:pPr>
            <w:r>
              <w:rPr>
                <w:rFonts w:ascii="Arial" w:cs="Arial" w:eastAsia="Arial" w:hAnsi="Arial"/>
                <w:b/>
                <w:bCs/>
                <w:color w:val="F5F4F2"/>
                <w:sz w:val="44"/>
                <w:szCs w:val="44"/>
              </w:rPr>
              <w:t xml:space="preserve">For Salons</w:t>
            </w:r>
          </w:p>
          <w:p>
            <w:pPr>
              <w:spacing w:after="0" w:before="0"/>
            </w:pPr>
            <w:r>
              <w:rPr>
                <w:rFonts w:ascii="Courier New" w:cs="Courier New" w:eastAsia="Courier New" w:hAnsi="Courier New"/>
                <w:color w:val="8090A8"/>
                <w:sz w:val="18"/>
                <w:szCs w:val="18"/>
              </w:rPr>
              <w:t xml:space="preserve">/for-salons (first vertical — beauty/wellness)</w:t>
            </w:r>
          </w:p>
        </w:tc>
        <w:tc>
          <w:tcPr>
            <w:tcW w:type="dxa" w:w="2800"/>
            <w:tcBorders>
              <w:top w:val="single" w:color="1E2630" w:sz="2"/>
              <w:left w:val="single" w:color="1E2630" w:sz="2"/>
              <w:bottom w:val="single" w:color="1E2630" w:sz="2"/>
              <w:right w:val="single" w:color="1E2630" w:sz="2"/>
            </w:tcBorders>
            <w:shd w:fill="1E2630" w:val="clear"/>
            <w:tcMar>
              <w:top w:type="dxa" w:w="200"/>
              <w:left w:type="dxa" w:w="200"/>
              <w:bottom w:type="dxa" w:w="200"/>
              <w:right w:type="dxa" w:w="200"/>
            </w:tcMar>
          </w:tcPr>
          <w:p>
            <w:pPr>
              <w:spacing w:after="60" w:before="0"/>
            </w:pPr>
            <w:r>
              <w:rPr>
                <w:rFonts w:ascii="Arial" w:cs="Arial" w:eastAsia="Arial" w:hAnsi="Arial"/>
                <w:b/>
                <w:bCs/>
                <w:color w:val="6E8090"/>
                <w:spacing w:val="120"/>
                <w:sz w:val="15"/>
                <w:szCs w:val="15"/>
              </w:rPr>
              <w:t xml:space="preserve">SEARCH INTENT</w:t>
            </w:r>
          </w:p>
          <w:p>
            <w:pPr>
              <w:spacing w:after="0" w:before="0"/>
            </w:pPr>
            <w:r>
              <w:rPr>
                <w:rFonts w:ascii="Arial" w:cs="Arial" w:eastAsia="Arial" w:hAnsi="Arial"/>
                <w:color w:val="D0D8E0"/>
                <w:sz w:val="19"/>
                <w:szCs w:val="19"/>
              </w:rPr>
              <w:t xml:space="preserve">Commercial — salon owner ready to source</w:t>
            </w:r>
          </w:p>
        </w:tc>
      </w:tr>
    </w:tbl>
    <w:p>
      <w:pPr>
        <w:spacing w:after="4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
        <w:gridCol w:w="100"/>
      </w:tblGrid>
      <w:tr>
        <w:trPr>
          <w:tblHeader w:val="false"/>
        </w:trPr>
        <w:tc>
          <w:tcPr>
            <w:tcW w:type="dxa" w:w="22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3E4C5E"/>
                <w:spacing w:val="80"/>
                <w:sz w:val="18"/>
                <w:szCs w:val="18"/>
              </w:rPr>
              <w:t xml:space="preserve">Page Goal</w:t>
            </w:r>
          </w:p>
        </w:tc>
        <w:tc>
          <w:tcPr>
            <w:tcW w:type="dxa" w:w="716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Capture high-volume salon-specific wholesale searches that the main For Buyers page cannot rank for due to its broader scope. Convert salon owners to free operator accounts. This is the first vertical expansion page — it defines the template all subsequent vertical pages follow.</w:t>
            </w:r>
          </w:p>
        </w:tc>
      </w:tr>
      <w:tr>
        <w:trPr>
          <w:tblHeader w:val="false"/>
        </w:trPr>
        <w:tc>
          <w:tcPr>
            <w:tcW w:type="dxa" w:w="22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b/>
                <w:bCs/>
                <w:color w:val="3E4C5E"/>
                <w:spacing w:val="80"/>
                <w:sz w:val="18"/>
                <w:szCs w:val="18"/>
              </w:rPr>
              <w:t xml:space="preserve">Search Intent</w:t>
            </w:r>
          </w:p>
        </w:tc>
        <w:tc>
          <w:tcPr>
            <w:tcW w:type="dxa" w:w="71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Commercial. Salon owners actively searching for a wholesale supplier. They have an immediate procurement need. This audience is less likely to be platform-aware than medspa operators — they are searching for solutions, not for Socelle specifically. The page must earn their trust before asking for the conversion.</w:t>
            </w:r>
          </w:p>
        </w:tc>
      </w:tr>
      <w:tr>
        <w:trPr>
          <w:tblHeader w:val="false"/>
        </w:trPr>
        <w:tc>
          <w:tcPr>
            <w:tcW w:type="dxa" w:w="22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3E4C5E"/>
                <w:spacing w:val="80"/>
                <w:sz w:val="18"/>
                <w:szCs w:val="18"/>
              </w:rPr>
              <w:t xml:space="preserve">Primary Keyword</w:t>
            </w:r>
          </w:p>
        </w:tc>
        <w:tc>
          <w:tcPr>
            <w:tcW w:type="dxa" w:w="716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Courier New" w:cs="Courier New" w:eastAsia="Courier New" w:hAnsi="Courier New"/>
                <w:color w:val="1A3A6E"/>
                <w:sz w:val="18"/>
                <w:szCs w:val="18"/>
              </w:rPr>
              <w:t xml:space="preserve">salon wholesale marketplace  ·  wholesale beauty products for salons</w:t>
            </w:r>
          </w:p>
        </w:tc>
      </w:tr>
      <w:tr>
        <w:trPr>
          <w:tblHeader w:val="false"/>
        </w:trPr>
        <w:tc>
          <w:tcPr>
            <w:tcW w:type="dxa" w:w="22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b/>
                <w:bCs/>
                <w:color w:val="3E4C5E"/>
                <w:spacing w:val="80"/>
                <w:sz w:val="18"/>
                <w:szCs w:val="18"/>
              </w:rPr>
              <w:t xml:space="preserve">Secondary Keywords</w:t>
            </w:r>
          </w:p>
        </w:tc>
        <w:tc>
          <w:tcPr>
            <w:tcW w:type="dxa" w:w="71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color w:val="1A3A6E"/>
                <w:sz w:val="18"/>
                <w:szCs w:val="18"/>
              </w:rPr>
              <w:t xml:space="preserve">professional beauty supplier for salons  ·  salon wholesale accounts  ·  hair salon wholesale beauty supply  ·  wholesale professional hair products  ·  salon wholesale platform</w:t>
            </w:r>
          </w:p>
        </w:tc>
      </w:tr>
      <w:tr>
        <w:trPr>
          <w:tblHeader w:val="false"/>
        </w:trPr>
        <w:tc>
          <w:tcPr>
            <w:tcW w:type="dxa" w:w="22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3E4C5E"/>
                <w:spacing w:val="80"/>
                <w:sz w:val="18"/>
                <w:szCs w:val="18"/>
              </w:rPr>
              <w:t xml:space="preserve">Entity Terms to Include</w:t>
            </w:r>
          </w:p>
        </w:tc>
        <w:tc>
          <w:tcPr>
            <w:tcW w:type="dxa" w:w="716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Salon owners · cosmetologists · professional hair products · professional hair color · styling tools · salon retail · wholesale beauty supply · tier pricing · brand discovery · multi-brand checkout · salon wholesale account · licensed cosmetologist</w:t>
            </w:r>
          </w:p>
        </w:tc>
      </w:tr>
      <w:tr>
        <w:trPr>
          <w:tblHeader w:val="false"/>
        </w:trPr>
        <w:tc>
          <w:tcPr>
            <w:tcW w:type="dxa" w:w="22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b/>
                <w:bCs/>
                <w:color w:val="3E4C5E"/>
                <w:spacing w:val="80"/>
                <w:sz w:val="18"/>
                <w:szCs w:val="18"/>
              </w:rPr>
              <w:t xml:space="preserve">Ideal H1</w:t>
            </w:r>
          </w:p>
        </w:tc>
        <w:tc>
          <w:tcPr>
            <w:tcW w:type="dxa" w:w="71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The wholesale marketplace built for salons. — Direct, verticalised, keyword-present. Contains "wholesale marketplace" and "salons" in 7 words. Alternative: "Every professional brand your salon needs." Tests the possessive / specificity framing. The first option is stronger for SEO; the second is stronger for conversion tone.</w:t>
            </w:r>
          </w:p>
        </w:tc>
      </w:tr>
      <w:tr>
        <w:trPr>
          <w:tblHeader w:val="false"/>
        </w:trPr>
        <w:tc>
          <w:tcPr>
            <w:tcW w:type="dxa" w:w="22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3E4C5E"/>
                <w:spacing w:val="80"/>
                <w:sz w:val="18"/>
                <w:szCs w:val="18"/>
              </w:rPr>
              <w:t xml:space="preserve">Recommended H2 Structure</w:t>
            </w:r>
          </w:p>
        </w:tc>
        <w:tc>
          <w:tcPr>
            <w:tcW w:type="dxa" w:w="716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H2 1: The problem with ordering for a salon. (unlabeled problem section)  ·  H2 2: Every brand your salon needs. One account. (What you get)  ·  H2 3: Verified professional hair and beauty brands. (entity coverage for salon-specific categories)  ·  H2 4: Your wholesale pricing, automatically. (tier pricing section)  ·  H2 5: Join free. (Final CTA)</w:t>
            </w:r>
          </w:p>
        </w:tc>
      </w:tr>
      <w:tr>
        <w:trPr>
          <w:tblHeader w:val="false"/>
        </w:trPr>
        <w:tc>
          <w:tcPr>
            <w:tcW w:type="dxa" w:w="22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b/>
                <w:bCs/>
                <w:color w:val="3E4C5E"/>
                <w:spacing w:val="80"/>
                <w:sz w:val="18"/>
                <w:szCs w:val="18"/>
              </w:rPr>
              <w:t xml:space="preserve">Internal Links — In / Out</w:t>
            </w:r>
          </w:p>
        </w:tc>
        <w:tc>
          <w:tcPr>
            <w:tcW w:type="dxa" w:w="71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IN: Homepage (contextual link from buyer section), For Buyers (parent page — "Salon owners" anchor), potentially from blog posts targeting salon sourcing queries.  ·  OUT: For Buyers (parent page contextual link), Request Access (primary CTA → /portal/signup), IH Teaser (brief mention of Intelligence Hub as an added benefit).</w:t>
            </w:r>
          </w:p>
        </w:tc>
      </w:tr>
      <w:tr>
        <w:trPr>
          <w:tblHeader w:val="false"/>
        </w:trPr>
        <w:tc>
          <w:tcPr>
            <w:tcW w:type="dxa" w:w="22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3E4C5E"/>
                <w:spacing w:val="80"/>
                <w:sz w:val="18"/>
                <w:szCs w:val="18"/>
              </w:rPr>
              <w:t xml:space="preserve">CTA Goal</w:t>
            </w:r>
          </w:p>
        </w:tc>
        <w:tc>
          <w:tcPr>
            <w:tcW w:type="dxa" w:w="716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"Create free account" → /portal/signup. Same destination as For Buyers. The trust bar below the CTA should be salon-specific: "Free for licensed cosmetologists and salon owners · No credit card required · Hundreds of professional brands."</w:t>
            </w:r>
          </w:p>
        </w:tc>
      </w:tr>
      <w:tr>
        <w:trPr>
          <w:tblHeader w:val="false"/>
        </w:trPr>
        <w:tc>
          <w:tcPr>
            <w:tcW w:type="dxa" w:w="22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b/>
                <w:bCs/>
                <w:color w:val="3E4C5E"/>
                <w:spacing w:val="80"/>
                <w:sz w:val="18"/>
                <w:szCs w:val="18"/>
              </w:rPr>
              <w:t xml:space="preserve">SEO Risks</w:t>
            </w:r>
          </w:p>
        </w:tc>
        <w:tc>
          <w:tcPr>
            <w:tcW w:type="dxa" w:w="7160"/>
            <w:tcBorders>
              <w:top w:val="single" w:color="C0BCBA" w:sz="2"/>
              <w:left w:val="single" w:color="C0BCBA" w:sz="2"/>
              <w:bottom w:val="single" w:color="C0BCBA" w:sz="2"/>
              <w:right w:val="single" w:color="C0BCBA" w:sz="2"/>
            </w:tcBorders>
            <w:shd w:fill="FFF4E8" w:val="clear"/>
            <w:tcMar>
              <w:top w:type="dxa" w:w="80"/>
              <w:left w:type="dxa" w:w="160"/>
              <w:bottom w:type="dxa" w:w="80"/>
              <w:right w:type="dxa" w:w="160"/>
            </w:tcMar>
          </w:tcPr>
          <w:p>
            <w:pPr>
              <w:spacing w:after="0" w:before="0"/>
            </w:pPr>
            <w:r>
              <w:rPr>
                <w:rFonts w:ascii="Arial" w:cs="Arial" w:eastAsia="Arial" w:hAnsi="Arial"/>
                <w:color w:val="7A4A1A"/>
                <w:sz w:val="18"/>
                <w:szCs w:val="18"/>
              </w:rPr>
              <w:t xml:space="preserve">RISK 1: If the page is simply a re-skinned For Buyers page with "salon" substituted for "licensed professionals," search engines will flag it as near-duplicate content. The page must include salon-specific entity terms, salon-specific FAQ questions, and salon-specific pain points that do not appear on the For Buyers page.  ·  RISK 2: "Wholesale beauty products for salons" attracts both professional and consumer-market searches. Use "professional" and "licensed" throughout to filter consumer intent.  ·  RISK 3: Do not name specific brands in the body copy. Brand names can become outdated and create legal and relationship risks.</w:t>
            </w:r>
          </w:p>
        </w:tc>
      </w:tr>
      <w:tr>
        <w:trPr>
          <w:tblHeader w:val="false"/>
        </w:trPr>
        <w:tc>
          <w:tcPr>
            <w:tcW w:type="dxa" w:w="22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3E4C5E"/>
                <w:spacing w:val="80"/>
                <w:sz w:val="18"/>
                <w:szCs w:val="18"/>
              </w:rPr>
              <w:t xml:space="preserve">Premium-Tone Guardrails</w:t>
            </w:r>
          </w:p>
        </w:tc>
        <w:tc>
          <w:tcPr>
            <w:tcW w:type="dxa" w:w="716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Use salon-owner language: "your salon," "your book," "your clients" (but avoid "your clients" in the context of brands). Salon-specific entity terms must appear in the first 200 words. This page should feel like it was written specifically for a salon owner, not repurposed from a general operator page.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
        <w:gridCol w:w="100"/>
        <w:gridCol w:w="100"/>
      </w:tblGrid>
      <w:tr>
        <w:trPr>
          <w:tblHeader w:val="false"/>
        </w:trPr>
        <w:tc>
          <w:tcPr>
            <w:tcW w:type="dxa" w:w="960"/>
            <w:tcBorders>
              <w:top w:val="single" w:color="A32828" w:sz="2"/>
              <w:left w:val="single" w:color="A32828" w:sz="2"/>
              <w:bottom w:val="single" w:color="A32828" w:sz="2"/>
              <w:right w:val="single" w:color="A32828" w:sz="2"/>
            </w:tcBorders>
            <w:shd w:fill="A32828" w:val="clear"/>
            <w:tcMar>
              <w:top w:type="dxa" w:w="240"/>
              <w:left w:type="dxa" w:w="200"/>
              <w:bottom w:type="dxa" w:w="240"/>
              <w:right w:type="dxa" w:w="200"/>
            </w:tcMar>
          </w:tcPr>
          <w:p>
            <w:pPr>
              <w:spacing w:after="0" w:before="0"/>
              <w:jc w:val="center"/>
            </w:pPr>
            <w:r>
              <w:rPr>
                <w:rFonts w:ascii="Arial" w:cs="Arial" w:eastAsia="Arial" w:hAnsi="Arial"/>
                <w:b/>
                <w:bCs/>
                <w:color w:val="F5F4F2"/>
                <w:sz w:val="52"/>
                <w:szCs w:val="52"/>
              </w:rPr>
              <w:t xml:space="preserve">10</w:t>
            </w:r>
          </w:p>
          <w:p>
            <w:pPr>
              <w:spacing w:after="0" w:before="40"/>
              <w:jc w:val="center"/>
            </w:pPr>
            <w:r>
              <w:rPr>
                <w:rFonts w:ascii="Arial" w:cs="Arial" w:eastAsia="Arial" w:hAnsi="Arial"/>
                <w:b/>
                <w:bCs/>
                <w:color w:val="F5F4F2"/>
                <w:spacing w:val="80"/>
                <w:sz w:val="17"/>
                <w:szCs w:val="17"/>
              </w:rPr>
              <w:t xml:space="preserve">P1</w:t>
            </w:r>
          </w:p>
        </w:tc>
        <w:tc>
          <w:tcPr>
            <w:tcW w:type="dxa" w:w="5600"/>
            <w:tcBorders>
              <w:top w:val="single" w:color="2A3040" w:sz="2"/>
              <w:left w:val="single" w:color="2A3040" w:sz="2"/>
              <w:bottom w:val="single" w:color="2A3040" w:sz="2"/>
              <w:right w:val="single" w:color="2A3040" w:sz="2"/>
            </w:tcBorders>
            <w:shd w:fill="2A3040" w:val="clear"/>
            <w:tcMar>
              <w:top w:type="dxa" w:w="200"/>
              <w:left w:type="dxa" w:w="280"/>
              <w:bottom w:type="dxa" w:w="200"/>
              <w:right w:type="dxa" w:w="280"/>
            </w:tcMar>
          </w:tcPr>
          <w:p>
            <w:pPr>
              <w:spacing w:after="60" w:before="0"/>
            </w:pPr>
            <w:r>
              <w:rPr>
                <w:rFonts w:ascii="Arial" w:cs="Arial" w:eastAsia="Arial" w:hAnsi="Arial"/>
                <w:b/>
                <w:bCs/>
                <w:color w:val="F5F4F2"/>
                <w:sz w:val="44"/>
                <w:szCs w:val="44"/>
              </w:rPr>
              <w:t xml:space="preserve">For Medspas</w:t>
            </w:r>
          </w:p>
          <w:p>
            <w:pPr>
              <w:spacing w:after="0" w:before="0"/>
            </w:pPr>
            <w:r>
              <w:rPr>
                <w:rFonts w:ascii="Courier New" w:cs="Courier New" w:eastAsia="Courier New" w:hAnsi="Courier New"/>
                <w:color w:val="8090A8"/>
                <w:sz w:val="18"/>
                <w:szCs w:val="18"/>
              </w:rPr>
              <w:t xml:space="preserve">/for-medspas (first vertical — medical aesthetics)</w:t>
            </w:r>
          </w:p>
        </w:tc>
        <w:tc>
          <w:tcPr>
            <w:tcW w:type="dxa" w:w="2800"/>
            <w:tcBorders>
              <w:top w:val="single" w:color="1E2630" w:sz="2"/>
              <w:left w:val="single" w:color="1E2630" w:sz="2"/>
              <w:bottom w:val="single" w:color="1E2630" w:sz="2"/>
              <w:right w:val="single" w:color="1E2630" w:sz="2"/>
            </w:tcBorders>
            <w:shd w:fill="1E2630" w:val="clear"/>
            <w:tcMar>
              <w:top w:type="dxa" w:w="200"/>
              <w:left w:type="dxa" w:w="200"/>
              <w:bottom w:type="dxa" w:w="200"/>
              <w:right w:type="dxa" w:w="200"/>
            </w:tcMar>
          </w:tcPr>
          <w:p>
            <w:pPr>
              <w:spacing w:after="60" w:before="0"/>
            </w:pPr>
            <w:r>
              <w:rPr>
                <w:rFonts w:ascii="Arial" w:cs="Arial" w:eastAsia="Arial" w:hAnsi="Arial"/>
                <w:b/>
                <w:bCs/>
                <w:color w:val="6E8090"/>
                <w:spacing w:val="120"/>
                <w:sz w:val="15"/>
                <w:szCs w:val="15"/>
              </w:rPr>
              <w:t xml:space="preserve">SEARCH INTENT</w:t>
            </w:r>
          </w:p>
          <w:p>
            <w:pPr>
              <w:spacing w:after="0" w:before="0"/>
            </w:pPr>
            <w:r>
              <w:rPr>
                <w:rFonts w:ascii="Arial" w:cs="Arial" w:eastAsia="Arial" w:hAnsi="Arial"/>
                <w:color w:val="D0D8E0"/>
                <w:sz w:val="19"/>
                <w:szCs w:val="19"/>
              </w:rPr>
              <w:t xml:space="preserve">Commercial — medspa operator — highest LTV</w:t>
            </w:r>
          </w:p>
        </w:tc>
      </w:tr>
    </w:tbl>
    <w:p>
      <w:pPr>
        <w:spacing w:after="4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
        <w:gridCol w:w="100"/>
      </w:tblGrid>
      <w:tr>
        <w:trPr>
          <w:tblHeader w:val="false"/>
        </w:trPr>
        <w:tc>
          <w:tcPr>
            <w:tcW w:type="dxa" w:w="22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3E4C5E"/>
                <w:spacing w:val="80"/>
                <w:sz w:val="18"/>
                <w:szCs w:val="18"/>
              </w:rPr>
              <w:t xml:space="preserve">Page Goal</w:t>
            </w:r>
          </w:p>
        </w:tc>
        <w:tc>
          <w:tcPr>
            <w:tcW w:type="dxa" w:w="716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Capture medspa-specific wholesale searches. Medspa operators are the single highest-LTV buyer segment on the platform — they have larger average order values, shorter reorder cycles, and stronger interest in the Intelligence Hub than any other buyer persona. This page is P1 among all vertical pages and should be built before /for-salons if resources are constrained.</w:t>
            </w:r>
          </w:p>
        </w:tc>
      </w:tr>
      <w:tr>
        <w:trPr>
          <w:tblHeader w:val="false"/>
        </w:trPr>
        <w:tc>
          <w:tcPr>
            <w:tcW w:type="dxa" w:w="22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b/>
                <w:bCs/>
                <w:color w:val="3E4C5E"/>
                <w:spacing w:val="80"/>
                <w:sz w:val="18"/>
                <w:szCs w:val="18"/>
              </w:rPr>
              <w:t xml:space="preserve">Search Intent</w:t>
            </w:r>
          </w:p>
        </w:tc>
        <w:tc>
          <w:tcPr>
            <w:tcW w:type="dxa" w:w="71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Commercial. Medspa operators and medical aesthetics practitioners searching for professional skincare and aesthetic supply. They are more data-literate and more brand-specific than salon owners. They are also more likely to be searching for intelligence tools, not just a wholesale source. The page must address both the procurement need and the intelligence need.</w:t>
            </w:r>
          </w:p>
        </w:tc>
      </w:tr>
      <w:tr>
        <w:trPr>
          <w:tblHeader w:val="false"/>
        </w:trPr>
        <w:tc>
          <w:tcPr>
            <w:tcW w:type="dxa" w:w="22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3E4C5E"/>
                <w:spacing w:val="80"/>
                <w:sz w:val="18"/>
                <w:szCs w:val="18"/>
              </w:rPr>
              <w:t xml:space="preserve">Primary Keyword</w:t>
            </w:r>
          </w:p>
        </w:tc>
        <w:tc>
          <w:tcPr>
            <w:tcW w:type="dxa" w:w="716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Courier New" w:cs="Courier New" w:eastAsia="Courier New" w:hAnsi="Courier New"/>
                <w:color w:val="1A3A6E"/>
                <w:sz w:val="18"/>
                <w:szCs w:val="18"/>
              </w:rPr>
              <w:t xml:space="preserve">medspa wholesale beauty supply  ·  wholesale professional skincare for medspas</w:t>
            </w:r>
          </w:p>
        </w:tc>
      </w:tr>
      <w:tr>
        <w:trPr>
          <w:tblHeader w:val="false"/>
        </w:trPr>
        <w:tc>
          <w:tcPr>
            <w:tcW w:type="dxa" w:w="22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b/>
                <w:bCs/>
                <w:color w:val="3E4C5E"/>
                <w:spacing w:val="80"/>
                <w:sz w:val="18"/>
                <w:szCs w:val="18"/>
              </w:rPr>
              <w:t xml:space="preserve">Secondary Keywords</w:t>
            </w:r>
          </w:p>
        </w:tc>
        <w:tc>
          <w:tcPr>
            <w:tcW w:type="dxa" w:w="71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Courier New" w:cs="Courier New" w:eastAsia="Courier New" w:hAnsi="Courier New"/>
                <w:color w:val="1A3A6E"/>
                <w:sz w:val="18"/>
                <w:szCs w:val="18"/>
              </w:rPr>
              <w:t xml:space="preserve">medical aesthetics wholesale  ·  medspa professional skincare wholesale  ·  aesthetics practice wholesale beauty  ·  medspa skincare supplier  ·  professional aesthetic products wholesale</w:t>
            </w:r>
          </w:p>
        </w:tc>
      </w:tr>
      <w:tr>
        <w:trPr>
          <w:tblHeader w:val="false"/>
        </w:trPr>
        <w:tc>
          <w:tcPr>
            <w:tcW w:type="dxa" w:w="22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3E4C5E"/>
                <w:spacing w:val="80"/>
                <w:sz w:val="18"/>
                <w:szCs w:val="18"/>
              </w:rPr>
              <w:t xml:space="preserve">Entity Terms to Include</w:t>
            </w:r>
          </w:p>
        </w:tc>
        <w:tc>
          <w:tcPr>
            <w:tcW w:type="dxa" w:w="716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Medspa operators · medical aesthetics · professional skincare · aesthetics practice · licensed aestheticians · treatment room · wholesale skincare · clinical beauty brands · purchasing benchmarks · Intelligence Hub · multi-brand cart · verified clinical brands</w:t>
            </w:r>
          </w:p>
        </w:tc>
      </w:tr>
      <w:tr>
        <w:trPr>
          <w:tblHeader w:val="false"/>
        </w:trPr>
        <w:tc>
          <w:tcPr>
            <w:tcW w:type="dxa" w:w="22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b/>
                <w:bCs/>
                <w:color w:val="3E4C5E"/>
                <w:spacing w:val="80"/>
                <w:sz w:val="18"/>
                <w:szCs w:val="18"/>
              </w:rPr>
              <w:t xml:space="preserve">Ideal H1</w:t>
            </w:r>
          </w:p>
        </w:tc>
        <w:tc>
          <w:tcPr>
            <w:tcW w:type="dxa" w:w="71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The wholesale marketplace built for medspas. — Direct, verticalised, keyword-present. Contains "wholesale marketplace" and "medspas" in 7 words. Parallel structure to the /for-salons H1 establishes vertical page template consistency. Alternative: "Professional-grade beauty supply for aesthetics practices." Tests the clinical / professional framing that medspa operators respond to.</w:t>
            </w:r>
          </w:p>
        </w:tc>
      </w:tr>
      <w:tr>
        <w:trPr>
          <w:tblHeader w:val="false"/>
        </w:trPr>
        <w:tc>
          <w:tcPr>
            <w:tcW w:type="dxa" w:w="22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3E4C5E"/>
                <w:spacing w:val="80"/>
                <w:sz w:val="18"/>
                <w:szCs w:val="18"/>
              </w:rPr>
              <w:t xml:space="preserve">Recommended H2 Structure</w:t>
            </w:r>
          </w:p>
        </w:tc>
        <w:tc>
          <w:tcPr>
            <w:tcW w:type="dxa" w:w="716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H2 1: The problem with sourcing for an aesthetics practice. (unlabeled problem section)  ·  H2 2: Verified clinical beauty brands. (entity coverage for medspa-specific categories)  ·  H2 3: Wholesale pricing for your practice. (tier pricing section)  ·  H2 4: Market intelligence for your treatment room. (IH section — stronger hook for medspa operators than for salon owners)  ·  H2 5: Join free. (Final CTA)</w:t>
            </w:r>
          </w:p>
        </w:tc>
      </w:tr>
      <w:tr>
        <w:trPr>
          <w:tblHeader w:val="false"/>
        </w:trPr>
        <w:tc>
          <w:tcPr>
            <w:tcW w:type="dxa" w:w="22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b/>
                <w:bCs/>
                <w:color w:val="3E4C5E"/>
                <w:spacing w:val="80"/>
                <w:sz w:val="18"/>
                <w:szCs w:val="18"/>
              </w:rPr>
              <w:t xml:space="preserve">Internal Links — In / Out</w:t>
            </w:r>
          </w:p>
        </w:tc>
        <w:tc>
          <w:tcPr>
            <w:tcW w:type="dxa" w:w="716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IN: Homepage (contextual), For Buyers (parent page — "Medspa operators" anchor), IH Teaser (medspa operators are the primary IH audience — cross-link both ways).  ·  OUT: For Buyers (parent page), Request Access (primary CTA → /portal/signup), IH Teaser (stronger cross-link here than on any other vertical page).</w:t>
            </w:r>
          </w:p>
        </w:tc>
      </w:tr>
      <w:tr>
        <w:trPr>
          <w:tblHeader w:val="false"/>
        </w:trPr>
        <w:tc>
          <w:tcPr>
            <w:tcW w:type="dxa" w:w="22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3E4C5E"/>
                <w:spacing w:val="80"/>
                <w:sz w:val="18"/>
                <w:szCs w:val="18"/>
              </w:rPr>
              <w:t xml:space="preserve">CTA Goal</w:t>
            </w:r>
          </w:p>
        </w:tc>
        <w:tc>
          <w:tcPr>
            <w:tcW w:type="dxa" w:w="716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"Create free account" → /portal/signup. Trust bar below CTA should be medspa-specific: "Free for licensed aestheticians and medspa operators · Verified clinical brands only · Includes the Intelligence Hub."</w:t>
            </w:r>
          </w:p>
        </w:tc>
      </w:tr>
      <w:tr>
        <w:trPr>
          <w:tblHeader w:val="false"/>
        </w:trPr>
        <w:tc>
          <w:tcPr>
            <w:tcW w:type="dxa" w:w="2200"/>
            <w:tcBorders>
              <w:top w:val="single" w:color="C0BCBA" w:sz="2"/>
              <w:left w:val="single" w:color="C0BCBA" w:sz="2"/>
              <w:bottom w:val="single" w:color="C0BCBA" w:sz="2"/>
              <w:right w:val="single" w:color="C0BCBA" w:sz="2"/>
            </w:tcBorders>
            <w:shd w:fill="F5F4F2" w:val="clear"/>
            <w:tcMar>
              <w:top w:type="dxa" w:w="80"/>
              <w:left w:type="dxa" w:w="160"/>
              <w:bottom w:type="dxa" w:w="80"/>
              <w:right w:type="dxa" w:w="160"/>
            </w:tcMar>
          </w:tcPr>
          <w:p>
            <w:pPr>
              <w:spacing w:after="0" w:before="0"/>
            </w:pPr>
            <w:r>
              <w:rPr>
                <w:rFonts w:ascii="Arial" w:cs="Arial" w:eastAsia="Arial" w:hAnsi="Arial"/>
                <w:b/>
                <w:bCs/>
                <w:color w:val="3E4C5E"/>
                <w:spacing w:val="80"/>
                <w:sz w:val="18"/>
                <w:szCs w:val="18"/>
              </w:rPr>
              <w:t xml:space="preserve">SEO Risks</w:t>
            </w:r>
          </w:p>
        </w:tc>
        <w:tc>
          <w:tcPr>
            <w:tcW w:type="dxa" w:w="7160"/>
            <w:tcBorders>
              <w:top w:val="single" w:color="C0BCBA" w:sz="2"/>
              <w:left w:val="single" w:color="C0BCBA" w:sz="2"/>
              <w:bottom w:val="single" w:color="C0BCBA" w:sz="2"/>
              <w:right w:val="single" w:color="C0BCBA" w:sz="2"/>
            </w:tcBorders>
            <w:shd w:fill="FFF4E8" w:val="clear"/>
            <w:tcMar>
              <w:top w:type="dxa" w:w="80"/>
              <w:left w:type="dxa" w:w="160"/>
              <w:bottom w:type="dxa" w:w="80"/>
              <w:right w:type="dxa" w:w="160"/>
            </w:tcMar>
          </w:tcPr>
          <w:p>
            <w:pPr>
              <w:spacing w:after="0" w:before="0"/>
            </w:pPr>
            <w:r>
              <w:rPr>
                <w:rFonts w:ascii="Arial" w:cs="Arial" w:eastAsia="Arial" w:hAnsi="Arial"/>
                <w:color w:val="7A4A1A"/>
                <w:sz w:val="18"/>
                <w:szCs w:val="18"/>
              </w:rPr>
              <w:t xml:space="preserve">RISK 1: Medical aesthetics language crosses into regulated territory. Avoid any language that implies medical efficacy, clinical outcomes, or treatment recommendations. "Clinical beauty brands" is acceptable. "Clinically proven skincare for your patients" is not.  ·  RISK 2: "Medspa" search terms are competitive with medical supply companies targeting the same operators. Differentiate clearly from medical supply (different product category, different acquisition model) within the first 100 words.  ·  RISK 3: Medspa operators are more skeptical of marketing language than salon owners. Thin copy with adjective-heavy language will lose them. Specificity is critical: "verified clinical beauty brands" beats "amazing professional products."</w:t>
            </w:r>
          </w:p>
        </w:tc>
      </w:tr>
      <w:tr>
        <w:trPr>
          <w:tblHeader w:val="false"/>
        </w:trPr>
        <w:tc>
          <w:tcPr>
            <w:tcW w:type="dxa" w:w="220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b/>
                <w:bCs/>
                <w:color w:val="3E4C5E"/>
                <w:spacing w:val="80"/>
                <w:sz w:val="18"/>
                <w:szCs w:val="18"/>
              </w:rPr>
              <w:t xml:space="preserve">Premium-Tone Guardrails</w:t>
            </w:r>
          </w:p>
        </w:tc>
        <w:tc>
          <w:tcPr>
            <w:tcW w:type="dxa" w:w="7160"/>
            <w:tcBorders>
              <w:top w:val="single" w:color="C0BCBA" w:sz="2"/>
              <w:left w:val="single" w:color="C0BCBA" w:sz="2"/>
              <w:bottom w:val="single" w:color="C0BCBA" w:sz="2"/>
              <w:right w:val="single" w:color="C0BCBA" w:sz="2"/>
            </w:tcBorders>
            <w:shd w:fill="ECEAE7" w:val="clear"/>
            <w:tcMar>
              <w:top w:type="dxa" w:w="80"/>
              <w:left w:type="dxa" w:w="160"/>
              <w:bottom w:type="dxa" w:w="80"/>
              <w:right w:type="dxa" w:w="160"/>
            </w:tcMar>
          </w:tcPr>
          <w:p>
            <w:pPr>
              <w:spacing w:after="0" w:before="0"/>
            </w:pPr>
            <w:r>
              <w:rPr>
                <w:rFonts w:ascii="Arial" w:cs="Arial" w:eastAsia="Arial" w:hAnsi="Arial"/>
                <w:color w:val="181614"/>
                <w:sz w:val="19"/>
                <w:szCs w:val="19"/>
              </w:rPr>
              <w:t xml:space="preserve">Use medspa-native language: "aesthetics practice," "treatment room," "licensed aesthetician," "clinical brands." "Clinical" is appropriate here as an entity term (unlike on the main site where it is a visual tone word). The Intelligence Hub is a stronger acquisition hook for this audience than for any other — lead with it earlier in the page than on other vertical pages. Premium medspa operators respond to specificity and data, not to enthusiasm.</w:t>
            </w:r>
          </w:p>
        </w:tc>
      </w:tr>
    </w:tbl>
    <w:p>
      <w:r>
        <w:br w:type="page"/>
      </w:r>
    </w:p>
    <w:p>
      <w:pPr>
        <w:pStyle w:val="Heading1"/>
        <w:spacing w:after="200" w:before="480"/>
      </w:pPr>
      <w:r>
        <w:rPr>
          <w:rFonts w:ascii="Arial" w:cs="Arial" w:eastAsia="Arial" w:hAnsi="Arial"/>
          <w:b/>
          <w:bCs/>
          <w:color w:val="181614"/>
          <w:sz w:val="44"/>
          <w:szCs w:val="44"/>
        </w:rPr>
        <w:t xml:space="preserve">Summary — Keyword Priority Map</w:t>
      </w:r>
    </w:p>
    <w:p>
      <w:pPr>
        <w:spacing w:after="160" w:before="80"/>
      </w:pPr>
      <w:r>
        <w:rPr>
          <w:rFonts w:ascii="Arial" w:cs="Arial" w:eastAsia="Arial" w:hAnsi="Arial"/>
          <w:b w:val="false"/>
          <w:bCs w:val="false"/>
          <w:color w:val="181614"/>
          <w:sz w:val="20"/>
          <w:szCs w:val="20"/>
        </w:rPr>
        <w:t xml:space="preserve">Use this map to brief Agent 10 on the complete keyword architecture. Each page is assigned one primary target. Secondary clusters expand topical authority without competing with adjacent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
        <w:gridCol w:w="100"/>
        <w:gridCol w:w="100"/>
        <w:gridCol w:w="100"/>
        <w:gridCol w:w="100"/>
      </w:tblGrid>
      <w:tr>
        <w:trPr>
          <w:tblHeader/>
        </w:trPr>
        <w:tc>
          <w:tcPr>
            <w:tcW w:type="dxa" w:w="400"/>
            <w:tcBorders>
              <w:top w:val="single" w:color="1A2030" w:sz="2"/>
              <w:left w:val="single" w:color="1A2030" w:sz="2"/>
              <w:bottom w:val="single" w:color="1A2030" w:sz="2"/>
              <w:right w:val="single" w:color="1A2030" w:sz="2"/>
            </w:tcBorders>
            <w:shd w:fill="2A3040" w:val="clear"/>
            <w:tcMar>
              <w:top w:type="dxa" w:w="80"/>
              <w:left w:type="dxa" w:w="120"/>
              <w:bottom w:type="dxa" w:w="80"/>
              <w:right w:type="dxa" w:w="120"/>
            </w:tcMar>
          </w:tcPr>
          <w:p>
            <w:pPr>
              <w:spacing w:after="0" w:before="0"/>
            </w:pPr>
            <w:r>
              <w:rPr>
                <w:rFonts w:ascii="Arial" w:cs="Arial" w:eastAsia="Arial" w:hAnsi="Arial"/>
                <w:b/>
                <w:bCs/>
                <w:color w:val="F5F4F2"/>
                <w:sz w:val="17"/>
                <w:szCs w:val="17"/>
              </w:rPr>
              <w:t xml:space="preserve">#</w:t>
            </w:r>
          </w:p>
        </w:tc>
        <w:tc>
          <w:tcPr>
            <w:tcW w:type="dxa" w:w="1400"/>
            <w:tcBorders>
              <w:top w:val="single" w:color="1A2030" w:sz="2"/>
              <w:left w:val="single" w:color="1A2030" w:sz="2"/>
              <w:bottom w:val="single" w:color="1A2030" w:sz="2"/>
              <w:right w:val="single" w:color="1A2030" w:sz="2"/>
            </w:tcBorders>
            <w:shd w:fill="2A3040" w:val="clear"/>
            <w:tcMar>
              <w:top w:type="dxa" w:w="80"/>
              <w:left w:type="dxa" w:w="120"/>
              <w:bottom w:type="dxa" w:w="80"/>
              <w:right w:type="dxa" w:w="120"/>
            </w:tcMar>
          </w:tcPr>
          <w:p>
            <w:pPr>
              <w:spacing w:after="0" w:before="0"/>
            </w:pPr>
            <w:r>
              <w:rPr>
                <w:rFonts w:ascii="Arial" w:cs="Arial" w:eastAsia="Arial" w:hAnsi="Arial"/>
                <w:b/>
                <w:bCs/>
                <w:color w:val="F5F4F2"/>
                <w:spacing w:val="80"/>
                <w:sz w:val="17"/>
                <w:szCs w:val="17"/>
              </w:rPr>
              <w:t xml:space="preserve">PAGE</w:t>
            </w:r>
          </w:p>
        </w:tc>
        <w:tc>
          <w:tcPr>
            <w:tcW w:type="dxa" w:w="2960"/>
            <w:tcBorders>
              <w:top w:val="single" w:color="1A2030" w:sz="2"/>
              <w:left w:val="single" w:color="1A2030" w:sz="2"/>
              <w:bottom w:val="single" w:color="1A2030" w:sz="2"/>
              <w:right w:val="single" w:color="1A2030" w:sz="2"/>
            </w:tcBorders>
            <w:shd w:fill="2A3040" w:val="clear"/>
            <w:tcMar>
              <w:top w:type="dxa" w:w="80"/>
              <w:left w:type="dxa" w:w="120"/>
              <w:bottom w:type="dxa" w:w="80"/>
              <w:right w:type="dxa" w:w="120"/>
            </w:tcMar>
          </w:tcPr>
          <w:p>
            <w:pPr>
              <w:spacing w:after="0" w:before="0"/>
            </w:pPr>
            <w:r>
              <w:rPr>
                <w:rFonts w:ascii="Arial" w:cs="Arial" w:eastAsia="Arial" w:hAnsi="Arial"/>
                <w:b/>
                <w:bCs/>
                <w:color w:val="F5F4F2"/>
                <w:spacing w:val="80"/>
                <w:sz w:val="17"/>
                <w:szCs w:val="17"/>
              </w:rPr>
              <w:t xml:space="preserve">PRIMARY KEYWORD</w:t>
            </w:r>
          </w:p>
        </w:tc>
        <w:tc>
          <w:tcPr>
            <w:tcW w:type="dxa" w:w="2400"/>
            <w:tcBorders>
              <w:top w:val="single" w:color="1A2030" w:sz="2"/>
              <w:left w:val="single" w:color="1A2030" w:sz="2"/>
              <w:bottom w:val="single" w:color="1A2030" w:sz="2"/>
              <w:right w:val="single" w:color="1A2030" w:sz="2"/>
            </w:tcBorders>
            <w:shd w:fill="2A3040" w:val="clear"/>
            <w:tcMar>
              <w:top w:type="dxa" w:w="80"/>
              <w:left w:type="dxa" w:w="120"/>
              <w:bottom w:type="dxa" w:w="80"/>
              <w:right w:type="dxa" w:w="120"/>
            </w:tcMar>
          </w:tcPr>
          <w:p>
            <w:pPr>
              <w:spacing w:after="0" w:before="0"/>
            </w:pPr>
            <w:r>
              <w:rPr>
                <w:rFonts w:ascii="Arial" w:cs="Arial" w:eastAsia="Arial" w:hAnsi="Arial"/>
                <w:b/>
                <w:bCs/>
                <w:color w:val="F5F4F2"/>
                <w:spacing w:val="80"/>
                <w:sz w:val="17"/>
                <w:szCs w:val="17"/>
              </w:rPr>
              <w:t xml:space="preserve">INTENT</w:t>
            </w:r>
          </w:p>
        </w:tc>
        <w:tc>
          <w:tcPr>
            <w:tcW w:type="dxa" w:w="2200"/>
            <w:tcBorders>
              <w:top w:val="single" w:color="1A2030" w:sz="2"/>
              <w:left w:val="single" w:color="1A2030" w:sz="2"/>
              <w:bottom w:val="single" w:color="1A2030" w:sz="2"/>
              <w:right w:val="single" w:color="1A2030" w:sz="2"/>
            </w:tcBorders>
            <w:shd w:fill="2A3040" w:val="clear"/>
            <w:tcMar>
              <w:top w:type="dxa" w:w="80"/>
              <w:left w:type="dxa" w:w="120"/>
              <w:bottom w:type="dxa" w:w="80"/>
              <w:right w:type="dxa" w:w="120"/>
            </w:tcMar>
          </w:tcPr>
          <w:p>
            <w:pPr>
              <w:spacing w:after="0" w:before="0"/>
            </w:pPr>
            <w:r>
              <w:rPr>
                <w:rFonts w:ascii="Arial" w:cs="Arial" w:eastAsia="Arial" w:hAnsi="Arial"/>
                <w:b/>
                <w:bCs/>
                <w:color w:val="F5F4F2"/>
                <w:spacing w:val="80"/>
                <w:sz w:val="17"/>
                <w:szCs w:val="17"/>
              </w:rPr>
              <w:t xml:space="preserve">BUILD WAVE</w:t>
            </w:r>
          </w:p>
        </w:tc>
      </w:tr>
      <w:tr>
        <w:trPr>
          <w:tblHeader w:val="false"/>
        </w:trPr>
        <w:tc>
          <w:tcPr>
            <w:tcW w:type="dxa" w:w="400"/>
            <w:tcBorders>
              <w:top w:val="single" w:color="C0BCBA" w:sz="2"/>
              <w:left w:val="single" w:color="C0BCBA" w:sz="2"/>
              <w:bottom w:val="single" w:color="C0BCBA" w:sz="2"/>
              <w:right w:val="single" w:color="C0BCBA" w:sz="2"/>
            </w:tcBorders>
            <w:shd w:fill="ECEAE7" w:val="clear"/>
            <w:tcMar>
              <w:top w:type="dxa" w:w="80"/>
              <w:left w:type="dxa" w:w="120"/>
              <w:bottom w:type="dxa" w:w="80"/>
              <w:right w:type="dxa" w:w="120"/>
            </w:tcMar>
          </w:tcPr>
          <w:p>
            <w:pPr>
              <w:spacing w:after="0" w:before="0"/>
            </w:pPr>
            <w:r>
              <w:rPr>
                <w:rFonts w:ascii="Arial" w:cs="Arial" w:eastAsia="Arial" w:hAnsi="Arial"/>
                <w:b/>
                <w:bCs/>
                <w:color w:val="3E4C5E"/>
                <w:sz w:val="18"/>
                <w:szCs w:val="18"/>
              </w:rPr>
              <w:t xml:space="preserve">01</w:t>
            </w:r>
          </w:p>
        </w:tc>
        <w:tc>
          <w:tcPr>
            <w:tcW w:type="dxa" w:w="1400"/>
            <w:tcBorders>
              <w:top w:val="single" w:color="C0BCBA" w:sz="2"/>
              <w:left w:val="single" w:color="C0BCBA" w:sz="2"/>
              <w:bottom w:val="single" w:color="C0BCBA" w:sz="2"/>
              <w:right w:val="single" w:color="C0BCBA" w:sz="2"/>
            </w:tcBorders>
            <w:shd w:fill="ECEAE7" w:val="clear"/>
            <w:tcMar>
              <w:top w:type="dxa" w:w="80"/>
              <w:left w:type="dxa" w:w="120"/>
              <w:bottom w:type="dxa" w:w="80"/>
              <w:right w:type="dxa" w:w="120"/>
            </w:tcMar>
          </w:tcPr>
          <w:p>
            <w:pPr>
              <w:spacing w:after="0" w:before="0"/>
            </w:pPr>
            <w:r>
              <w:rPr>
                <w:rFonts w:ascii="Arial" w:cs="Arial" w:eastAsia="Arial" w:hAnsi="Arial"/>
                <w:b/>
                <w:bCs/>
                <w:color w:val="181614"/>
                <w:sz w:val="18"/>
                <w:szCs w:val="18"/>
              </w:rPr>
              <w:t xml:space="preserve">Homepage</w:t>
            </w:r>
          </w:p>
        </w:tc>
        <w:tc>
          <w:tcPr>
            <w:tcW w:type="dxa" w:w="2960"/>
            <w:tcBorders>
              <w:top w:val="single" w:color="C0BCBA" w:sz="2"/>
              <w:left w:val="single" w:color="C0BCBA" w:sz="2"/>
              <w:bottom w:val="single" w:color="C0BCBA" w:sz="2"/>
              <w:right w:val="single" w:color="C0BCBA" w:sz="2"/>
            </w:tcBorders>
            <w:shd w:fill="ECEAE7" w:val="clear"/>
            <w:tcMar>
              <w:top w:type="dxa" w:w="80"/>
              <w:left w:type="dxa" w:w="120"/>
              <w:bottom w:type="dxa" w:w="80"/>
              <w:right w:type="dxa" w:w="120"/>
            </w:tcMar>
          </w:tcPr>
          <w:p>
            <w:pPr>
              <w:spacing w:after="0" w:before="0"/>
            </w:pPr>
            <w:r>
              <w:rPr>
                <w:rFonts w:ascii="Courier New" w:cs="Courier New" w:eastAsia="Courier New" w:hAnsi="Courier New"/>
                <w:color w:val="1A3A6E"/>
                <w:sz w:val="17"/>
                <w:szCs w:val="17"/>
              </w:rPr>
              <w:t xml:space="preserve">professional beauty wholesale marketplace</w:t>
            </w:r>
          </w:p>
        </w:tc>
        <w:tc>
          <w:tcPr>
            <w:tcW w:type="dxa" w:w="2400"/>
            <w:tcBorders>
              <w:top w:val="single" w:color="C0BCBA" w:sz="2"/>
              <w:left w:val="single" w:color="C0BCBA" w:sz="2"/>
              <w:bottom w:val="single" w:color="C0BCBA" w:sz="2"/>
              <w:right w:val="single" w:color="C0BCBA" w:sz="2"/>
            </w:tcBorders>
            <w:shd w:fill="ECEAE7" w:val="clear"/>
            <w:tcMar>
              <w:top w:type="dxa" w:w="80"/>
              <w:left w:type="dxa" w:w="120"/>
              <w:bottom w:type="dxa" w:w="80"/>
              <w:right w:type="dxa" w:w="120"/>
            </w:tcMar>
          </w:tcPr>
          <w:p>
            <w:pPr>
              <w:spacing w:after="0" w:before="0"/>
            </w:pPr>
            <w:r>
              <w:rPr>
                <w:rFonts w:ascii="Arial" w:cs="Arial" w:eastAsia="Arial" w:hAnsi="Arial"/>
                <w:color w:val="181614"/>
                <w:sz w:val="18"/>
                <w:szCs w:val="18"/>
              </w:rPr>
              <w:t xml:space="preserve">Commercial + Navigational</w:t>
            </w:r>
          </w:p>
        </w:tc>
        <w:tc>
          <w:tcPr>
            <w:tcW w:type="dxa" w:w="2200"/>
            <w:tcBorders>
              <w:top w:val="single" w:color="C0BCBA" w:sz="2"/>
              <w:left w:val="single" w:color="C0BCBA" w:sz="2"/>
              <w:bottom w:val="single" w:color="C0BCBA" w:sz="2"/>
              <w:right w:val="single" w:color="C0BCBA" w:sz="2"/>
            </w:tcBorders>
            <w:shd w:fill="ECEAE7" w:val="clear"/>
            <w:tcMar>
              <w:top w:type="dxa" w:w="80"/>
              <w:left w:type="dxa" w:w="120"/>
              <w:bottom w:type="dxa" w:w="80"/>
              <w:right w:type="dxa" w:w="120"/>
            </w:tcMar>
          </w:tcPr>
          <w:p>
            <w:pPr>
              <w:spacing w:after="0" w:before="0"/>
            </w:pPr>
            <w:r>
              <w:rPr>
                <w:rFonts w:ascii="Arial" w:cs="Arial" w:eastAsia="Arial" w:hAnsi="Arial"/>
                <w:color w:val="6E6A65"/>
                <w:sz w:val="18"/>
                <w:szCs w:val="18"/>
              </w:rPr>
              <w:t xml:space="preserve">Wave 3A</w:t>
            </w:r>
          </w:p>
        </w:tc>
      </w:tr>
      <w:tr>
        <w:trPr>
          <w:tblHeader w:val="false"/>
        </w:trPr>
        <w:tc>
          <w:tcPr>
            <w:tcW w:type="dxa" w:w="400"/>
            <w:tcBorders>
              <w:top w:val="single" w:color="C0BCBA" w:sz="2"/>
              <w:left w:val="single" w:color="C0BCBA" w:sz="2"/>
              <w:bottom w:val="single" w:color="C0BCBA" w:sz="2"/>
              <w:right w:val="single" w:color="C0BCBA" w:sz="2"/>
            </w:tcBorders>
            <w:shd w:fill="F5F4F2" w:val="clear"/>
            <w:tcMar>
              <w:top w:type="dxa" w:w="80"/>
              <w:left w:type="dxa" w:w="120"/>
              <w:bottom w:type="dxa" w:w="80"/>
              <w:right w:type="dxa" w:w="120"/>
            </w:tcMar>
          </w:tcPr>
          <w:p>
            <w:pPr>
              <w:spacing w:after="0" w:before="0"/>
            </w:pPr>
            <w:r>
              <w:rPr>
                <w:rFonts w:ascii="Arial" w:cs="Arial" w:eastAsia="Arial" w:hAnsi="Arial"/>
                <w:b/>
                <w:bCs/>
                <w:color w:val="3E4C5E"/>
                <w:sz w:val="18"/>
                <w:szCs w:val="18"/>
              </w:rPr>
              <w:t xml:space="preserve">02</w:t>
            </w:r>
          </w:p>
        </w:tc>
        <w:tc>
          <w:tcPr>
            <w:tcW w:type="dxa" w:w="1400"/>
            <w:tcBorders>
              <w:top w:val="single" w:color="C0BCBA" w:sz="2"/>
              <w:left w:val="single" w:color="C0BCBA" w:sz="2"/>
              <w:bottom w:val="single" w:color="C0BCBA" w:sz="2"/>
              <w:right w:val="single" w:color="C0BCBA" w:sz="2"/>
            </w:tcBorders>
            <w:shd w:fill="F5F4F2" w:val="clear"/>
            <w:tcMar>
              <w:top w:type="dxa" w:w="80"/>
              <w:left w:type="dxa" w:w="120"/>
              <w:bottom w:type="dxa" w:w="80"/>
              <w:right w:type="dxa" w:w="120"/>
            </w:tcMar>
          </w:tcPr>
          <w:p>
            <w:pPr>
              <w:spacing w:after="0" w:before="0"/>
            </w:pPr>
            <w:r>
              <w:rPr>
                <w:rFonts w:ascii="Arial" w:cs="Arial" w:eastAsia="Arial" w:hAnsi="Arial"/>
                <w:b/>
                <w:bCs/>
                <w:color w:val="181614"/>
                <w:sz w:val="18"/>
                <w:szCs w:val="18"/>
              </w:rPr>
              <w:t xml:space="preserve">For Buyers</w:t>
            </w:r>
          </w:p>
        </w:tc>
        <w:tc>
          <w:tcPr>
            <w:tcW w:type="dxa" w:w="2960"/>
            <w:tcBorders>
              <w:top w:val="single" w:color="C0BCBA" w:sz="2"/>
              <w:left w:val="single" w:color="C0BCBA" w:sz="2"/>
              <w:bottom w:val="single" w:color="C0BCBA" w:sz="2"/>
              <w:right w:val="single" w:color="C0BCBA" w:sz="2"/>
            </w:tcBorders>
            <w:shd w:fill="F5F4F2" w:val="clear"/>
            <w:tcMar>
              <w:top w:type="dxa" w:w="80"/>
              <w:left w:type="dxa" w:w="120"/>
              <w:bottom w:type="dxa" w:w="80"/>
              <w:right w:type="dxa" w:w="120"/>
            </w:tcMar>
          </w:tcPr>
          <w:p>
            <w:pPr>
              <w:spacing w:after="0" w:before="0"/>
            </w:pPr>
            <w:r>
              <w:rPr>
                <w:rFonts w:ascii="Courier New" w:cs="Courier New" w:eastAsia="Courier New" w:hAnsi="Courier New"/>
                <w:color w:val="1A3A6E"/>
                <w:sz w:val="17"/>
                <w:szCs w:val="17"/>
              </w:rPr>
              <w:t xml:space="preserve">salon wholesale marketplace</w:t>
            </w:r>
          </w:p>
        </w:tc>
        <w:tc>
          <w:tcPr>
            <w:tcW w:type="dxa" w:w="2400"/>
            <w:tcBorders>
              <w:top w:val="single" w:color="C0BCBA" w:sz="2"/>
              <w:left w:val="single" w:color="C0BCBA" w:sz="2"/>
              <w:bottom w:val="single" w:color="C0BCBA" w:sz="2"/>
              <w:right w:val="single" w:color="C0BCBA" w:sz="2"/>
            </w:tcBorders>
            <w:shd w:fill="F5F4F2" w:val="clear"/>
            <w:tcMar>
              <w:top w:type="dxa" w:w="80"/>
              <w:left w:type="dxa" w:w="120"/>
              <w:bottom w:type="dxa" w:w="80"/>
              <w:right w:type="dxa" w:w="120"/>
            </w:tcMar>
          </w:tcPr>
          <w:p>
            <w:pPr>
              <w:spacing w:after="0" w:before="0"/>
            </w:pPr>
            <w:r>
              <w:rPr>
                <w:rFonts w:ascii="Arial" w:cs="Arial" w:eastAsia="Arial" w:hAnsi="Arial"/>
                <w:color w:val="181614"/>
                <w:sz w:val="18"/>
                <w:szCs w:val="18"/>
              </w:rPr>
              <w:t xml:space="preserve">Commercial</w:t>
            </w:r>
          </w:p>
        </w:tc>
        <w:tc>
          <w:tcPr>
            <w:tcW w:type="dxa" w:w="2200"/>
            <w:tcBorders>
              <w:top w:val="single" w:color="C0BCBA" w:sz="2"/>
              <w:left w:val="single" w:color="C0BCBA" w:sz="2"/>
              <w:bottom w:val="single" w:color="C0BCBA" w:sz="2"/>
              <w:right w:val="single" w:color="C0BCBA" w:sz="2"/>
            </w:tcBorders>
            <w:shd w:fill="F5F4F2" w:val="clear"/>
            <w:tcMar>
              <w:top w:type="dxa" w:w="80"/>
              <w:left w:type="dxa" w:w="120"/>
              <w:bottom w:type="dxa" w:w="80"/>
              <w:right w:type="dxa" w:w="120"/>
            </w:tcMar>
          </w:tcPr>
          <w:p>
            <w:pPr>
              <w:spacing w:after="0" w:before="0"/>
            </w:pPr>
            <w:r>
              <w:rPr>
                <w:rFonts w:ascii="Arial" w:cs="Arial" w:eastAsia="Arial" w:hAnsi="Arial"/>
                <w:color w:val="6E6A65"/>
                <w:sz w:val="18"/>
                <w:szCs w:val="18"/>
              </w:rPr>
              <w:t xml:space="preserve">Wave 3A</w:t>
            </w:r>
          </w:p>
        </w:tc>
      </w:tr>
      <w:tr>
        <w:trPr>
          <w:tblHeader w:val="false"/>
        </w:trPr>
        <w:tc>
          <w:tcPr>
            <w:tcW w:type="dxa" w:w="400"/>
            <w:tcBorders>
              <w:top w:val="single" w:color="C0BCBA" w:sz="2"/>
              <w:left w:val="single" w:color="C0BCBA" w:sz="2"/>
              <w:bottom w:val="single" w:color="C0BCBA" w:sz="2"/>
              <w:right w:val="single" w:color="C0BCBA" w:sz="2"/>
            </w:tcBorders>
            <w:shd w:fill="ECEAE7" w:val="clear"/>
            <w:tcMar>
              <w:top w:type="dxa" w:w="80"/>
              <w:left w:type="dxa" w:w="120"/>
              <w:bottom w:type="dxa" w:w="80"/>
              <w:right w:type="dxa" w:w="120"/>
            </w:tcMar>
          </w:tcPr>
          <w:p>
            <w:pPr>
              <w:spacing w:after="0" w:before="0"/>
            </w:pPr>
            <w:r>
              <w:rPr>
                <w:rFonts w:ascii="Arial" w:cs="Arial" w:eastAsia="Arial" w:hAnsi="Arial"/>
                <w:b/>
                <w:bCs/>
                <w:color w:val="3E4C5E"/>
                <w:sz w:val="18"/>
                <w:szCs w:val="18"/>
              </w:rPr>
              <w:t xml:space="preserve">03</w:t>
            </w:r>
          </w:p>
        </w:tc>
        <w:tc>
          <w:tcPr>
            <w:tcW w:type="dxa" w:w="1400"/>
            <w:tcBorders>
              <w:top w:val="single" w:color="C0BCBA" w:sz="2"/>
              <w:left w:val="single" w:color="C0BCBA" w:sz="2"/>
              <w:bottom w:val="single" w:color="C0BCBA" w:sz="2"/>
              <w:right w:val="single" w:color="C0BCBA" w:sz="2"/>
            </w:tcBorders>
            <w:shd w:fill="ECEAE7" w:val="clear"/>
            <w:tcMar>
              <w:top w:type="dxa" w:w="80"/>
              <w:left w:type="dxa" w:w="120"/>
              <w:bottom w:type="dxa" w:w="80"/>
              <w:right w:type="dxa" w:w="120"/>
            </w:tcMar>
          </w:tcPr>
          <w:p>
            <w:pPr>
              <w:spacing w:after="0" w:before="0"/>
            </w:pPr>
            <w:r>
              <w:rPr>
                <w:rFonts w:ascii="Arial" w:cs="Arial" w:eastAsia="Arial" w:hAnsi="Arial"/>
                <w:b/>
                <w:bCs/>
                <w:color w:val="181614"/>
                <w:sz w:val="18"/>
                <w:szCs w:val="18"/>
              </w:rPr>
              <w:t xml:space="preserve">For Brands</w:t>
            </w:r>
          </w:p>
        </w:tc>
        <w:tc>
          <w:tcPr>
            <w:tcW w:type="dxa" w:w="2960"/>
            <w:tcBorders>
              <w:top w:val="single" w:color="C0BCBA" w:sz="2"/>
              <w:left w:val="single" w:color="C0BCBA" w:sz="2"/>
              <w:bottom w:val="single" w:color="C0BCBA" w:sz="2"/>
              <w:right w:val="single" w:color="C0BCBA" w:sz="2"/>
            </w:tcBorders>
            <w:shd w:fill="ECEAE7" w:val="clear"/>
            <w:tcMar>
              <w:top w:type="dxa" w:w="80"/>
              <w:left w:type="dxa" w:w="120"/>
              <w:bottom w:type="dxa" w:w="80"/>
              <w:right w:type="dxa" w:w="120"/>
            </w:tcMar>
          </w:tcPr>
          <w:p>
            <w:pPr>
              <w:spacing w:after="0" w:before="0"/>
            </w:pPr>
            <w:r>
              <w:rPr>
                <w:rFonts w:ascii="Courier New" w:cs="Courier New" w:eastAsia="Courier New" w:hAnsi="Courier New"/>
                <w:color w:val="1A3A6E"/>
                <w:sz w:val="17"/>
                <w:szCs w:val="17"/>
              </w:rPr>
              <w:t xml:space="preserve">wholesale platform for beauty brands</w:t>
            </w:r>
          </w:p>
        </w:tc>
        <w:tc>
          <w:tcPr>
            <w:tcW w:type="dxa" w:w="2400"/>
            <w:tcBorders>
              <w:top w:val="single" w:color="C0BCBA" w:sz="2"/>
              <w:left w:val="single" w:color="C0BCBA" w:sz="2"/>
              <w:bottom w:val="single" w:color="C0BCBA" w:sz="2"/>
              <w:right w:val="single" w:color="C0BCBA" w:sz="2"/>
            </w:tcBorders>
            <w:shd w:fill="ECEAE7" w:val="clear"/>
            <w:tcMar>
              <w:top w:type="dxa" w:w="80"/>
              <w:left w:type="dxa" w:w="120"/>
              <w:bottom w:type="dxa" w:w="80"/>
              <w:right w:type="dxa" w:w="120"/>
            </w:tcMar>
          </w:tcPr>
          <w:p>
            <w:pPr>
              <w:spacing w:after="0" w:before="0"/>
            </w:pPr>
            <w:r>
              <w:rPr>
                <w:rFonts w:ascii="Arial" w:cs="Arial" w:eastAsia="Arial" w:hAnsi="Arial"/>
                <w:color w:val="181614"/>
                <w:sz w:val="18"/>
                <w:szCs w:val="18"/>
              </w:rPr>
              <w:t xml:space="preserve">Commercial</w:t>
            </w:r>
          </w:p>
        </w:tc>
        <w:tc>
          <w:tcPr>
            <w:tcW w:type="dxa" w:w="2200"/>
            <w:tcBorders>
              <w:top w:val="single" w:color="C0BCBA" w:sz="2"/>
              <w:left w:val="single" w:color="C0BCBA" w:sz="2"/>
              <w:bottom w:val="single" w:color="C0BCBA" w:sz="2"/>
              <w:right w:val="single" w:color="C0BCBA" w:sz="2"/>
            </w:tcBorders>
            <w:shd w:fill="ECEAE7" w:val="clear"/>
            <w:tcMar>
              <w:top w:type="dxa" w:w="80"/>
              <w:left w:type="dxa" w:w="120"/>
              <w:bottom w:type="dxa" w:w="80"/>
              <w:right w:type="dxa" w:w="120"/>
            </w:tcMar>
          </w:tcPr>
          <w:p>
            <w:pPr>
              <w:spacing w:after="0" w:before="0"/>
            </w:pPr>
            <w:r>
              <w:rPr>
                <w:rFonts w:ascii="Arial" w:cs="Arial" w:eastAsia="Arial" w:hAnsi="Arial"/>
                <w:color w:val="6E6A65"/>
                <w:sz w:val="18"/>
                <w:szCs w:val="18"/>
              </w:rPr>
              <w:t xml:space="preserve">Wave 3C</w:t>
            </w:r>
          </w:p>
        </w:tc>
      </w:tr>
      <w:tr>
        <w:trPr>
          <w:tblHeader w:val="false"/>
        </w:trPr>
        <w:tc>
          <w:tcPr>
            <w:tcW w:type="dxa" w:w="400"/>
            <w:tcBorders>
              <w:top w:val="single" w:color="C0BCBA" w:sz="2"/>
              <w:left w:val="single" w:color="C0BCBA" w:sz="2"/>
              <w:bottom w:val="single" w:color="C0BCBA" w:sz="2"/>
              <w:right w:val="single" w:color="C0BCBA" w:sz="2"/>
            </w:tcBorders>
            <w:shd w:fill="F5F4F2" w:val="clear"/>
            <w:tcMar>
              <w:top w:type="dxa" w:w="80"/>
              <w:left w:type="dxa" w:w="120"/>
              <w:bottom w:type="dxa" w:w="80"/>
              <w:right w:type="dxa" w:w="120"/>
            </w:tcMar>
          </w:tcPr>
          <w:p>
            <w:pPr>
              <w:spacing w:after="0" w:before="0"/>
            </w:pPr>
            <w:r>
              <w:rPr>
                <w:rFonts w:ascii="Arial" w:cs="Arial" w:eastAsia="Arial" w:hAnsi="Arial"/>
                <w:b/>
                <w:bCs/>
                <w:color w:val="3E4C5E"/>
                <w:sz w:val="18"/>
                <w:szCs w:val="18"/>
              </w:rPr>
              <w:t xml:space="preserve">04</w:t>
            </w:r>
          </w:p>
        </w:tc>
        <w:tc>
          <w:tcPr>
            <w:tcW w:type="dxa" w:w="1400"/>
            <w:tcBorders>
              <w:top w:val="single" w:color="C0BCBA" w:sz="2"/>
              <w:left w:val="single" w:color="C0BCBA" w:sz="2"/>
              <w:bottom w:val="single" w:color="C0BCBA" w:sz="2"/>
              <w:right w:val="single" w:color="C0BCBA" w:sz="2"/>
            </w:tcBorders>
            <w:shd w:fill="F5F4F2" w:val="clear"/>
            <w:tcMar>
              <w:top w:type="dxa" w:w="80"/>
              <w:left w:type="dxa" w:w="120"/>
              <w:bottom w:type="dxa" w:w="80"/>
              <w:right w:type="dxa" w:w="120"/>
            </w:tcMar>
          </w:tcPr>
          <w:p>
            <w:pPr>
              <w:spacing w:after="0" w:before="0"/>
            </w:pPr>
            <w:r>
              <w:rPr>
                <w:rFonts w:ascii="Arial" w:cs="Arial" w:eastAsia="Arial" w:hAnsi="Arial"/>
                <w:b/>
                <w:bCs/>
                <w:color w:val="181614"/>
                <w:sz w:val="18"/>
                <w:szCs w:val="18"/>
              </w:rPr>
              <w:t xml:space="preserve">About</w:t>
            </w:r>
          </w:p>
        </w:tc>
        <w:tc>
          <w:tcPr>
            <w:tcW w:type="dxa" w:w="2960"/>
            <w:tcBorders>
              <w:top w:val="single" w:color="C0BCBA" w:sz="2"/>
              <w:left w:val="single" w:color="C0BCBA" w:sz="2"/>
              <w:bottom w:val="single" w:color="C0BCBA" w:sz="2"/>
              <w:right w:val="single" w:color="C0BCBA" w:sz="2"/>
            </w:tcBorders>
            <w:shd w:fill="F5F4F2" w:val="clear"/>
            <w:tcMar>
              <w:top w:type="dxa" w:w="80"/>
              <w:left w:type="dxa" w:w="120"/>
              <w:bottom w:type="dxa" w:w="80"/>
              <w:right w:type="dxa" w:w="120"/>
            </w:tcMar>
          </w:tcPr>
          <w:p>
            <w:pPr>
              <w:spacing w:after="0" w:before="0"/>
            </w:pPr>
            <w:r>
              <w:rPr>
                <w:rFonts w:ascii="Courier New" w:cs="Courier New" w:eastAsia="Courier New" w:hAnsi="Courier New"/>
                <w:color w:val="1A3A6E"/>
                <w:sz w:val="17"/>
                <w:szCs w:val="17"/>
              </w:rPr>
              <w:t xml:space="preserve">Socelle professional beauty marketplace</w:t>
            </w:r>
          </w:p>
        </w:tc>
        <w:tc>
          <w:tcPr>
            <w:tcW w:type="dxa" w:w="2400"/>
            <w:tcBorders>
              <w:top w:val="single" w:color="C0BCBA" w:sz="2"/>
              <w:left w:val="single" w:color="C0BCBA" w:sz="2"/>
              <w:bottom w:val="single" w:color="C0BCBA" w:sz="2"/>
              <w:right w:val="single" w:color="C0BCBA" w:sz="2"/>
            </w:tcBorders>
            <w:shd w:fill="F5F4F2" w:val="clear"/>
            <w:tcMar>
              <w:top w:type="dxa" w:w="80"/>
              <w:left w:type="dxa" w:w="120"/>
              <w:bottom w:type="dxa" w:w="80"/>
              <w:right w:type="dxa" w:w="120"/>
            </w:tcMar>
          </w:tcPr>
          <w:p>
            <w:pPr>
              <w:spacing w:after="0" w:before="0"/>
            </w:pPr>
            <w:r>
              <w:rPr>
                <w:rFonts w:ascii="Arial" w:cs="Arial" w:eastAsia="Arial" w:hAnsi="Arial"/>
                <w:color w:val="181614"/>
                <w:sz w:val="18"/>
                <w:szCs w:val="18"/>
              </w:rPr>
              <w:t xml:space="preserve">Navigational / Informational</w:t>
            </w:r>
          </w:p>
        </w:tc>
        <w:tc>
          <w:tcPr>
            <w:tcW w:type="dxa" w:w="2200"/>
            <w:tcBorders>
              <w:top w:val="single" w:color="C0BCBA" w:sz="2"/>
              <w:left w:val="single" w:color="C0BCBA" w:sz="2"/>
              <w:bottom w:val="single" w:color="C0BCBA" w:sz="2"/>
              <w:right w:val="single" w:color="C0BCBA" w:sz="2"/>
            </w:tcBorders>
            <w:shd w:fill="F5F4F2" w:val="clear"/>
            <w:tcMar>
              <w:top w:type="dxa" w:w="80"/>
              <w:left w:type="dxa" w:w="120"/>
              <w:bottom w:type="dxa" w:w="80"/>
              <w:right w:type="dxa" w:w="120"/>
            </w:tcMar>
          </w:tcPr>
          <w:p>
            <w:pPr>
              <w:spacing w:after="0" w:before="0"/>
            </w:pPr>
            <w:r>
              <w:rPr>
                <w:rFonts w:ascii="Arial" w:cs="Arial" w:eastAsia="Arial" w:hAnsi="Arial"/>
                <w:color w:val="6E6A65"/>
                <w:sz w:val="18"/>
                <w:szCs w:val="18"/>
              </w:rPr>
              <w:t xml:space="preserve">Wave 3C</w:t>
            </w:r>
          </w:p>
        </w:tc>
      </w:tr>
      <w:tr>
        <w:trPr>
          <w:tblHeader w:val="false"/>
        </w:trPr>
        <w:tc>
          <w:tcPr>
            <w:tcW w:type="dxa" w:w="400"/>
            <w:tcBorders>
              <w:top w:val="single" w:color="C0BCBA" w:sz="2"/>
              <w:left w:val="single" w:color="C0BCBA" w:sz="2"/>
              <w:bottom w:val="single" w:color="C0BCBA" w:sz="2"/>
              <w:right w:val="single" w:color="C0BCBA" w:sz="2"/>
            </w:tcBorders>
            <w:shd w:fill="ECEAE7" w:val="clear"/>
            <w:tcMar>
              <w:top w:type="dxa" w:w="80"/>
              <w:left w:type="dxa" w:w="120"/>
              <w:bottom w:type="dxa" w:w="80"/>
              <w:right w:type="dxa" w:w="120"/>
            </w:tcMar>
          </w:tcPr>
          <w:p>
            <w:pPr>
              <w:spacing w:after="0" w:before="0"/>
            </w:pPr>
            <w:r>
              <w:rPr>
                <w:rFonts w:ascii="Arial" w:cs="Arial" w:eastAsia="Arial" w:hAnsi="Arial"/>
                <w:b/>
                <w:bCs/>
                <w:color w:val="3E4C5E"/>
                <w:sz w:val="18"/>
                <w:szCs w:val="18"/>
              </w:rPr>
              <w:t xml:space="preserve">05</w:t>
            </w:r>
          </w:p>
        </w:tc>
        <w:tc>
          <w:tcPr>
            <w:tcW w:type="dxa" w:w="1400"/>
            <w:tcBorders>
              <w:top w:val="single" w:color="C0BCBA" w:sz="2"/>
              <w:left w:val="single" w:color="C0BCBA" w:sz="2"/>
              <w:bottom w:val="single" w:color="C0BCBA" w:sz="2"/>
              <w:right w:val="single" w:color="C0BCBA" w:sz="2"/>
            </w:tcBorders>
            <w:shd w:fill="ECEAE7" w:val="clear"/>
            <w:tcMar>
              <w:top w:type="dxa" w:w="80"/>
              <w:left w:type="dxa" w:w="120"/>
              <w:bottom w:type="dxa" w:w="80"/>
              <w:right w:type="dxa" w:w="120"/>
            </w:tcMar>
          </w:tcPr>
          <w:p>
            <w:pPr>
              <w:spacing w:after="0" w:before="0"/>
            </w:pPr>
            <w:r>
              <w:rPr>
                <w:rFonts w:ascii="Arial" w:cs="Arial" w:eastAsia="Arial" w:hAnsi="Arial"/>
                <w:b/>
                <w:bCs/>
                <w:color w:val="181614"/>
                <w:sz w:val="18"/>
                <w:szCs w:val="18"/>
              </w:rPr>
              <w:t xml:space="preserve">How It Works</w:t>
            </w:r>
          </w:p>
        </w:tc>
        <w:tc>
          <w:tcPr>
            <w:tcW w:type="dxa" w:w="2960"/>
            <w:tcBorders>
              <w:top w:val="single" w:color="C0BCBA" w:sz="2"/>
              <w:left w:val="single" w:color="C0BCBA" w:sz="2"/>
              <w:bottom w:val="single" w:color="C0BCBA" w:sz="2"/>
              <w:right w:val="single" w:color="C0BCBA" w:sz="2"/>
            </w:tcBorders>
            <w:shd w:fill="ECEAE7" w:val="clear"/>
            <w:tcMar>
              <w:top w:type="dxa" w:w="80"/>
              <w:left w:type="dxa" w:w="120"/>
              <w:bottom w:type="dxa" w:w="80"/>
              <w:right w:type="dxa" w:w="120"/>
            </w:tcMar>
          </w:tcPr>
          <w:p>
            <w:pPr>
              <w:spacing w:after="0" w:before="0"/>
            </w:pPr>
            <w:r>
              <w:rPr>
                <w:rFonts w:ascii="Courier New" w:cs="Courier New" w:eastAsia="Courier New" w:hAnsi="Courier New"/>
                <w:color w:val="1A3A6E"/>
                <w:sz w:val="17"/>
                <w:szCs w:val="17"/>
              </w:rPr>
              <w:t xml:space="preserve">how professional beauty wholesale works</w:t>
            </w:r>
          </w:p>
        </w:tc>
        <w:tc>
          <w:tcPr>
            <w:tcW w:type="dxa" w:w="2400"/>
            <w:tcBorders>
              <w:top w:val="single" w:color="C0BCBA" w:sz="2"/>
              <w:left w:val="single" w:color="C0BCBA" w:sz="2"/>
              <w:bottom w:val="single" w:color="C0BCBA" w:sz="2"/>
              <w:right w:val="single" w:color="C0BCBA" w:sz="2"/>
            </w:tcBorders>
            <w:shd w:fill="ECEAE7" w:val="clear"/>
            <w:tcMar>
              <w:top w:type="dxa" w:w="80"/>
              <w:left w:type="dxa" w:w="120"/>
              <w:bottom w:type="dxa" w:w="80"/>
              <w:right w:type="dxa" w:w="120"/>
            </w:tcMar>
          </w:tcPr>
          <w:p>
            <w:pPr>
              <w:spacing w:after="0" w:before="0"/>
            </w:pPr>
            <w:r>
              <w:rPr>
                <w:rFonts w:ascii="Arial" w:cs="Arial" w:eastAsia="Arial" w:hAnsi="Arial"/>
                <w:color w:val="181614"/>
                <w:sz w:val="18"/>
                <w:szCs w:val="18"/>
              </w:rPr>
              <w:t xml:space="preserve">Informational</w:t>
            </w:r>
          </w:p>
        </w:tc>
        <w:tc>
          <w:tcPr>
            <w:tcW w:type="dxa" w:w="2200"/>
            <w:tcBorders>
              <w:top w:val="single" w:color="C0BCBA" w:sz="2"/>
              <w:left w:val="single" w:color="C0BCBA" w:sz="2"/>
              <w:bottom w:val="single" w:color="C0BCBA" w:sz="2"/>
              <w:right w:val="single" w:color="C0BCBA" w:sz="2"/>
            </w:tcBorders>
            <w:shd w:fill="ECEAE7" w:val="clear"/>
            <w:tcMar>
              <w:top w:type="dxa" w:w="80"/>
              <w:left w:type="dxa" w:w="120"/>
              <w:bottom w:type="dxa" w:w="80"/>
              <w:right w:type="dxa" w:w="120"/>
            </w:tcMar>
          </w:tcPr>
          <w:p>
            <w:pPr>
              <w:spacing w:after="0" w:before="0"/>
            </w:pPr>
            <w:r>
              <w:rPr>
                <w:rFonts w:ascii="Arial" w:cs="Arial" w:eastAsia="Arial" w:hAnsi="Arial"/>
                <w:color w:val="6E6A65"/>
                <w:sz w:val="18"/>
                <w:szCs w:val="18"/>
              </w:rPr>
              <w:t xml:space="preserve">Wave 3C</w:t>
            </w:r>
          </w:p>
        </w:tc>
      </w:tr>
      <w:tr>
        <w:trPr>
          <w:tblHeader w:val="false"/>
        </w:trPr>
        <w:tc>
          <w:tcPr>
            <w:tcW w:type="dxa" w:w="400"/>
            <w:tcBorders>
              <w:top w:val="single" w:color="C0BCBA" w:sz="2"/>
              <w:left w:val="single" w:color="C0BCBA" w:sz="2"/>
              <w:bottom w:val="single" w:color="C0BCBA" w:sz="2"/>
              <w:right w:val="single" w:color="C0BCBA" w:sz="2"/>
            </w:tcBorders>
            <w:shd w:fill="F5F4F2" w:val="clear"/>
            <w:tcMar>
              <w:top w:type="dxa" w:w="80"/>
              <w:left w:type="dxa" w:w="120"/>
              <w:bottom w:type="dxa" w:w="80"/>
              <w:right w:type="dxa" w:w="120"/>
            </w:tcMar>
          </w:tcPr>
          <w:p>
            <w:pPr>
              <w:spacing w:after="0" w:before="0"/>
            </w:pPr>
            <w:r>
              <w:rPr>
                <w:rFonts w:ascii="Arial" w:cs="Arial" w:eastAsia="Arial" w:hAnsi="Arial"/>
                <w:b/>
                <w:bCs/>
                <w:color w:val="3E4C5E"/>
                <w:sz w:val="18"/>
                <w:szCs w:val="18"/>
              </w:rPr>
              <w:t xml:space="preserve">06</w:t>
            </w:r>
          </w:p>
        </w:tc>
        <w:tc>
          <w:tcPr>
            <w:tcW w:type="dxa" w:w="1400"/>
            <w:tcBorders>
              <w:top w:val="single" w:color="C0BCBA" w:sz="2"/>
              <w:left w:val="single" w:color="C0BCBA" w:sz="2"/>
              <w:bottom w:val="single" w:color="C0BCBA" w:sz="2"/>
              <w:right w:val="single" w:color="C0BCBA" w:sz="2"/>
            </w:tcBorders>
            <w:shd w:fill="F5F4F2" w:val="clear"/>
            <w:tcMar>
              <w:top w:type="dxa" w:w="80"/>
              <w:left w:type="dxa" w:w="120"/>
              <w:bottom w:type="dxa" w:w="80"/>
              <w:right w:type="dxa" w:w="120"/>
            </w:tcMar>
          </w:tcPr>
          <w:p>
            <w:pPr>
              <w:spacing w:after="0" w:before="0"/>
            </w:pPr>
            <w:r>
              <w:rPr>
                <w:rFonts w:ascii="Arial" w:cs="Arial" w:eastAsia="Arial" w:hAnsi="Arial"/>
                <w:b/>
                <w:bCs/>
                <w:color w:val="181614"/>
                <w:sz w:val="18"/>
                <w:szCs w:val="18"/>
              </w:rPr>
              <w:t xml:space="preserve">Request Access</w:t>
            </w:r>
          </w:p>
        </w:tc>
        <w:tc>
          <w:tcPr>
            <w:tcW w:type="dxa" w:w="2960"/>
            <w:tcBorders>
              <w:top w:val="single" w:color="C0BCBA" w:sz="2"/>
              <w:left w:val="single" w:color="C0BCBA" w:sz="2"/>
              <w:bottom w:val="single" w:color="C0BCBA" w:sz="2"/>
              <w:right w:val="single" w:color="C0BCBA" w:sz="2"/>
            </w:tcBorders>
            <w:shd w:fill="F5F4F2" w:val="clear"/>
            <w:tcMar>
              <w:top w:type="dxa" w:w="80"/>
              <w:left w:type="dxa" w:w="120"/>
              <w:bottom w:type="dxa" w:w="80"/>
              <w:right w:type="dxa" w:w="120"/>
            </w:tcMar>
          </w:tcPr>
          <w:p>
            <w:pPr>
              <w:spacing w:after="0" w:before="0"/>
            </w:pPr>
            <w:r>
              <w:rPr>
                <w:rFonts w:ascii="Courier New" w:cs="Courier New" w:eastAsia="Courier New" w:hAnsi="Courier New"/>
                <w:color w:val="1A3A6E"/>
                <w:sz w:val="17"/>
                <w:szCs w:val="17"/>
              </w:rPr>
              <w:t xml:space="preserve">join professional beauty marketplace</w:t>
            </w:r>
          </w:p>
        </w:tc>
        <w:tc>
          <w:tcPr>
            <w:tcW w:type="dxa" w:w="2400"/>
            <w:tcBorders>
              <w:top w:val="single" w:color="C0BCBA" w:sz="2"/>
              <w:left w:val="single" w:color="C0BCBA" w:sz="2"/>
              <w:bottom w:val="single" w:color="C0BCBA" w:sz="2"/>
              <w:right w:val="single" w:color="C0BCBA" w:sz="2"/>
            </w:tcBorders>
            <w:shd w:fill="F5F4F2" w:val="clear"/>
            <w:tcMar>
              <w:top w:type="dxa" w:w="80"/>
              <w:left w:type="dxa" w:w="120"/>
              <w:bottom w:type="dxa" w:w="80"/>
              <w:right w:type="dxa" w:w="120"/>
            </w:tcMar>
          </w:tcPr>
          <w:p>
            <w:pPr>
              <w:spacing w:after="0" w:before="0"/>
            </w:pPr>
            <w:r>
              <w:rPr>
                <w:rFonts w:ascii="Arial" w:cs="Arial" w:eastAsia="Arial" w:hAnsi="Arial"/>
                <w:color w:val="181614"/>
                <w:sz w:val="18"/>
                <w:szCs w:val="18"/>
              </w:rPr>
              <w:t xml:space="preserve">Transactional</w:t>
            </w:r>
          </w:p>
        </w:tc>
        <w:tc>
          <w:tcPr>
            <w:tcW w:type="dxa" w:w="2200"/>
            <w:tcBorders>
              <w:top w:val="single" w:color="C0BCBA" w:sz="2"/>
              <w:left w:val="single" w:color="C0BCBA" w:sz="2"/>
              <w:bottom w:val="single" w:color="C0BCBA" w:sz="2"/>
              <w:right w:val="single" w:color="C0BCBA" w:sz="2"/>
            </w:tcBorders>
            <w:shd w:fill="F5F4F2" w:val="clear"/>
            <w:tcMar>
              <w:top w:type="dxa" w:w="80"/>
              <w:left w:type="dxa" w:w="120"/>
              <w:bottom w:type="dxa" w:w="80"/>
              <w:right w:type="dxa" w:w="120"/>
            </w:tcMar>
          </w:tcPr>
          <w:p>
            <w:pPr>
              <w:spacing w:after="0" w:before="0"/>
            </w:pPr>
            <w:r>
              <w:rPr>
                <w:rFonts w:ascii="Arial" w:cs="Arial" w:eastAsia="Arial" w:hAnsi="Arial"/>
                <w:color w:val="6E6A65"/>
                <w:sz w:val="18"/>
                <w:szCs w:val="18"/>
              </w:rPr>
              <w:t xml:space="preserve">Wave 3B</w:t>
            </w:r>
          </w:p>
        </w:tc>
      </w:tr>
      <w:tr>
        <w:trPr>
          <w:tblHeader w:val="false"/>
        </w:trPr>
        <w:tc>
          <w:tcPr>
            <w:tcW w:type="dxa" w:w="400"/>
            <w:tcBorders>
              <w:top w:val="single" w:color="C0BCBA" w:sz="2"/>
              <w:left w:val="single" w:color="C0BCBA" w:sz="2"/>
              <w:bottom w:val="single" w:color="C0BCBA" w:sz="2"/>
              <w:right w:val="single" w:color="C0BCBA" w:sz="2"/>
            </w:tcBorders>
            <w:shd w:fill="ECEAE7" w:val="clear"/>
            <w:tcMar>
              <w:top w:type="dxa" w:w="80"/>
              <w:left w:type="dxa" w:w="120"/>
              <w:bottom w:type="dxa" w:w="80"/>
              <w:right w:type="dxa" w:w="120"/>
            </w:tcMar>
          </w:tcPr>
          <w:p>
            <w:pPr>
              <w:spacing w:after="0" w:before="0"/>
            </w:pPr>
            <w:r>
              <w:rPr>
                <w:rFonts w:ascii="Arial" w:cs="Arial" w:eastAsia="Arial" w:hAnsi="Arial"/>
                <w:b/>
                <w:bCs/>
                <w:color w:val="3E4C5E"/>
                <w:sz w:val="18"/>
                <w:szCs w:val="18"/>
              </w:rPr>
              <w:t xml:space="preserve">07</w:t>
            </w:r>
          </w:p>
        </w:tc>
        <w:tc>
          <w:tcPr>
            <w:tcW w:type="dxa" w:w="1400"/>
            <w:tcBorders>
              <w:top w:val="single" w:color="C0BCBA" w:sz="2"/>
              <w:left w:val="single" w:color="C0BCBA" w:sz="2"/>
              <w:bottom w:val="single" w:color="C0BCBA" w:sz="2"/>
              <w:right w:val="single" w:color="C0BCBA" w:sz="2"/>
            </w:tcBorders>
            <w:shd w:fill="ECEAE7" w:val="clear"/>
            <w:tcMar>
              <w:top w:type="dxa" w:w="80"/>
              <w:left w:type="dxa" w:w="120"/>
              <w:bottom w:type="dxa" w:w="80"/>
              <w:right w:type="dxa" w:w="120"/>
            </w:tcMar>
          </w:tcPr>
          <w:p>
            <w:pPr>
              <w:spacing w:after="0" w:before="0"/>
            </w:pPr>
            <w:r>
              <w:rPr>
                <w:rFonts w:ascii="Arial" w:cs="Arial" w:eastAsia="Arial" w:hAnsi="Arial"/>
                <w:b/>
                <w:bCs/>
                <w:color w:val="181614"/>
                <w:sz w:val="18"/>
                <w:szCs w:val="18"/>
              </w:rPr>
              <w:t xml:space="preserve">Intelligence Hub</w:t>
            </w:r>
          </w:p>
        </w:tc>
        <w:tc>
          <w:tcPr>
            <w:tcW w:type="dxa" w:w="2960"/>
            <w:tcBorders>
              <w:top w:val="single" w:color="C0BCBA" w:sz="2"/>
              <w:left w:val="single" w:color="C0BCBA" w:sz="2"/>
              <w:bottom w:val="single" w:color="C0BCBA" w:sz="2"/>
              <w:right w:val="single" w:color="C0BCBA" w:sz="2"/>
            </w:tcBorders>
            <w:shd w:fill="ECEAE7" w:val="clear"/>
            <w:tcMar>
              <w:top w:type="dxa" w:w="80"/>
              <w:left w:type="dxa" w:w="120"/>
              <w:bottom w:type="dxa" w:w="80"/>
              <w:right w:type="dxa" w:w="120"/>
            </w:tcMar>
          </w:tcPr>
          <w:p>
            <w:pPr>
              <w:spacing w:after="0" w:before="0"/>
            </w:pPr>
            <w:r>
              <w:rPr>
                <w:rFonts w:ascii="Courier New" w:cs="Courier New" w:eastAsia="Courier New" w:hAnsi="Courier New"/>
                <w:color w:val="1A3A6E"/>
                <w:sz w:val="17"/>
                <w:szCs w:val="17"/>
              </w:rPr>
              <w:t xml:space="preserve">professional beauty market intelligence</w:t>
            </w:r>
          </w:p>
        </w:tc>
        <w:tc>
          <w:tcPr>
            <w:tcW w:type="dxa" w:w="2400"/>
            <w:tcBorders>
              <w:top w:val="single" w:color="C0BCBA" w:sz="2"/>
              <w:left w:val="single" w:color="C0BCBA" w:sz="2"/>
              <w:bottom w:val="single" w:color="C0BCBA" w:sz="2"/>
              <w:right w:val="single" w:color="C0BCBA" w:sz="2"/>
            </w:tcBorders>
            <w:shd w:fill="ECEAE7" w:val="clear"/>
            <w:tcMar>
              <w:top w:type="dxa" w:w="80"/>
              <w:left w:type="dxa" w:w="120"/>
              <w:bottom w:type="dxa" w:w="80"/>
              <w:right w:type="dxa" w:w="120"/>
            </w:tcMar>
          </w:tcPr>
          <w:p>
            <w:pPr>
              <w:spacing w:after="0" w:before="0"/>
            </w:pPr>
            <w:r>
              <w:rPr>
                <w:rFonts w:ascii="Arial" w:cs="Arial" w:eastAsia="Arial" w:hAnsi="Arial"/>
                <w:color w:val="181614"/>
                <w:sz w:val="18"/>
                <w:szCs w:val="18"/>
              </w:rPr>
              <w:t xml:space="preserve">Commercial + Informational</w:t>
            </w:r>
          </w:p>
        </w:tc>
        <w:tc>
          <w:tcPr>
            <w:tcW w:type="dxa" w:w="2200"/>
            <w:tcBorders>
              <w:top w:val="single" w:color="C0BCBA" w:sz="2"/>
              <w:left w:val="single" w:color="C0BCBA" w:sz="2"/>
              <w:bottom w:val="single" w:color="C0BCBA" w:sz="2"/>
              <w:right w:val="single" w:color="C0BCBA" w:sz="2"/>
            </w:tcBorders>
            <w:shd w:fill="ECEAE7" w:val="clear"/>
            <w:tcMar>
              <w:top w:type="dxa" w:w="80"/>
              <w:left w:type="dxa" w:w="120"/>
              <w:bottom w:type="dxa" w:w="80"/>
              <w:right w:type="dxa" w:w="120"/>
            </w:tcMar>
          </w:tcPr>
          <w:p>
            <w:pPr>
              <w:spacing w:after="0" w:before="0"/>
            </w:pPr>
            <w:r>
              <w:rPr>
                <w:rFonts w:ascii="Arial" w:cs="Arial" w:eastAsia="Arial" w:hAnsi="Arial"/>
                <w:color w:val="6E6A65"/>
                <w:sz w:val="18"/>
                <w:szCs w:val="18"/>
              </w:rPr>
              <w:t xml:space="preserve">Post-cohort</w:t>
            </w:r>
          </w:p>
        </w:tc>
      </w:tr>
      <w:tr>
        <w:trPr>
          <w:tblHeader w:val="false"/>
        </w:trPr>
        <w:tc>
          <w:tcPr>
            <w:tcW w:type="dxa" w:w="400"/>
            <w:tcBorders>
              <w:top w:val="single" w:color="C0BCBA" w:sz="2"/>
              <w:left w:val="single" w:color="C0BCBA" w:sz="2"/>
              <w:bottom w:val="single" w:color="C0BCBA" w:sz="2"/>
              <w:right w:val="single" w:color="C0BCBA" w:sz="2"/>
            </w:tcBorders>
            <w:shd w:fill="F5F4F2" w:val="clear"/>
            <w:tcMar>
              <w:top w:type="dxa" w:w="80"/>
              <w:left w:type="dxa" w:w="120"/>
              <w:bottom w:type="dxa" w:w="80"/>
              <w:right w:type="dxa" w:w="120"/>
            </w:tcMar>
          </w:tcPr>
          <w:p>
            <w:pPr>
              <w:spacing w:after="0" w:before="0"/>
            </w:pPr>
            <w:r>
              <w:rPr>
                <w:rFonts w:ascii="Arial" w:cs="Arial" w:eastAsia="Arial" w:hAnsi="Arial"/>
                <w:b/>
                <w:bCs/>
                <w:color w:val="3E4C5E"/>
                <w:sz w:val="18"/>
                <w:szCs w:val="18"/>
              </w:rPr>
              <w:t xml:space="preserve">08</w:t>
            </w:r>
          </w:p>
        </w:tc>
        <w:tc>
          <w:tcPr>
            <w:tcW w:type="dxa" w:w="1400"/>
            <w:tcBorders>
              <w:top w:val="single" w:color="C0BCBA" w:sz="2"/>
              <w:left w:val="single" w:color="C0BCBA" w:sz="2"/>
              <w:bottom w:val="single" w:color="C0BCBA" w:sz="2"/>
              <w:right w:val="single" w:color="C0BCBA" w:sz="2"/>
            </w:tcBorders>
            <w:shd w:fill="F5F4F2" w:val="clear"/>
            <w:tcMar>
              <w:top w:type="dxa" w:w="80"/>
              <w:left w:type="dxa" w:w="120"/>
              <w:bottom w:type="dxa" w:w="80"/>
              <w:right w:type="dxa" w:w="120"/>
            </w:tcMar>
          </w:tcPr>
          <w:p>
            <w:pPr>
              <w:spacing w:after="0" w:before="0"/>
            </w:pPr>
            <w:r>
              <w:rPr>
                <w:rFonts w:ascii="Arial" w:cs="Arial" w:eastAsia="Arial" w:hAnsi="Arial"/>
                <w:b/>
                <w:bCs/>
                <w:color w:val="181614"/>
                <w:sz w:val="18"/>
                <w:szCs w:val="18"/>
              </w:rPr>
              <w:t xml:space="preserve">FAQ</w:t>
            </w:r>
          </w:p>
        </w:tc>
        <w:tc>
          <w:tcPr>
            <w:tcW w:type="dxa" w:w="2960"/>
            <w:tcBorders>
              <w:top w:val="single" w:color="C0BCBA" w:sz="2"/>
              <w:left w:val="single" w:color="C0BCBA" w:sz="2"/>
              <w:bottom w:val="single" w:color="C0BCBA" w:sz="2"/>
              <w:right w:val="single" w:color="C0BCBA" w:sz="2"/>
            </w:tcBorders>
            <w:shd w:fill="F5F4F2" w:val="clear"/>
            <w:tcMar>
              <w:top w:type="dxa" w:w="80"/>
              <w:left w:type="dxa" w:w="120"/>
              <w:bottom w:type="dxa" w:w="80"/>
              <w:right w:type="dxa" w:w="120"/>
            </w:tcMar>
          </w:tcPr>
          <w:p>
            <w:pPr>
              <w:spacing w:after="0" w:before="0"/>
            </w:pPr>
            <w:r>
              <w:rPr>
                <w:rFonts w:ascii="Courier New" w:cs="Courier New" w:eastAsia="Courier New" w:hAnsi="Courier New"/>
                <w:color w:val="1A3A6E"/>
                <w:sz w:val="17"/>
                <w:szCs w:val="17"/>
              </w:rPr>
              <w:t xml:space="preserve">professional beauty marketplace FAQ</w:t>
            </w:r>
          </w:p>
        </w:tc>
        <w:tc>
          <w:tcPr>
            <w:tcW w:type="dxa" w:w="2400"/>
            <w:tcBorders>
              <w:top w:val="single" w:color="C0BCBA" w:sz="2"/>
              <w:left w:val="single" w:color="C0BCBA" w:sz="2"/>
              <w:bottom w:val="single" w:color="C0BCBA" w:sz="2"/>
              <w:right w:val="single" w:color="C0BCBA" w:sz="2"/>
            </w:tcBorders>
            <w:shd w:fill="F5F4F2" w:val="clear"/>
            <w:tcMar>
              <w:top w:type="dxa" w:w="80"/>
              <w:left w:type="dxa" w:w="120"/>
              <w:bottom w:type="dxa" w:w="80"/>
              <w:right w:type="dxa" w:w="120"/>
            </w:tcMar>
          </w:tcPr>
          <w:p>
            <w:pPr>
              <w:spacing w:after="0" w:before="0"/>
            </w:pPr>
            <w:r>
              <w:rPr>
                <w:rFonts w:ascii="Arial" w:cs="Arial" w:eastAsia="Arial" w:hAnsi="Arial"/>
                <w:color w:val="181614"/>
                <w:sz w:val="18"/>
                <w:szCs w:val="18"/>
              </w:rPr>
              <w:t xml:space="preserve">Informational</w:t>
            </w:r>
          </w:p>
        </w:tc>
        <w:tc>
          <w:tcPr>
            <w:tcW w:type="dxa" w:w="2200"/>
            <w:tcBorders>
              <w:top w:val="single" w:color="C0BCBA" w:sz="2"/>
              <w:left w:val="single" w:color="C0BCBA" w:sz="2"/>
              <w:bottom w:val="single" w:color="C0BCBA" w:sz="2"/>
              <w:right w:val="single" w:color="C0BCBA" w:sz="2"/>
            </w:tcBorders>
            <w:shd w:fill="F5F4F2" w:val="clear"/>
            <w:tcMar>
              <w:top w:type="dxa" w:w="80"/>
              <w:left w:type="dxa" w:w="120"/>
              <w:bottom w:type="dxa" w:w="80"/>
              <w:right w:type="dxa" w:w="120"/>
            </w:tcMar>
          </w:tcPr>
          <w:p>
            <w:pPr>
              <w:spacing w:after="0" w:before="0"/>
            </w:pPr>
            <w:r>
              <w:rPr>
                <w:rFonts w:ascii="Arial" w:cs="Arial" w:eastAsia="Arial" w:hAnsi="Arial"/>
                <w:color w:val="6E6A65"/>
                <w:sz w:val="18"/>
                <w:szCs w:val="18"/>
              </w:rPr>
              <w:t xml:space="preserve">Wave 4</w:t>
            </w:r>
          </w:p>
        </w:tc>
      </w:tr>
      <w:tr>
        <w:trPr>
          <w:tblHeader w:val="false"/>
        </w:trPr>
        <w:tc>
          <w:tcPr>
            <w:tcW w:type="dxa" w:w="400"/>
            <w:tcBorders>
              <w:top w:val="single" w:color="C0BCBA" w:sz="2"/>
              <w:left w:val="single" w:color="C0BCBA" w:sz="2"/>
              <w:bottom w:val="single" w:color="C0BCBA" w:sz="2"/>
              <w:right w:val="single" w:color="C0BCBA" w:sz="2"/>
            </w:tcBorders>
            <w:shd w:fill="ECEAE7" w:val="clear"/>
            <w:tcMar>
              <w:top w:type="dxa" w:w="80"/>
              <w:left w:type="dxa" w:w="120"/>
              <w:bottom w:type="dxa" w:w="80"/>
              <w:right w:type="dxa" w:w="120"/>
            </w:tcMar>
          </w:tcPr>
          <w:p>
            <w:pPr>
              <w:spacing w:after="0" w:before="0"/>
            </w:pPr>
            <w:r>
              <w:rPr>
                <w:rFonts w:ascii="Arial" w:cs="Arial" w:eastAsia="Arial" w:hAnsi="Arial"/>
                <w:b/>
                <w:bCs/>
                <w:color w:val="3E4C5E"/>
                <w:sz w:val="18"/>
                <w:szCs w:val="18"/>
              </w:rPr>
              <w:t xml:space="preserve">09</w:t>
            </w:r>
          </w:p>
        </w:tc>
        <w:tc>
          <w:tcPr>
            <w:tcW w:type="dxa" w:w="1400"/>
            <w:tcBorders>
              <w:top w:val="single" w:color="C0BCBA" w:sz="2"/>
              <w:left w:val="single" w:color="C0BCBA" w:sz="2"/>
              <w:bottom w:val="single" w:color="C0BCBA" w:sz="2"/>
              <w:right w:val="single" w:color="C0BCBA" w:sz="2"/>
            </w:tcBorders>
            <w:shd w:fill="ECEAE7" w:val="clear"/>
            <w:tcMar>
              <w:top w:type="dxa" w:w="80"/>
              <w:left w:type="dxa" w:w="120"/>
              <w:bottom w:type="dxa" w:w="80"/>
              <w:right w:type="dxa" w:w="120"/>
            </w:tcMar>
          </w:tcPr>
          <w:p>
            <w:pPr>
              <w:spacing w:after="0" w:before="0"/>
            </w:pPr>
            <w:r>
              <w:rPr>
                <w:rFonts w:ascii="Arial" w:cs="Arial" w:eastAsia="Arial" w:hAnsi="Arial"/>
                <w:b/>
                <w:bCs/>
                <w:color w:val="181614"/>
                <w:sz w:val="18"/>
                <w:szCs w:val="18"/>
              </w:rPr>
              <w:t xml:space="preserve">For Salons</w:t>
            </w:r>
          </w:p>
        </w:tc>
        <w:tc>
          <w:tcPr>
            <w:tcW w:type="dxa" w:w="2960"/>
            <w:tcBorders>
              <w:top w:val="single" w:color="C0BCBA" w:sz="2"/>
              <w:left w:val="single" w:color="C0BCBA" w:sz="2"/>
              <w:bottom w:val="single" w:color="C0BCBA" w:sz="2"/>
              <w:right w:val="single" w:color="C0BCBA" w:sz="2"/>
            </w:tcBorders>
            <w:shd w:fill="ECEAE7" w:val="clear"/>
            <w:tcMar>
              <w:top w:type="dxa" w:w="80"/>
              <w:left w:type="dxa" w:w="120"/>
              <w:bottom w:type="dxa" w:w="80"/>
              <w:right w:type="dxa" w:w="120"/>
            </w:tcMar>
          </w:tcPr>
          <w:p>
            <w:pPr>
              <w:spacing w:after="0" w:before="0"/>
            </w:pPr>
            <w:r>
              <w:rPr>
                <w:rFonts w:ascii="Courier New" w:cs="Courier New" w:eastAsia="Courier New" w:hAnsi="Courier New"/>
                <w:color w:val="1A3A6E"/>
                <w:sz w:val="17"/>
                <w:szCs w:val="17"/>
              </w:rPr>
              <w:t xml:space="preserve">/for-salons: salon wholesale marketplace</w:t>
            </w:r>
          </w:p>
        </w:tc>
        <w:tc>
          <w:tcPr>
            <w:tcW w:type="dxa" w:w="2400"/>
            <w:tcBorders>
              <w:top w:val="single" w:color="C0BCBA" w:sz="2"/>
              <w:left w:val="single" w:color="C0BCBA" w:sz="2"/>
              <w:bottom w:val="single" w:color="C0BCBA" w:sz="2"/>
              <w:right w:val="single" w:color="C0BCBA" w:sz="2"/>
            </w:tcBorders>
            <w:shd w:fill="ECEAE7" w:val="clear"/>
            <w:tcMar>
              <w:top w:type="dxa" w:w="80"/>
              <w:left w:type="dxa" w:w="120"/>
              <w:bottom w:type="dxa" w:w="80"/>
              <w:right w:type="dxa" w:w="120"/>
            </w:tcMar>
          </w:tcPr>
          <w:p>
            <w:pPr>
              <w:spacing w:after="0" w:before="0"/>
            </w:pPr>
            <w:r>
              <w:rPr>
                <w:rFonts w:ascii="Arial" w:cs="Arial" w:eastAsia="Arial" w:hAnsi="Arial"/>
                <w:color w:val="181614"/>
                <w:sz w:val="18"/>
                <w:szCs w:val="18"/>
              </w:rPr>
              <w:t xml:space="preserve">Commercial</w:t>
            </w:r>
          </w:p>
        </w:tc>
        <w:tc>
          <w:tcPr>
            <w:tcW w:type="dxa" w:w="2200"/>
            <w:tcBorders>
              <w:top w:val="single" w:color="C0BCBA" w:sz="2"/>
              <w:left w:val="single" w:color="C0BCBA" w:sz="2"/>
              <w:bottom w:val="single" w:color="C0BCBA" w:sz="2"/>
              <w:right w:val="single" w:color="C0BCBA" w:sz="2"/>
            </w:tcBorders>
            <w:shd w:fill="ECEAE7" w:val="clear"/>
            <w:tcMar>
              <w:top w:type="dxa" w:w="80"/>
              <w:left w:type="dxa" w:w="120"/>
              <w:bottom w:type="dxa" w:w="80"/>
              <w:right w:type="dxa" w:w="120"/>
            </w:tcMar>
          </w:tcPr>
          <w:p>
            <w:pPr>
              <w:spacing w:after="0" w:before="0"/>
            </w:pPr>
            <w:r>
              <w:rPr>
                <w:rFonts w:ascii="Arial" w:cs="Arial" w:eastAsia="Arial" w:hAnsi="Arial"/>
                <w:color w:val="6E6A65"/>
                <w:sz w:val="18"/>
                <w:szCs w:val="18"/>
              </w:rPr>
              <w:t xml:space="preserve">Post-launch P2</w:t>
            </w:r>
          </w:p>
        </w:tc>
      </w:tr>
      <w:tr>
        <w:trPr>
          <w:tblHeader w:val="false"/>
        </w:trPr>
        <w:tc>
          <w:tcPr>
            <w:tcW w:type="dxa" w:w="400"/>
            <w:tcBorders>
              <w:top w:val="single" w:color="C0BCBA" w:sz="2"/>
              <w:left w:val="single" w:color="C0BCBA" w:sz="2"/>
              <w:bottom w:val="single" w:color="C0BCBA" w:sz="2"/>
              <w:right w:val="single" w:color="C0BCBA" w:sz="2"/>
            </w:tcBorders>
            <w:shd w:fill="F5F4F2" w:val="clear"/>
            <w:tcMar>
              <w:top w:type="dxa" w:w="80"/>
              <w:left w:type="dxa" w:w="120"/>
              <w:bottom w:type="dxa" w:w="80"/>
              <w:right w:type="dxa" w:w="120"/>
            </w:tcMar>
          </w:tcPr>
          <w:p>
            <w:pPr>
              <w:spacing w:after="0" w:before="0"/>
            </w:pPr>
            <w:r>
              <w:rPr>
                <w:rFonts w:ascii="Arial" w:cs="Arial" w:eastAsia="Arial" w:hAnsi="Arial"/>
                <w:b/>
                <w:bCs/>
                <w:color w:val="3E4C5E"/>
                <w:sz w:val="18"/>
                <w:szCs w:val="18"/>
              </w:rPr>
              <w:t xml:space="preserve">10</w:t>
            </w:r>
          </w:p>
        </w:tc>
        <w:tc>
          <w:tcPr>
            <w:tcW w:type="dxa" w:w="1400"/>
            <w:tcBorders>
              <w:top w:val="single" w:color="C0BCBA" w:sz="2"/>
              <w:left w:val="single" w:color="C0BCBA" w:sz="2"/>
              <w:bottom w:val="single" w:color="C0BCBA" w:sz="2"/>
              <w:right w:val="single" w:color="C0BCBA" w:sz="2"/>
            </w:tcBorders>
            <w:shd w:fill="F5F4F2" w:val="clear"/>
            <w:tcMar>
              <w:top w:type="dxa" w:w="80"/>
              <w:left w:type="dxa" w:w="120"/>
              <w:bottom w:type="dxa" w:w="80"/>
              <w:right w:type="dxa" w:w="120"/>
            </w:tcMar>
          </w:tcPr>
          <w:p>
            <w:pPr>
              <w:spacing w:after="0" w:before="0"/>
            </w:pPr>
            <w:r>
              <w:rPr>
                <w:rFonts w:ascii="Arial" w:cs="Arial" w:eastAsia="Arial" w:hAnsi="Arial"/>
                <w:b/>
                <w:bCs/>
                <w:color w:val="181614"/>
                <w:sz w:val="18"/>
                <w:szCs w:val="18"/>
              </w:rPr>
              <w:t xml:space="preserve">For Medspas</w:t>
            </w:r>
          </w:p>
        </w:tc>
        <w:tc>
          <w:tcPr>
            <w:tcW w:type="dxa" w:w="2960"/>
            <w:tcBorders>
              <w:top w:val="single" w:color="C0BCBA" w:sz="2"/>
              <w:left w:val="single" w:color="C0BCBA" w:sz="2"/>
              <w:bottom w:val="single" w:color="C0BCBA" w:sz="2"/>
              <w:right w:val="single" w:color="C0BCBA" w:sz="2"/>
            </w:tcBorders>
            <w:shd w:fill="F5F4F2" w:val="clear"/>
            <w:tcMar>
              <w:top w:type="dxa" w:w="80"/>
              <w:left w:type="dxa" w:w="120"/>
              <w:bottom w:type="dxa" w:w="80"/>
              <w:right w:type="dxa" w:w="120"/>
            </w:tcMar>
          </w:tcPr>
          <w:p>
            <w:pPr>
              <w:spacing w:after="0" w:before="0"/>
            </w:pPr>
            <w:r>
              <w:rPr>
                <w:rFonts w:ascii="Courier New" w:cs="Courier New" w:eastAsia="Courier New" w:hAnsi="Courier New"/>
                <w:color w:val="1A3A6E"/>
                <w:sz w:val="17"/>
                <w:szCs w:val="17"/>
              </w:rPr>
              <w:t xml:space="preserve">/for-medspas: medspa wholesale beauty supply</w:t>
            </w:r>
          </w:p>
        </w:tc>
        <w:tc>
          <w:tcPr>
            <w:tcW w:type="dxa" w:w="2400"/>
            <w:tcBorders>
              <w:top w:val="single" w:color="C0BCBA" w:sz="2"/>
              <w:left w:val="single" w:color="C0BCBA" w:sz="2"/>
              <w:bottom w:val="single" w:color="C0BCBA" w:sz="2"/>
              <w:right w:val="single" w:color="C0BCBA" w:sz="2"/>
            </w:tcBorders>
            <w:shd w:fill="F5F4F2" w:val="clear"/>
            <w:tcMar>
              <w:top w:type="dxa" w:w="80"/>
              <w:left w:type="dxa" w:w="120"/>
              <w:bottom w:type="dxa" w:w="80"/>
              <w:right w:type="dxa" w:w="120"/>
            </w:tcMar>
          </w:tcPr>
          <w:p>
            <w:pPr>
              <w:spacing w:after="0" w:before="0"/>
            </w:pPr>
            <w:r>
              <w:rPr>
                <w:rFonts w:ascii="Arial" w:cs="Arial" w:eastAsia="Arial" w:hAnsi="Arial"/>
                <w:color w:val="181614"/>
                <w:sz w:val="18"/>
                <w:szCs w:val="18"/>
              </w:rPr>
              <w:t xml:space="preserve">Commercial</w:t>
            </w:r>
          </w:p>
        </w:tc>
        <w:tc>
          <w:tcPr>
            <w:tcW w:type="dxa" w:w="2200"/>
            <w:tcBorders>
              <w:top w:val="single" w:color="C0BCBA" w:sz="2"/>
              <w:left w:val="single" w:color="C0BCBA" w:sz="2"/>
              <w:bottom w:val="single" w:color="C0BCBA" w:sz="2"/>
              <w:right w:val="single" w:color="C0BCBA" w:sz="2"/>
            </w:tcBorders>
            <w:shd w:fill="F5F4F2" w:val="clear"/>
            <w:tcMar>
              <w:top w:type="dxa" w:w="80"/>
              <w:left w:type="dxa" w:w="120"/>
              <w:bottom w:type="dxa" w:w="80"/>
              <w:right w:type="dxa" w:w="120"/>
            </w:tcMar>
          </w:tcPr>
          <w:p>
            <w:pPr>
              <w:spacing w:after="0" w:before="0"/>
            </w:pPr>
            <w:r>
              <w:rPr>
                <w:rFonts w:ascii="Arial" w:cs="Arial" w:eastAsia="Arial" w:hAnsi="Arial"/>
                <w:color w:val="6E6A65"/>
                <w:sz w:val="18"/>
                <w:szCs w:val="18"/>
              </w:rPr>
              <w:t xml:space="preserve">Post-launch P1</w:t>
            </w:r>
          </w:p>
        </w:tc>
      </w:tr>
    </w:tbl>
    <w:p>
      <w:pPr>
        <w:spacing w:after="80" w:before="240"/>
      </w:pPr>
      <w:r>
        <w:t xml:space="preserve"/>
      </w:r>
    </w:p>
    <w:p>
      <w:pPr>
        <w:spacing w:after="80" w:before="40"/>
        <w:ind w:left="360"/>
      </w:pPr>
      <w:r>
        <w:rPr>
          <w:rFonts w:ascii="Arial" w:cs="Arial" w:eastAsia="Arial" w:hAnsi="Arial"/>
          <w:color w:val="6E6A65"/>
          <w:sz w:val="19"/>
          <w:szCs w:val="19"/>
        </w:rPr>
        <w:t xml:space="preserve">→ Pages 09 and 10 (/for-salons, /for-medspas) are post-launch. Include them in the Agent 10 sitemap as noindex placeholders from Wave 4. Activate when content is built. /for-medspas is P1 due to the medspa operator LTV advantage.</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2026-03-04T04:12:06.972Z</dcterms:created>
  <dcterms:modified xsi:type="dcterms:W3CDTF">2026-03-04T04:12:06.972Z</dcterms:modified>
</cp:coreProperties>
</file>

<file path=docProps/custom.xml><?xml version="1.0" encoding="utf-8"?>
<Properties xmlns="http://schemas.openxmlformats.org/officeDocument/2006/custom-properties" xmlns:vt="http://schemas.openxmlformats.org/officeDocument/2006/docPropsVTypes"/>
</file>