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0F1923" w:val="solid"/>
            <w:tcMar>
              <w:top w:type="dxa" w:w="600"/>
              <w:left w:type="dxa" w:w="560"/>
              <w:bottom w:type="dxa" w:w="600"/>
              <w:right w:type="dxa" w:w="560"/>
            </w:tcMar>
          </w:tcPr>
          <w:p>
            <w:pPr>
              <w:spacing w:after="80" w:before="0"/>
              <w:jc w:val="left"/>
            </w:pPr>
            <w:r>
              <w:rPr>
                <w:rFonts w:ascii="Calibri" w:cs="Calibri" w:eastAsia="Calibri" w:hAnsi="Calibri"/>
                <w:b/>
                <w:bCs/>
                <w:color w:val="6B8EBF"/>
                <w:sz w:val="16"/>
                <w:szCs w:val="16"/>
              </w:rPr>
              <w:t xml:space="preserve">SOCELLE  ·  MULTI-AGENT DOCUMENT  ·  CONFIDENTIAL</w:t>
            </w:r>
          </w:p>
          <w:p>
            <w:pPr>
              <w:spacing w:after="120" w:before="0"/>
              <w:jc w:val="left"/>
            </w:pPr>
            <w:r>
              <w:rPr>
                <w:rFonts w:ascii="Georgia" w:cs="Georgia" w:eastAsia="Georgia" w:hAnsi="Georgia"/>
                <w:b/>
                <w:bCs/>
                <w:color w:val="FFFFFF"/>
                <w:sz w:val="52"/>
                <w:szCs w:val="52"/>
              </w:rPr>
              <w:t xml:space="preserve">Intelligence-First Platform Reset</w:t>
            </w:r>
          </w:p>
          <w:p>
            <w:pPr>
              <w:spacing w:after="0" w:before="0"/>
              <w:jc w:val="left"/>
            </w:pPr>
            <w:r>
              <w:rPr>
                <w:rFonts w:ascii="Calibri" w:cs="Calibri" w:eastAsia="Calibri" w:hAnsi="Calibri"/>
                <w:color w:val="AABBD0"/>
                <w:sz w:val="24"/>
                <w:szCs w:val="24"/>
              </w:rPr>
              <w:t xml:space="preserve">Eight-Agent Strategic Reframe — Platform Thesis, Acquisition Wedge, UX Magnetism, Live Signal Design</w:t>
            </w:r>
          </w:p>
        </w:tc>
      </w:tr>
    </w:tbl>
    <w:p>
      <w:pPr>
        <w:spacing w:after="0" w:before="120"/>
      </w:pPr>
      <w:r>
        <w:t xml:space="preserve"/>
      </w:r>
    </w:p>
    <w:tbl>
      <w:tblPr>
        <w:tblW w:type="dxa" w:w="9360"/>
        <w:tblBorders>
          <w:top w:val="single" w:color="ECEAE7" w:sz="4"/>
          <w:left w:val="single" w:color="ECEAE7" w:sz="4"/>
          <w:bottom w:val="single" w:color="ECEAE7" w:sz="4"/>
          <w:right w:val="single" w:color="ECEAE7" w:sz="4"/>
          <w:insideH w:val="single" w:color="auto" w:sz="4"/>
          <w:insideV w:val="single" w:color="auto" w:sz="4"/>
        </w:tblBorders>
      </w:tblPr>
      <w:tblGrid>
        <w:gridCol w:w="100"/>
        <w:gridCol w:w="100"/>
      </w:tblGrid>
      <w:tr>
        <w:tc>
          <w:tcPr>
            <w:tcW w:type="dxa" w:w="28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3E4C5E"/>
                <w:sz w:val="20"/>
                <w:szCs w:val="20"/>
              </w:rPr>
              <w:t xml:space="preserve">Document Type</w:t>
            </w:r>
          </w:p>
        </w:tc>
        <w:tc>
          <w:tcPr>
            <w:tcW w:type="dxa" w:w="65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Platform Thesis Rewrite — Multi-Agent Output</w:t>
            </w:r>
          </w:p>
        </w:tc>
      </w:tr>
      <w:tr>
        <w:tc>
          <w:tcPr>
            <w:tcW w:type="dxa" w:w="28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3E4C5E"/>
                <w:sz w:val="20"/>
                <w:szCs w:val="20"/>
              </w:rPr>
              <w:t xml:space="preserve">Agents Deployed</w:t>
            </w:r>
          </w:p>
        </w:tc>
        <w:tc>
          <w:tcPr>
            <w:tcW w:type="dxa" w:w="65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8 Agents across 3 Phases</w:t>
            </w:r>
          </w:p>
        </w:tc>
      </w:tr>
      <w:tr>
        <w:tc>
          <w:tcPr>
            <w:tcW w:type="dxa" w:w="28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3E4C5E"/>
                <w:sz w:val="20"/>
                <w:szCs w:val="20"/>
              </w:rPr>
              <w:t xml:space="preserve">Status</w:t>
            </w:r>
          </w:p>
        </w:tc>
        <w:tc>
          <w:tcPr>
            <w:tcW w:type="dxa" w:w="65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Intelligence-first thesis — DO NOT revert to marketplace-first framing</w:t>
            </w:r>
          </w:p>
        </w:tc>
      </w:tr>
      <w:tr>
        <w:tc>
          <w:tcPr>
            <w:tcW w:type="dxa" w:w="28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3E4C5E"/>
                <w:sz w:val="20"/>
                <w:szCs w:val="20"/>
              </w:rPr>
              <w:t xml:space="preserve">Output Sections</w:t>
            </w:r>
          </w:p>
        </w:tc>
        <w:tc>
          <w:tcPr>
            <w:tcW w:type="dxa" w:w="65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A–G Summary + Full Agent Outputs + Coordination Updates</w:t>
            </w:r>
          </w:p>
        </w:tc>
      </w:tr>
      <w:tr>
        <w:tc>
          <w:tcPr>
            <w:tcW w:type="dxa" w:w="28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3E4C5E"/>
                <w:sz w:val="20"/>
                <w:szCs w:val="20"/>
              </w:rPr>
              <w:t xml:space="preserve">Replaces</w:t>
            </w:r>
          </w:p>
        </w:tc>
        <w:tc>
          <w:tcPr>
            <w:tcW w:type="dxa" w:w="65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IH teaser-first assumption in current coordination document</w:t>
            </w:r>
          </w:p>
        </w:tc>
      </w:tr>
    </w:tbl>
    <w:p>
      <w:pPr>
        <w:spacing w:after="0" w:before="6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3E4C5E" w:val="solid"/>
            <w:tcMar>
              <w:top w:type="dxa" w:w="120"/>
              <w:left w:type="dxa" w:w="400"/>
              <w:bottom w:type="dxa" w:w="120"/>
              <w:right w:type="dxa" w:w="400"/>
            </w:tcMar>
          </w:tcPr>
          <w:p>
            <w:r>
              <w:rPr>
                <w:rFonts w:ascii="Calibri" w:cs="Calibri" w:eastAsia="Calibri" w:hAnsi="Calibri"/>
                <w:b/>
                <w:bCs/>
                <w:color w:val="FFFFFF"/>
                <w:spacing w:val="80"/>
                <w:sz w:val="20"/>
                <w:szCs w:val="20"/>
              </w:rPr>
              <w:t xml:space="preserve">OPENING SUMMARY — SECTIONS A THROUGH G</w:t>
            </w:r>
          </w:p>
        </w:tc>
      </w:tr>
    </w:tbl>
    <w:p>
      <w:pPr>
        <w:spacing w:after="0" w:before="60"/>
      </w:pPr>
      <w:r>
        <w:t xml:space="preserve"/>
      </w:r>
    </w:p>
    <w:p>
      <w:pPr>
        <w:pStyle w:val="Heading1"/>
        <w:spacing w:after="120" w:before="360"/>
      </w:pPr>
      <w:r>
        <w:rPr>
          <w:rFonts w:ascii="Georgia" w:cs="Georgia" w:eastAsia="Georgia" w:hAnsi="Georgia"/>
          <w:b/>
          <w:bCs/>
          <w:color w:val="181614"/>
          <w:sz w:val="48"/>
          <w:szCs w:val="48"/>
        </w:rPr>
        <w:t xml:space="preserve">Platform Reset: Intelligence Leads</w:t>
      </w:r>
    </w:p>
    <w:p>
      <w:pPr>
        <w:spacing w:after="100" w:before="60"/>
      </w:pPr>
      <w:r>
        <w:rPr>
          <w:rFonts w:ascii="Calibri" w:cs="Calibri" w:eastAsia="Calibri" w:hAnsi="Calibri"/>
          <w:i w:val="false"/>
          <w:iCs w:val="false"/>
          <w:color w:val="181614"/>
          <w:sz w:val="22"/>
          <w:szCs w:val="22"/>
        </w:rPr>
        <w:t xml:space="preserve">The following eight agents collectively redefine SOCELLE as an intelligence platform first. The marketplace, sourcing capability, and brand relationships are outputs of intelligence adoption — not the primary hook. This document supersedes any prior assumption that intelligence is a teaser, a later phase, or a secondary feature.</w:t>
      </w:r>
    </w:p>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 Revised Platform Thesis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20"/>
            <w:tcBorders>
              <w:top w:val="none" w:color="FFFFFF" w:sz="0"/>
              <w:left w:val="none" w:color="FFFFFF" w:sz="0"/>
              <w:bottom w:val="none" w:color="FFFFFF" w:sz="0"/>
              <w:right w:val="none" w:color="FFFFFF" w:sz="0"/>
            </w:tcBorders>
            <w:shd w:fill="1A3A6E" w:val="solid"/>
          </w:tcPr>
          <w:p>
            <w:r>
              <w:t xml:space="preserve"/>
            </w:r>
          </w:p>
        </w:tc>
        <w:tc>
          <w:tcPr>
            <w:tcW w:type="dxa" w:w="9240"/>
            <w:tcBorders>
              <w:top w:val="none" w:color="FFFFFF" w:sz="0"/>
              <w:left w:val="none" w:color="FFFFFF" w:sz="0"/>
              <w:bottom w:val="none" w:color="FFFFFF" w:sz="0"/>
              <w:right w:val="none" w:color="FFFFFF" w:sz="0"/>
            </w:tcBorders>
            <w:shd w:fill="F5F4F2" w:val="solid"/>
            <w:tcMar>
              <w:top w:type="dxa" w:w="160"/>
              <w:left w:type="dxa" w:w="280"/>
              <w:bottom w:type="dxa" w:w="160"/>
              <w:right w:type="dxa" w:w="280"/>
            </w:tcMar>
          </w:tcPr>
          <w:p>
            <w:pPr>
              <w:spacing w:after="60" w:before="0"/>
            </w:pPr>
            <w:r>
              <w:rPr>
                <w:rFonts w:ascii="Calibri" w:cs="Calibri" w:eastAsia="Calibri" w:hAnsi="Calibri"/>
                <w:b/>
                <w:bCs/>
                <w:color w:val="3E4C5E"/>
                <w:sz w:val="22"/>
                <w:szCs w:val="22"/>
              </w:rPr>
              <w:t xml:space="preserve">The Core Thesis</w:t>
            </w:r>
          </w:p>
          <w:p>
            <w:r>
              <w:rPr>
                <w:rFonts w:ascii="Calibri" w:cs="Calibri" w:eastAsia="Calibri" w:hAnsi="Calibri"/>
                <w:color w:val="181614"/>
                <w:sz w:val="21"/>
                <w:szCs w:val="21"/>
              </w:rPr>
              <w:t xml:space="preserve">SOCELLE is the professional beauty and wellness industry's intelligence platform. Operators join to know more, move faster, and source smarter. The marketplace is the commerce layer that emerges from the intelligence relationship — not the product they come for.</w:t>
            </w:r>
          </w:p>
        </w:tc>
      </w:tr>
    </w:tbl>
    <w:p>
      <w:pPr>
        <w:spacing w:after="0" w:before="60"/>
      </w:pPr>
      <w:r>
        <w:t xml:space="preserve"/>
      </w:r>
    </w:p>
    <w:p>
      <w:pPr>
        <w:spacing w:after="100" w:before="60"/>
      </w:pPr>
      <w:r>
        <w:rPr>
          <w:rFonts w:ascii="Calibri" w:cs="Calibri" w:eastAsia="Calibri" w:hAnsi="Calibri"/>
          <w:i w:val="false"/>
          <w:iCs w:val="false"/>
          <w:color w:val="181614"/>
          <w:sz w:val="22"/>
          <w:szCs w:val="22"/>
        </w:rPr>
        <w:t xml:space="preserve">SOCELLE is not a marketplace with intelligence features attached. It is an intelligence platform with commerce capability built in. The distinction is not semantic — it changes every product decision, every homepage section, every CTA, and every acquisition sequence.</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Intelligence is the reason to join.</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Intelligence is the reason to return.</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Intelligence is the reason to trust SOCELLE's sourcing recommendations.</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The marketplace is the monetization of that trust.</w:t>
      </w:r>
    </w:p>
    <w:p>
      <w:pPr>
        <w:spacing w:after="0" w:before="60"/>
      </w:pPr>
      <w:r>
        <w:t xml:space="preserve"/>
      </w:r>
    </w:p>
    <w:p>
      <w:pPr>
        <w:pStyle w:val="Heading2"/>
        <w:spacing w:after="80" w:before="280"/>
      </w:pPr>
      <w:r>
        <w:rPr>
          <w:rFonts w:ascii="Calibri" w:cs="Calibri" w:eastAsia="Calibri" w:hAnsi="Calibri"/>
          <w:b/>
          <w:bCs/>
          <w:color w:val="3E4C5E"/>
          <w:sz w:val="32"/>
          <w:szCs w:val="32"/>
        </w:rPr>
        <w:t xml:space="preserve">B. Why Intelligence Must Lead</w:t>
      </w:r>
    </w:p>
    <w:p>
      <w:pPr>
        <w:spacing w:after="100" w:before="60"/>
      </w:pPr>
      <w:r>
        <w:rPr>
          <w:rFonts w:ascii="Calibri" w:cs="Calibri" w:eastAsia="Calibri" w:hAnsi="Calibri"/>
          <w:i w:val="false"/>
          <w:iCs w:val="false"/>
          <w:color w:val="181614"/>
          <w:sz w:val="22"/>
          <w:szCs w:val="22"/>
        </w:rPr>
        <w:t xml:space="preserve">Marketplace-first platforms have low switching costs and minimal loyalty. Operators have no structural reason to prefer one over another unless pricing or selection is materially better. Intelligence changes that dynamic entirely.</w:t>
      </w:r>
    </w:p>
    <w:p>
      <w:pPr>
        <w:spacing w:after="0" w:before="60"/>
      </w:pPr>
      <w:r>
        <w:t xml:space="preserve"/>
      </w:r>
    </w:p>
    <w:tbl>
      <w:tblPr>
        <w:tblW w:type="dxa" w:w="9360"/>
        <w:tblBorders>
          <w:top w:val="single" w:color="ECEAE7" w:sz="4"/>
          <w:left w:val="single" w:color="ECEAE7" w:sz="4"/>
          <w:bottom w:val="single" w:color="ECEAE7" w:sz="4"/>
          <w:right w:val="single" w:color="ECEAE7" w:sz="4"/>
          <w:insideH w:val="single" w:color="auto" w:sz="4"/>
          <w:insideV w:val="single" w:color="auto" w:sz="4"/>
        </w:tblBorders>
      </w:tblPr>
      <w:tblGrid>
        <w:gridCol w:w="100"/>
        <w:gridCol w:w="100"/>
      </w:tblGrid>
      <w:tr>
        <w:tc>
          <w:tcPr>
            <w:tcW w:type="dxa" w:w="2600"/>
            <w:tcBorders>
              <w:top w:val="none" w:color="FFFFFF" w:sz="0"/>
              <w:left w:val="none" w:color="FFFFFF" w:sz="0"/>
              <w:bottom w:val="none" w:color="FFFFFF" w:sz="0"/>
              <w:right w:val="none" w:color="FFFFFF" w:sz="0"/>
            </w:tcBorders>
            <w:shd w:fill="0F1923" w:val="solid"/>
            <w:tcMar>
              <w:top w:type="dxa" w:w="100"/>
              <w:left w:type="dxa" w:w="200"/>
              <w:bottom w:type="dxa" w:w="100"/>
              <w:right w:type="dxa" w:w="200"/>
            </w:tcMar>
          </w:tcPr>
          <w:p>
            <w:r>
              <w:rPr>
                <w:rFonts w:ascii="Calibri" w:cs="Calibri" w:eastAsia="Calibri" w:hAnsi="Calibri"/>
                <w:b/>
                <w:bCs/>
                <w:color w:val="FFFFFF"/>
                <w:sz w:val="19"/>
                <w:szCs w:val="19"/>
              </w:rPr>
              <w:t xml:space="preserve">Pattern</w:t>
            </w:r>
          </w:p>
        </w:tc>
        <w:tc>
          <w:tcPr>
            <w:tcW w:type="dxa" w:w="6760"/>
            <w:tcBorders>
              <w:top w:val="none" w:color="FFFFFF" w:sz="0"/>
              <w:left w:val="none" w:color="FFFFFF" w:sz="0"/>
              <w:bottom w:val="none" w:color="FFFFFF" w:sz="0"/>
              <w:right w:val="none" w:color="FFFFFF" w:sz="0"/>
            </w:tcBorders>
            <w:shd w:fill="1A1F2B" w:val="solid"/>
            <w:tcMar>
              <w:top w:type="dxa" w:w="100"/>
              <w:left w:type="dxa" w:w="200"/>
              <w:bottom w:type="dxa" w:w="100"/>
              <w:right w:type="dxa" w:w="200"/>
            </w:tcMar>
          </w:tcPr>
          <w:p>
            <w:r>
              <w:rPr>
                <w:rFonts w:ascii="Calibri" w:cs="Calibri" w:eastAsia="Calibri" w:hAnsi="Calibri"/>
                <w:b/>
                <w:bCs/>
                <w:color w:val="FFFFFF"/>
                <w:sz w:val="19"/>
                <w:szCs w:val="19"/>
              </w:rPr>
              <w:t xml:space="preserve">SOCELLE Logic</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Marketplace-first platforms</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Commoditized. Operators shop for price. No structural stickiness.</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Intelligence-first platforms</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Operators return because the platform makes them better at their jobs.</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Intelligence creates habit</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Before operators order, they check what is moving. SOCELLE becomes the check-in.</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Intelligence creates trust</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When SOCELLE recommends a brand, operators believe it because the platform understands their market.</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Intelligence creates lock-in</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Operators who use SOCELLE intelligence begin to depend on it. Switching means giving up visibility.</w:t>
            </w:r>
          </w:p>
        </w:tc>
      </w:tr>
    </w:tbl>
    <w:p>
      <w:pPr>
        <w:spacing w:after="0" w:before="60"/>
      </w:pPr>
      <w:r>
        <w:t xml:space="preserve"/>
      </w:r>
    </w:p>
    <w:p>
      <w:pPr>
        <w:pStyle w:val="Heading2"/>
        <w:spacing w:after="80" w:before="280"/>
      </w:pPr>
      <w:r>
        <w:rPr>
          <w:rFonts w:ascii="Calibri" w:cs="Calibri" w:eastAsia="Calibri" w:hAnsi="Calibri"/>
          <w:b/>
          <w:bCs/>
          <w:color w:val="3E4C5E"/>
          <w:sz w:val="32"/>
          <w:szCs w:val="32"/>
        </w:rPr>
        <w:t xml:space="preserve">C. What "Addictive" Means in This Context</w:t>
      </w:r>
    </w:p>
    <w:p>
      <w:pPr>
        <w:spacing w:after="100" w:before="60"/>
      </w:pPr>
      <w:r>
        <w:rPr>
          <w:rFonts w:ascii="Calibri" w:cs="Calibri" w:eastAsia="Calibri" w:hAnsi="Calibri"/>
          <w:i w:val="false"/>
          <w:iCs w:val="false"/>
          <w:color w:val="181614"/>
          <w:sz w:val="22"/>
          <w:szCs w:val="22"/>
        </w:rPr>
        <w:t xml:space="preserve">Addictive in this context does not mean manipulative, gamified, or dopamine-driven. It means commercially obsessive. Operators return not because of streaks or notifications, but because the platform surface shows them things they care about professionally.</w:t>
      </w:r>
    </w:p>
    <w:p>
      <w:pPr>
        <w:spacing w:after="0" w:before="60"/>
      </w:pPr>
      <w:r>
        <w:t xml:space="preserve"/>
      </w:r>
    </w:p>
    <w:p>
      <w:pPr>
        <w:spacing w:after="100" w:before="60"/>
      </w:pPr>
      <w:r>
        <w:rPr>
          <w:rFonts w:ascii="Calibri" w:cs="Calibri" w:eastAsia="Calibri" w:hAnsi="Calibri"/>
          <w:i w:val="false"/>
          <w:iCs w:val="false"/>
          <w:color w:val="181614"/>
          <w:sz w:val="22"/>
          <w:szCs w:val="22"/>
        </w:rPr>
        <w:t xml:space="preserve">The platform should create the feeling that:</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Something has changed since the last visit.</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A competitor may have already seen this.</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A recommendation is waiting.</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A price movement or trend shift is worth acting on.</w:t>
      </w:r>
    </w:p>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20"/>
            <w:tcBorders>
              <w:top w:val="none" w:color="FFFFFF" w:sz="0"/>
              <w:left w:val="none" w:color="FFFFFF" w:sz="0"/>
              <w:bottom w:val="none" w:color="FFFFFF" w:sz="0"/>
              <w:right w:val="none" w:color="FFFFFF" w:sz="0"/>
            </w:tcBorders>
            <w:shd w:fill="1A3A6E" w:val="solid"/>
          </w:tcPr>
          <w:p>
            <w:r>
              <w:t xml:space="preserve"/>
            </w:r>
          </w:p>
        </w:tc>
        <w:tc>
          <w:tcPr>
            <w:tcW w:type="dxa" w:w="9240"/>
            <w:tcBorders>
              <w:top w:val="none" w:color="FFFFFF" w:sz="0"/>
              <w:left w:val="none" w:color="FFFFFF" w:sz="0"/>
              <w:bottom w:val="none" w:color="FFFFFF" w:sz="0"/>
              <w:right w:val="none" w:color="FFFFFF" w:sz="0"/>
            </w:tcBorders>
            <w:shd w:fill="F5F4F2" w:val="solid"/>
            <w:tcMar>
              <w:top w:type="dxa" w:w="160"/>
              <w:left w:type="dxa" w:w="280"/>
              <w:bottom w:type="dxa" w:w="160"/>
              <w:right w:type="dxa" w:w="280"/>
            </w:tcMar>
          </w:tcPr>
          <w:p>
            <w:pPr>
              <w:spacing w:after="60" w:before="0"/>
            </w:pPr>
            <w:r>
              <w:rPr>
                <w:rFonts w:ascii="Calibri" w:cs="Calibri" w:eastAsia="Calibri" w:hAnsi="Calibri"/>
                <w:b/>
                <w:bCs/>
                <w:color w:val="3E4C5E"/>
                <w:sz w:val="22"/>
                <w:szCs w:val="22"/>
              </w:rPr>
              <w:t xml:space="preserve">The Commercial Obsession Model</w:t>
            </w:r>
          </w:p>
          <w:p>
            <w:r>
              <w:rPr>
                <w:rFonts w:ascii="Calibri" w:cs="Calibri" w:eastAsia="Calibri" w:hAnsi="Calibri"/>
                <w:color w:val="181614"/>
                <w:sz w:val="21"/>
                <w:szCs w:val="21"/>
              </w:rPr>
              <w:t xml:space="preserve">Not "what did I miss today" — but "what can I do today that I could not do yesterday." The return trigger is strategic advantage, not entertainment.</w:t>
            </w:r>
          </w:p>
        </w:tc>
      </w:tr>
    </w:tbl>
    <w:p>
      <w:pPr>
        <w:spacing w:after="0" w:before="60"/>
      </w:pPr>
      <w:r>
        <w:t xml:space="preserve"/>
      </w:r>
    </w:p>
    <w:p>
      <w:pPr>
        <w:pStyle w:val="Heading2"/>
        <w:spacing w:after="80" w:before="280"/>
      </w:pPr>
      <w:r>
        <w:rPr>
          <w:rFonts w:ascii="Calibri" w:cs="Calibri" w:eastAsia="Calibri" w:hAnsi="Calibri"/>
          <w:b/>
          <w:bCs/>
          <w:color w:val="3E4C5E"/>
          <w:sz w:val="32"/>
          <w:szCs w:val="32"/>
        </w:rPr>
        <w:t xml:space="preserve">D. What "Sexy But Premium" Means in This Context</w:t>
      </w:r>
    </w:p>
    <w:p>
      <w:pPr>
        <w:spacing w:after="100" w:before="60"/>
      </w:pPr>
      <w:r>
        <w:rPr>
          <w:rFonts w:ascii="Calibri" w:cs="Calibri" w:eastAsia="Calibri" w:hAnsi="Calibri"/>
          <w:i w:val="false"/>
          <w:iCs w:val="false"/>
          <w:color w:val="181614"/>
          <w:sz w:val="22"/>
          <w:szCs w:val="22"/>
        </w:rPr>
        <w:t xml:space="preserve">"Sexy" in this context is not achieved through loud color, aggressive gradients, or visual noise. It is achieved through design confidence, visual tension, and hierarchy that rewards attention.</w:t>
      </w:r>
    </w:p>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4680"/>
            <w:tcBorders>
              <w:top w:val="none" w:color="FFFFFF" w:sz="0"/>
              <w:left w:val="none" w:color="FFFFFF" w:sz="0"/>
              <w:bottom w:val="none" w:color="FFFFFF" w:sz="0"/>
              <w:right w:val="none" w:color="FFFFFF" w:sz="0"/>
            </w:tcBorders>
            <w:shd w:fill="0F1923" w:val="solid"/>
            <w:tcMar>
              <w:top w:type="dxa" w:w="280"/>
              <w:left w:type="dxa" w:w="280"/>
              <w:bottom w:type="dxa" w:w="280"/>
              <w:right w:type="dxa" w:w="280"/>
            </w:tcMar>
          </w:tcPr>
          <w:p>
            <w:pPr>
              <w:spacing w:after="80" w:before="0"/>
            </w:pPr>
            <w:r>
              <w:rPr>
                <w:rFonts w:ascii="Calibri" w:cs="Calibri" w:eastAsia="Calibri" w:hAnsi="Calibri"/>
                <w:b/>
                <w:bCs/>
                <w:color w:val="FFFFFF"/>
                <w:sz w:val="20"/>
                <w:szCs w:val="20"/>
              </w:rPr>
              <w:t xml:space="preserve">What Sexy Means Here</w:t>
            </w:r>
          </w:p>
          <w:p>
            <w:pPr>
              <w:pStyle w:val="ListParagraph"/>
              <w:numPr>
                <w:ilvl w:val="0"/>
                <w:numId w:val="1"/>
              </w:numPr>
              <w:spacing w:after="40" w:before="40"/>
            </w:pPr>
            <w:r>
              <w:rPr>
                <w:rFonts w:ascii="Calibri" w:cs="Calibri" w:eastAsia="Calibri" w:hAnsi="Calibri"/>
                <w:color w:val="DDEEFF"/>
                <w:sz w:val="20"/>
                <w:szCs w:val="20"/>
              </w:rPr>
              <w:t xml:space="preserve">Deep, confident color on intelligence panels</w:t>
            </w:r>
          </w:p>
          <w:p>
            <w:pPr>
              <w:pStyle w:val="ListParagraph"/>
              <w:numPr>
                <w:ilvl w:val="0"/>
                <w:numId w:val="1"/>
              </w:numPr>
              <w:spacing w:after="40" w:before="40"/>
            </w:pPr>
            <w:r>
              <w:rPr>
                <w:rFonts w:ascii="Calibri" w:cs="Calibri" w:eastAsia="Calibri" w:hAnsi="Calibri"/>
                <w:color w:val="DDEEFF"/>
                <w:sz w:val="20"/>
                <w:szCs w:val="20"/>
              </w:rPr>
              <w:t xml:space="preserve">High contrast type that commands attention</w:t>
            </w:r>
          </w:p>
          <w:p>
            <w:pPr>
              <w:pStyle w:val="ListParagraph"/>
              <w:numPr>
                <w:ilvl w:val="0"/>
                <w:numId w:val="1"/>
              </w:numPr>
              <w:spacing w:after="40" w:before="40"/>
            </w:pPr>
            <w:r>
              <w:rPr>
                <w:rFonts w:ascii="Calibri" w:cs="Calibri" w:eastAsia="Calibri" w:hAnsi="Calibri"/>
                <w:color w:val="DDEEFF"/>
                <w:sz w:val="20"/>
                <w:szCs w:val="20"/>
              </w:rPr>
              <w:t xml:space="preserve">Visible movement — signal cards that feel live</w:t>
            </w:r>
          </w:p>
          <w:p>
            <w:pPr>
              <w:pStyle w:val="ListParagraph"/>
              <w:numPr>
                <w:ilvl w:val="0"/>
                <w:numId w:val="1"/>
              </w:numPr>
              <w:spacing w:after="40" w:before="40"/>
            </w:pPr>
            <w:r>
              <w:rPr>
                <w:rFonts w:ascii="Calibri" w:cs="Calibri" w:eastAsia="Calibri" w:hAnsi="Calibri"/>
                <w:color w:val="DDEEFF"/>
                <w:sz w:val="20"/>
                <w:szCs w:val="20"/>
              </w:rPr>
              <w:t xml:space="preserve">Spatial clarity with purposeful density</w:t>
            </w:r>
          </w:p>
          <w:p>
            <w:pPr>
              <w:pStyle w:val="ListParagraph"/>
              <w:numPr>
                <w:ilvl w:val="0"/>
                <w:numId w:val="1"/>
              </w:numPr>
              <w:spacing w:after="40" w:before="40"/>
            </w:pPr>
            <w:r>
              <w:rPr>
                <w:rFonts w:ascii="Calibri" w:cs="Calibri" w:eastAsia="Calibri" w:hAnsi="Calibri"/>
                <w:color w:val="DDEEFF"/>
                <w:sz w:val="20"/>
                <w:szCs w:val="20"/>
              </w:rPr>
              <w:t xml:space="preserve">Premium typography with presence</w:t>
            </w:r>
          </w:p>
          <w:p>
            <w:pPr>
              <w:pStyle w:val="ListParagraph"/>
              <w:numPr>
                <w:ilvl w:val="0"/>
                <w:numId w:val="1"/>
              </w:numPr>
              <w:spacing w:after="40" w:before="40"/>
            </w:pPr>
            <w:r>
              <w:rPr>
                <w:rFonts w:ascii="Calibri" w:cs="Calibri" w:eastAsia="Calibri" w:hAnsi="Calibri"/>
                <w:color w:val="DDEEFF"/>
                <w:sz w:val="20"/>
                <w:szCs w:val="20"/>
              </w:rPr>
              <w:t xml:space="preserve">Data that looks trustworthy and current</w:t>
            </w:r>
          </w:p>
        </w:tc>
        <w:tc>
          <w:tcPr>
            <w:tcW w:type="dxa" w:w="4680"/>
            <w:tcBorders>
              <w:top w:val="none" w:color="FFFFFF" w:sz="0"/>
              <w:left w:val="none" w:color="FFFFFF" w:sz="0"/>
              <w:bottom w:val="none" w:color="FFFFFF" w:sz="0"/>
              <w:right w:val="none" w:color="FFFFFF" w:sz="0"/>
            </w:tcBorders>
            <w:shd w:fill="1A1F2B" w:val="solid"/>
            <w:tcMar>
              <w:top w:type="dxa" w:w="280"/>
              <w:left w:type="dxa" w:w="280"/>
              <w:bottom w:type="dxa" w:w="280"/>
              <w:right w:type="dxa" w:w="280"/>
            </w:tcMar>
          </w:tcPr>
          <w:p>
            <w:pPr>
              <w:spacing w:after="80" w:before="0"/>
            </w:pPr>
            <w:r>
              <w:rPr>
                <w:rFonts w:ascii="Calibri" w:cs="Calibri" w:eastAsia="Calibri" w:hAnsi="Calibri"/>
                <w:b/>
                <w:bCs/>
                <w:color w:val="FFFFFF"/>
                <w:sz w:val="20"/>
                <w:szCs w:val="20"/>
              </w:rPr>
              <w:t xml:space="preserve">What Sexy Does Not Mean Here</w:t>
            </w:r>
          </w:p>
          <w:p>
            <w:pPr>
              <w:pStyle w:val="ListParagraph"/>
              <w:numPr>
                <w:ilvl w:val="0"/>
                <w:numId w:val="1"/>
              </w:numPr>
              <w:spacing w:after="40" w:before="40"/>
            </w:pPr>
            <w:r>
              <w:rPr>
                <w:rFonts w:ascii="Calibri" w:cs="Calibri" w:eastAsia="Calibri" w:hAnsi="Calibri"/>
                <w:color w:val="DDEEFF"/>
                <w:sz w:val="20"/>
                <w:szCs w:val="20"/>
              </w:rPr>
              <w:t xml:space="preserve">Loud color or fluorescent accents</w:t>
            </w:r>
          </w:p>
          <w:p>
            <w:pPr>
              <w:pStyle w:val="ListParagraph"/>
              <w:numPr>
                <w:ilvl w:val="0"/>
                <w:numId w:val="1"/>
              </w:numPr>
              <w:spacing w:after="40" w:before="40"/>
            </w:pPr>
            <w:r>
              <w:rPr>
                <w:rFonts w:ascii="Calibri" w:cs="Calibri" w:eastAsia="Calibri" w:hAnsi="Calibri"/>
                <w:color w:val="DDEEFF"/>
                <w:sz w:val="20"/>
                <w:szCs w:val="20"/>
              </w:rPr>
              <w:t xml:space="preserve">Decorative gradients or unnecessary animation</w:t>
            </w:r>
          </w:p>
          <w:p>
            <w:pPr>
              <w:pStyle w:val="ListParagraph"/>
              <w:numPr>
                <w:ilvl w:val="0"/>
                <w:numId w:val="1"/>
              </w:numPr>
              <w:spacing w:after="40" w:before="40"/>
            </w:pPr>
            <w:r>
              <w:rPr>
                <w:rFonts w:ascii="Calibri" w:cs="Calibri" w:eastAsia="Calibri" w:hAnsi="Calibri"/>
                <w:color w:val="DDEEFF"/>
                <w:sz w:val="20"/>
                <w:szCs w:val="20"/>
              </w:rPr>
              <w:t xml:space="preserve">Visual clutter or competing signals</w:t>
            </w:r>
          </w:p>
          <w:p>
            <w:pPr>
              <w:pStyle w:val="ListParagraph"/>
              <w:numPr>
                <w:ilvl w:val="0"/>
                <w:numId w:val="1"/>
              </w:numPr>
              <w:spacing w:after="40" w:before="40"/>
            </w:pPr>
            <w:r>
              <w:rPr>
                <w:rFonts w:ascii="Calibri" w:cs="Calibri" w:eastAsia="Calibri" w:hAnsi="Calibri"/>
                <w:color w:val="DDEEFF"/>
                <w:sz w:val="20"/>
                <w:szCs w:val="20"/>
              </w:rPr>
              <w:t xml:space="preserve">Trendy web aesthetic detached from the product</w:t>
            </w:r>
          </w:p>
          <w:p>
            <w:pPr>
              <w:pStyle w:val="ListParagraph"/>
              <w:numPr>
                <w:ilvl w:val="0"/>
                <w:numId w:val="1"/>
              </w:numPr>
              <w:spacing w:after="40" w:before="40"/>
            </w:pPr>
            <w:r>
              <w:rPr>
                <w:rFonts w:ascii="Calibri" w:cs="Calibri" w:eastAsia="Calibri" w:hAnsi="Calibri"/>
                <w:color w:val="DDEEFF"/>
                <w:sz w:val="20"/>
                <w:szCs w:val="20"/>
              </w:rPr>
              <w:t xml:space="preserve">Generic "modern" design that could belong to any company</w:t>
            </w:r>
          </w:p>
          <w:p>
            <w:pPr>
              <w:pStyle w:val="ListParagraph"/>
              <w:numPr>
                <w:ilvl w:val="0"/>
                <w:numId w:val="1"/>
              </w:numPr>
              <w:spacing w:after="40" w:before="40"/>
            </w:pPr>
            <w:r>
              <w:rPr>
                <w:rFonts w:ascii="Calibri" w:cs="Calibri" w:eastAsia="Calibri" w:hAnsi="Calibri"/>
                <w:color w:val="DDEEFF"/>
                <w:sz w:val="20"/>
                <w:szCs w:val="20"/>
              </w:rPr>
              <w:t xml:space="preserve">Stock imagery or lifestyle photography in intelligence panels</w:t>
            </w:r>
          </w:p>
        </w:tc>
      </w:tr>
    </w:tbl>
    <w:p>
      <w:pPr>
        <w:spacing w:after="0" w:before="60"/>
      </w:pPr>
      <w:r>
        <w:t xml:space="preserve"/>
      </w:r>
    </w:p>
    <w:p>
      <w:pPr>
        <w:pStyle w:val="Heading2"/>
        <w:spacing w:after="80" w:before="280"/>
      </w:pPr>
      <w:r>
        <w:rPr>
          <w:rFonts w:ascii="Calibri" w:cs="Calibri" w:eastAsia="Calibri" w:hAnsi="Calibri"/>
          <w:b/>
          <w:bCs/>
          <w:color w:val="3E4C5E"/>
          <w:sz w:val="32"/>
          <w:szCs w:val="32"/>
        </w:rPr>
        <w:t xml:space="preserve">E. How Cleo-Like Public-Page Magnetism Should Translate Here</w:t>
      </w:r>
    </w:p>
    <w:p>
      <w:pPr>
        <w:spacing w:after="100" w:before="60"/>
      </w:pPr>
      <w:r>
        <w:rPr>
          <w:rFonts w:ascii="Calibri" w:cs="Calibri" w:eastAsia="Calibri" w:hAnsi="Calibri"/>
          <w:i w:val="false"/>
          <w:iCs w:val="false"/>
          <w:color w:val="181614"/>
          <w:sz w:val="22"/>
          <w:szCs w:val="22"/>
        </w:rPr>
        <w:t xml:space="preserve">Cleo achieves public-page magnetism through high contrast, hierarchy confidence, product-forward design, and visual pull that makes the product feel alive and worth joining. SOCELLE applies the same structural logic with a different aesthetic register.</w:t>
      </w:r>
    </w:p>
    <w:p>
      <w:pPr>
        <w:spacing w:after="0" w:before="60"/>
      </w:pPr>
      <w:r>
        <w:t xml:space="preserve"/>
      </w:r>
    </w:p>
    <w:tbl>
      <w:tblPr>
        <w:tblW w:type="dxa" w:w="9360"/>
        <w:tblBorders>
          <w:top w:val="single" w:color="ECEAE7" w:sz="4"/>
          <w:left w:val="single" w:color="ECEAE7" w:sz="4"/>
          <w:bottom w:val="single" w:color="ECEAE7" w:sz="4"/>
          <w:right w:val="single" w:color="ECEAE7" w:sz="4"/>
          <w:insideH w:val="single" w:color="auto" w:sz="4"/>
          <w:insideV w:val="single" w:color="auto" w:sz="4"/>
        </w:tblBorders>
      </w:tblPr>
      <w:tblGrid>
        <w:gridCol w:w="100"/>
        <w:gridCol w:w="100"/>
      </w:tblGrid>
      <w:tr>
        <w:tc>
          <w:tcPr>
            <w:tcW w:type="dxa" w:w="2600"/>
            <w:tcBorders>
              <w:top w:val="none" w:color="FFFFFF" w:sz="0"/>
              <w:left w:val="none" w:color="FFFFFF" w:sz="0"/>
              <w:bottom w:val="none" w:color="FFFFFF" w:sz="0"/>
              <w:right w:val="none" w:color="FFFFFF" w:sz="0"/>
            </w:tcBorders>
            <w:shd w:fill="0F1923" w:val="solid"/>
            <w:tcMar>
              <w:top w:type="dxa" w:w="100"/>
              <w:left w:type="dxa" w:w="200"/>
              <w:bottom w:type="dxa" w:w="100"/>
              <w:right w:type="dxa" w:w="200"/>
            </w:tcMar>
          </w:tcPr>
          <w:p>
            <w:r>
              <w:rPr>
                <w:rFonts w:ascii="Calibri" w:cs="Calibri" w:eastAsia="Calibri" w:hAnsi="Calibri"/>
                <w:b/>
                <w:bCs/>
                <w:color w:val="FFFFFF"/>
                <w:sz w:val="19"/>
                <w:szCs w:val="19"/>
              </w:rPr>
              <w:t xml:space="preserve">Element</w:t>
            </w:r>
          </w:p>
        </w:tc>
        <w:tc>
          <w:tcPr>
            <w:tcW w:type="dxa" w:w="6760"/>
            <w:tcBorders>
              <w:top w:val="none" w:color="FFFFFF" w:sz="0"/>
              <w:left w:val="none" w:color="FFFFFF" w:sz="0"/>
              <w:bottom w:val="none" w:color="FFFFFF" w:sz="0"/>
              <w:right w:val="none" w:color="FFFFFF" w:sz="0"/>
            </w:tcBorders>
            <w:shd w:fill="1A1F2B" w:val="solid"/>
            <w:tcMar>
              <w:top w:type="dxa" w:w="100"/>
              <w:left w:type="dxa" w:w="200"/>
              <w:bottom w:type="dxa" w:w="100"/>
              <w:right w:type="dxa" w:w="200"/>
            </w:tcMar>
          </w:tcPr>
          <w:p>
            <w:r>
              <w:rPr>
                <w:rFonts w:ascii="Calibri" w:cs="Calibri" w:eastAsia="Calibri" w:hAnsi="Calibri"/>
                <w:b/>
                <w:bCs/>
                <w:color w:val="FFFFFF"/>
                <w:sz w:val="19"/>
                <w:szCs w:val="19"/>
              </w:rPr>
              <w:t xml:space="preserve">Translation</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Cleo Element</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SOCELLE Translation</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Bright accent color creating visual energy</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Deep navy and mineral slate creating premium gravity</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Bold type creating hierarchy</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Bold type with wider leading and more spatial restraint</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Product UI preview on public pages</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Intelligence Hub preview panels showing real signal content</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Motion and refresh indicators</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Subtle counter animations, timestamp indicators, live-data labels</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Strong value proposition above fold</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Single decisive intelligence statement as hero — no ambiguity</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Product feels alive from the outside</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Hub preview content is real and current, not illustrative</w:t>
            </w:r>
          </w:p>
        </w:tc>
      </w:tr>
    </w:tbl>
    <w:p>
      <w:pPr>
        <w:spacing w:after="0" w:before="60"/>
      </w:pPr>
      <w:r>
        <w:t xml:space="preserve"/>
      </w:r>
    </w:p>
    <w:p>
      <w:pPr>
        <w:pStyle w:val="Heading2"/>
        <w:spacing w:after="80" w:before="280"/>
      </w:pPr>
      <w:r>
        <w:rPr>
          <w:rFonts w:ascii="Calibri" w:cs="Calibri" w:eastAsia="Calibri" w:hAnsi="Calibri"/>
          <w:b/>
          <w:bCs/>
          <w:color w:val="3E4C5E"/>
          <w:sz w:val="32"/>
          <w:szCs w:val="32"/>
        </w:rPr>
        <w:t xml:space="preserve">F. What Must Change in the Current Coordination Logic</w:t>
      </w:r>
    </w:p>
    <w:p>
      <w:pPr>
        <w:spacing w:after="100" w:before="60"/>
      </w:pPr>
      <w:r>
        <w:rPr>
          <w:rFonts w:ascii="Calibri" w:cs="Calibri" w:eastAsia="Calibri" w:hAnsi="Calibri"/>
          <w:i w:val="false"/>
          <w:iCs w:val="false"/>
          <w:color w:val="181614"/>
          <w:sz w:val="22"/>
          <w:szCs w:val="22"/>
        </w:rPr>
        <w:t xml:space="preserve">The following assumptions in the current coordination document must be replaced or challenged:</w:t>
      </w:r>
    </w:p>
    <w:p>
      <w:pPr>
        <w:spacing w:after="0" w:before="60"/>
      </w:pPr>
      <w:r>
        <w:t xml:space="preserve"/>
      </w:r>
    </w:p>
    <w:tbl>
      <w:tblPr>
        <w:tblW w:type="dxa" w:w="9360"/>
        <w:tblBorders>
          <w:top w:val="single" w:color="ECEAE7" w:sz="4"/>
          <w:left w:val="single" w:color="ECEAE7" w:sz="4"/>
          <w:bottom w:val="single" w:color="ECEAE7" w:sz="4"/>
          <w:right w:val="single" w:color="ECEAE7" w:sz="4"/>
          <w:insideH w:val="single" w:color="auto" w:sz="4"/>
          <w:insideV w:val="single" w:color="auto" w:sz="4"/>
        </w:tblBorders>
      </w:tblPr>
      <w:tblGrid>
        <w:gridCol w:w="100"/>
        <w:gridCol w:w="100"/>
      </w:tblGrid>
      <w:tr>
        <w:tc>
          <w:tcPr>
            <w:tcW w:type="dxa" w:w="2600"/>
            <w:tcBorders>
              <w:top w:val="none" w:color="FFFFFF" w:sz="0"/>
              <w:left w:val="none" w:color="FFFFFF" w:sz="0"/>
              <w:bottom w:val="none" w:color="FFFFFF" w:sz="0"/>
              <w:right w:val="none" w:color="FFFFFF" w:sz="0"/>
            </w:tcBorders>
            <w:shd w:fill="0F1923" w:val="solid"/>
            <w:tcMar>
              <w:top w:type="dxa" w:w="100"/>
              <w:left w:type="dxa" w:w="200"/>
              <w:bottom w:type="dxa" w:w="100"/>
              <w:right w:type="dxa" w:w="200"/>
            </w:tcMar>
          </w:tcPr>
          <w:p>
            <w:r>
              <w:rPr>
                <w:rFonts w:ascii="Calibri" w:cs="Calibri" w:eastAsia="Calibri" w:hAnsi="Calibri"/>
                <w:b/>
                <w:bCs/>
                <w:color w:val="FFFFFF"/>
                <w:sz w:val="19"/>
                <w:szCs w:val="19"/>
              </w:rPr>
              <w:t xml:space="preserve">Old Assumption</w:t>
            </w:r>
          </w:p>
        </w:tc>
        <w:tc>
          <w:tcPr>
            <w:tcW w:type="dxa" w:w="6760"/>
            <w:tcBorders>
              <w:top w:val="none" w:color="FFFFFF" w:sz="0"/>
              <w:left w:val="none" w:color="FFFFFF" w:sz="0"/>
              <w:bottom w:val="none" w:color="FFFFFF" w:sz="0"/>
              <w:right w:val="none" w:color="FFFFFF" w:sz="0"/>
            </w:tcBorders>
            <w:shd w:fill="1A1F2B" w:val="solid"/>
            <w:tcMar>
              <w:top w:type="dxa" w:w="100"/>
              <w:left w:type="dxa" w:w="200"/>
              <w:bottom w:type="dxa" w:w="100"/>
              <w:right w:type="dxa" w:w="200"/>
            </w:tcMar>
          </w:tcPr>
          <w:p>
            <w:r>
              <w:rPr>
                <w:rFonts w:ascii="Calibri" w:cs="Calibri" w:eastAsia="Calibri" w:hAnsi="Calibri"/>
                <w:b/>
                <w:bCs/>
                <w:color w:val="FFFFFF"/>
                <w:sz w:val="19"/>
                <w:szCs w:val="19"/>
              </w:rPr>
              <w:t xml:space="preserve">New Doctrine</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CHANGE: IH is a teaser first</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Intelligence Hub ships as a core product layer at launch, not a preview of future capability.</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CHANGE: Marketplace is the primary hook</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The marketplace is the commerce output of intelligence adoption. It is introduced second.</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CHANGE: Request Access framing is marketplace-led</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Request Access is framed around intelligence access first. Sourcing capability is the implied benefit.</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CHANGE: Brand count is a signal of platform readiness</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Intelligence quality is the readiness signal. Brand depth grows in response to operator demand.</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CHANGE: IH content is educational resources</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IH content is live market intelligence — operational, actionable, and commercially specific.</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CHANGE: Homepage leads with "discover brands"</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Homepage leads with the intelligence hook. Brands are introduced as a downstream capability.</w:t>
            </w:r>
          </w:p>
        </w:tc>
      </w:tr>
    </w:tbl>
    <w:p>
      <w:pPr>
        <w:spacing w:after="0" w:before="60"/>
      </w:pPr>
      <w:r>
        <w:t xml:space="preserve"/>
      </w:r>
    </w:p>
    <w:p>
      <w:pPr>
        <w:pStyle w:val="Heading2"/>
        <w:spacing w:after="80" w:before="280"/>
      </w:pPr>
      <w:r>
        <w:rPr>
          <w:rFonts w:ascii="Calibri" w:cs="Calibri" w:eastAsia="Calibri" w:hAnsi="Calibri"/>
          <w:b/>
          <w:bCs/>
          <w:color w:val="3E4C5E"/>
          <w:sz w:val="32"/>
          <w:szCs w:val="32"/>
        </w:rPr>
        <w:t xml:space="preserve">G. Immediate Implications for Homepage, Buyer Page, and Hub Build Order</w:t>
      </w:r>
    </w:p>
    <w:p>
      <w:pPr>
        <w:spacing w:after="100" w:before="60"/>
      </w:pPr>
      <w:r>
        <w:rPr>
          <w:rFonts w:ascii="Calibri" w:cs="Calibri" w:eastAsia="Calibri" w:hAnsi="Calibri"/>
          <w:i w:val="false"/>
          <w:iCs w:val="false"/>
          <w:color w:val="181614"/>
          <w:sz w:val="22"/>
          <w:szCs w:val="22"/>
        </w:rPr>
        <w:t xml:space="preserve">These changes have immediate implications for the three highest-priority surfaces:</w:t>
      </w:r>
    </w:p>
    <w:p>
      <w:pPr>
        <w:spacing w:after="0" w:before="60"/>
      </w:pPr>
      <w:r>
        <w:t xml:space="preserve"/>
      </w:r>
    </w:p>
    <w:tbl>
      <w:tblPr>
        <w:tblW w:type="dxa" w:w="9360"/>
        <w:tblBorders>
          <w:top w:val="single" w:color="ECEAE7" w:sz="4"/>
          <w:left w:val="single" w:color="ECEAE7" w:sz="4"/>
          <w:bottom w:val="single" w:color="ECEAE7" w:sz="4"/>
          <w:right w:val="single" w:color="ECEAE7" w:sz="4"/>
          <w:insideH w:val="single" w:color="auto" w:sz="4"/>
          <w:insideV w:val="single" w:color="auto" w:sz="4"/>
        </w:tblBorders>
      </w:tblPr>
      <w:tblGrid>
        <w:gridCol w:w="100"/>
        <w:gridCol w:w="100"/>
      </w:tblGrid>
      <w:tr>
        <w:tc>
          <w:tcPr>
            <w:tcW w:type="dxa" w:w="28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3E4C5E"/>
                <w:sz w:val="20"/>
                <w:szCs w:val="20"/>
              </w:rPr>
              <w:t xml:space="preserve">Homepage</w:t>
            </w:r>
          </w:p>
        </w:tc>
        <w:tc>
          <w:tcPr>
            <w:tcW w:type="dxa" w:w="65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Hero shifts to intelligence hook. Live signal panel added above fold. Hub preview becomes the page centerpiece.</w:t>
            </w:r>
          </w:p>
        </w:tc>
      </w:tr>
      <w:tr>
        <w:tc>
          <w:tcPr>
            <w:tcW w:type="dxa" w:w="28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3E4C5E"/>
                <w:sz w:val="20"/>
                <w:szCs w:val="20"/>
              </w:rPr>
              <w:t xml:space="preserve">Buyer Page</w:t>
            </w:r>
          </w:p>
        </w:tc>
        <w:tc>
          <w:tcPr>
            <w:tcW w:type="dxa" w:w="65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Lead copy shifts from "source smarter" to "know more, source smarter." Intelligence advantage is the hook; sourcing is the yield.</w:t>
            </w:r>
          </w:p>
        </w:tc>
      </w:tr>
      <w:tr>
        <w:tc>
          <w:tcPr>
            <w:tcW w:type="dxa" w:w="28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3E4C5E"/>
                <w:sz w:val="20"/>
                <w:szCs w:val="20"/>
              </w:rPr>
              <w:t xml:space="preserve">Hub Build Order</w:t>
            </w:r>
          </w:p>
        </w:tc>
        <w:tc>
          <w:tcPr>
            <w:tcW w:type="dxa" w:w="65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Intelligence Hub ships at launch with real or seeded-to-real signal content. Not a post-cohort addition.</w:t>
            </w:r>
          </w:p>
        </w:tc>
      </w:tr>
      <w:tr>
        <w:tc>
          <w:tcPr>
            <w:tcW w:type="dxa" w:w="28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3E4C5E"/>
                <w:sz w:val="20"/>
                <w:szCs w:val="20"/>
              </w:rPr>
              <w:t xml:space="preserve">Request Access CTA</w:t>
            </w:r>
          </w:p>
        </w:tc>
        <w:tc>
          <w:tcPr>
            <w:tcW w:type="dxa" w:w="65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Reframed as "Get Intelligence Access" or "Join the Intel Layer." Not "browse brands."</w:t>
            </w:r>
          </w:p>
        </w:tc>
      </w:tr>
      <w:tr>
        <w:tc>
          <w:tcPr>
            <w:tcW w:type="dxa" w:w="28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3E4C5E"/>
                <w:sz w:val="20"/>
                <w:szCs w:val="20"/>
              </w:rPr>
              <w:t xml:space="preserve">Brand Section</w:t>
            </w:r>
          </w:p>
        </w:tc>
        <w:tc>
          <w:tcPr>
            <w:tcW w:type="dxa" w:w="65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Moved below the fold on homepage. Introduced as the output of operator trust, not the platform premise.</w:t>
            </w:r>
          </w:p>
        </w:tc>
      </w:tr>
    </w:tbl>
    <w:p>
      <w:pPr>
        <w:spacing w:after="0" w:before="6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3E4C5E" w:val="solid"/>
            <w:tcMar>
              <w:top w:type="dxa" w:w="120"/>
              <w:left w:type="dxa" w:w="400"/>
              <w:bottom w:type="dxa" w:w="120"/>
              <w:right w:type="dxa" w:w="400"/>
            </w:tcMar>
          </w:tcPr>
          <w:p>
            <w:r>
              <w:rPr>
                <w:rFonts w:ascii="Calibri" w:cs="Calibri" w:eastAsia="Calibri" w:hAnsi="Calibri"/>
                <w:b/>
                <w:bCs/>
                <w:color w:val="FFFFFF"/>
                <w:spacing w:val="80"/>
                <w:sz w:val="20"/>
                <w:szCs w:val="20"/>
              </w:rPr>
              <w:t xml:space="preserve">PHASE 1 — THESIS, HOOK, AND ACQUISITION</w:t>
            </w:r>
          </w:p>
        </w:tc>
      </w:tr>
    </w:tbl>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0F1923" w:val="solid"/>
            <w:tcMar>
              <w:top w:type="dxa" w:w="240"/>
              <w:left w:type="dxa" w:w="280"/>
              <w:bottom w:type="dxa" w:w="240"/>
              <w:right w:type="dxa" w:w="280"/>
            </w:tcMar>
          </w:tcPr>
          <w:p>
            <w:pPr>
              <w:jc w:val="center"/>
            </w:pPr>
            <w:r>
              <w:rPr>
                <w:rFonts w:ascii="Calibri" w:cs="Calibri" w:eastAsia="Calibri" w:hAnsi="Calibri"/>
                <w:b/>
                <w:bCs/>
                <w:color w:val="6B8EBF"/>
                <w:sz w:val="16"/>
                <w:szCs w:val="16"/>
              </w:rPr>
              <w:t xml:space="preserve">AGENT 01</w:t>
            </w:r>
          </w:p>
          <w:p>
            <w:pPr>
              <w:jc w:val="center"/>
            </w:pPr>
            <w:r>
              <w:rPr>
                <w:rFonts w:ascii="Georgia" w:cs="Georgia" w:eastAsia="Georgia" w:hAnsi="Georgia"/>
                <w:b/>
                <w:bCs/>
                <w:color w:val="FFFFFF"/>
                <w:sz w:val="52"/>
                <w:szCs w:val="52"/>
              </w:rPr>
              <w:t xml:space="preserve">01</w:t>
            </w:r>
          </w:p>
        </w:tc>
        <w:tc>
          <w:tcPr>
            <w:tcW w:type="dxa" w:w="7960"/>
            <w:tcBorders>
              <w:top w:val="none" w:color="FFFFFF" w:sz="0"/>
              <w:left w:val="none" w:color="FFFFFF" w:sz="0"/>
              <w:bottom w:val="none" w:color="FFFFFF" w:sz="0"/>
              <w:right w:val="none" w:color="FFFFFF" w:sz="0"/>
            </w:tcBorders>
            <w:shd w:fill="1A1F2B" w:val="solid"/>
            <w:tcMar>
              <w:top w:type="dxa" w:w="240"/>
              <w:left w:type="dxa" w:w="360"/>
              <w:bottom w:type="dxa" w:w="240"/>
              <w:right w:type="dxa" w:w="360"/>
            </w:tcMar>
          </w:tcPr>
          <w:p>
            <w:r>
              <w:rPr>
                <w:rFonts w:ascii="Calibri" w:cs="Calibri" w:eastAsia="Calibri" w:hAnsi="Calibri"/>
                <w:b/>
                <w:bCs/>
                <w:color w:val="6B8EBF"/>
                <w:sz w:val="20"/>
                <w:szCs w:val="20"/>
              </w:rPr>
              <w:t xml:space="preserve">INTELLIGENCE PLATFORM THESIS AGENT</w:t>
            </w:r>
          </w:p>
          <w:p>
            <w:pPr>
              <w:spacing w:after="0" w:before="40"/>
            </w:pPr>
            <w:r>
              <w:rPr>
                <w:rFonts w:ascii="Georgia" w:cs="Georgia" w:eastAsia="Georgia" w:hAnsi="Georgia"/>
                <w:b/>
                <w:bCs/>
                <w:color w:val="FFFFFF"/>
                <w:sz w:val="34"/>
                <w:szCs w:val="34"/>
              </w:rPr>
              <w:t xml:space="preserve">Intelligence Platform Thesis Agent</w:t>
            </w:r>
          </w:p>
          <w:p>
            <w:pPr>
              <w:spacing w:after="0" w:before="60"/>
            </w:pPr>
            <w:r>
              <w:rPr>
                <w:rFonts w:ascii="Calibri" w:cs="Calibri" w:eastAsia="Calibri" w:hAnsi="Calibri"/>
                <w:i/>
                <w:iCs/>
                <w:color w:val="AABBD0"/>
                <w:sz w:val="20"/>
                <w:szCs w:val="20"/>
              </w:rPr>
              <w:t xml:space="preserve">Redefining SOCELLE as an intelligence platform with marketplace capability</w:t>
            </w:r>
          </w:p>
        </w:tc>
      </w:tr>
    </w:tbl>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A1-A. Intelligence-First Thesis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20"/>
            <w:tcBorders>
              <w:top w:val="none" w:color="FFFFFF" w:sz="0"/>
              <w:left w:val="none" w:color="FFFFFF" w:sz="0"/>
              <w:bottom w:val="none" w:color="FFFFFF" w:sz="0"/>
              <w:right w:val="none" w:color="FFFFFF" w:sz="0"/>
            </w:tcBorders>
            <w:shd w:fill="0F1923" w:val="solid"/>
          </w:tcPr>
          <w:p>
            <w:r>
              <w:t xml:space="preserve"/>
            </w:r>
          </w:p>
        </w:tc>
        <w:tc>
          <w:tcPr>
            <w:tcW w:type="dxa" w:w="9240"/>
            <w:tcBorders>
              <w:top w:val="none" w:color="FFFFFF" w:sz="0"/>
              <w:left w:val="none" w:color="FFFFFF" w:sz="0"/>
              <w:bottom w:val="none" w:color="FFFFFF" w:sz="0"/>
              <w:right w:val="none" w:color="FFFFFF" w:sz="0"/>
            </w:tcBorders>
            <w:shd w:fill="F5F4F2" w:val="solid"/>
            <w:tcMar>
              <w:top w:type="dxa" w:w="160"/>
              <w:left w:type="dxa" w:w="280"/>
              <w:bottom w:type="dxa" w:w="160"/>
              <w:right w:type="dxa" w:w="280"/>
            </w:tcMar>
          </w:tcPr>
          <w:p>
            <w:pPr>
              <w:spacing w:after="60" w:before="0"/>
            </w:pPr>
            <w:r>
              <w:rPr>
                <w:rFonts w:ascii="Calibri" w:cs="Calibri" w:eastAsia="Calibri" w:hAnsi="Calibri"/>
                <w:b/>
                <w:bCs/>
                <w:color w:val="3E4C5E"/>
                <w:sz w:val="22"/>
                <w:szCs w:val="22"/>
              </w:rPr>
              <w:t xml:space="preserve">The Thesis Statement</w:t>
            </w:r>
          </w:p>
          <w:p>
            <w:r>
              <w:rPr>
                <w:rFonts w:ascii="Calibri" w:cs="Calibri" w:eastAsia="Calibri" w:hAnsi="Calibri"/>
                <w:color w:val="181614"/>
                <w:sz w:val="21"/>
                <w:szCs w:val="21"/>
              </w:rPr>
              <w:t xml:space="preserve">SOCELLE is the professional beauty and wellness industry's intelligence platform. Operators join to see their market clearly. They stay because the intelligence compound. They source because the platform already understands what they need.</w:t>
            </w:r>
          </w:p>
        </w:tc>
      </w:tr>
    </w:tbl>
    <w:p>
      <w:pPr>
        <w:spacing w:after="0" w:before="60"/>
      </w:pPr>
      <w:r>
        <w:t xml:space="preserve"/>
      </w:r>
    </w:p>
    <w:p>
      <w:pPr>
        <w:spacing w:after="100" w:before="60"/>
      </w:pPr>
      <w:r>
        <w:rPr>
          <w:rFonts w:ascii="Calibri" w:cs="Calibri" w:eastAsia="Calibri" w:hAnsi="Calibri"/>
          <w:i w:val="false"/>
          <w:iCs w:val="false"/>
          <w:color w:val="181614"/>
          <w:sz w:val="22"/>
          <w:szCs w:val="22"/>
        </w:rPr>
        <w:t xml:space="preserve">An intelligence-first platform means:</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The primary product is not the catalog — it is the visibility layer.</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The primary value is not access to brands — it is access to market knowledge no competitor has.</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The primary reason to join is not to buy something — it is to see something that changes how you operate.</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The marketplace is the monetization mechanism, not the product premise.</w:t>
      </w:r>
    </w:p>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A1-B. Marketplace-Second Logic</w:t>
      </w:r>
    </w:p>
    <w:p>
      <w:pPr>
        <w:spacing w:after="100" w:before="60"/>
      </w:pPr>
      <w:r>
        <w:rPr>
          <w:rFonts w:ascii="Calibri" w:cs="Calibri" w:eastAsia="Calibri" w:hAnsi="Calibri"/>
          <w:i w:val="false"/>
          <w:iCs w:val="false"/>
          <w:color w:val="181614"/>
          <w:sz w:val="22"/>
          <w:szCs w:val="22"/>
        </w:rPr>
        <w:t xml:space="preserve">Launching marketplace-first forces SOCELLE to compete on brand breadth and pricing before establishing a defensible position. Launching intelligence-first establishes a position no competitor can immediately copy.</w:t>
      </w:r>
    </w:p>
    <w:p>
      <w:pPr>
        <w:spacing w:after="0" w:before="60"/>
      </w:pPr>
      <w:r>
        <w:t xml:space="preserve"/>
      </w:r>
    </w:p>
    <w:p>
      <w:pPr>
        <w:spacing w:after="100" w:before="60"/>
      </w:pPr>
      <w:r>
        <w:rPr>
          <w:rFonts w:ascii="Calibri" w:cs="Calibri" w:eastAsia="Calibri" w:hAnsi="Calibri"/>
          <w:i w:val="false"/>
          <w:iCs w:val="false"/>
          <w:color w:val="181614"/>
          <w:sz w:val="22"/>
          <w:szCs w:val="22"/>
        </w:rPr>
        <w:t xml:space="preserve">The marketplace-second logic:</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Operators who join for intelligence are already engaged before they place an order.</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Operators who trust the intelligence platform trust the sourcing recommendations.</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Operators who rely on SOCELLE benchmarks are not neutral shoppers — they are intelligence-dependent buyers.</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Each operator who joins for intelligence makes the intelligence richer, which attracts more operators.</w:t>
      </w:r>
    </w:p>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A1-C. Why Operators Join for Intelligence Before Brand Depth</w:t>
      </w:r>
    </w:p>
    <w:p>
      <w:pPr>
        <w:spacing w:after="100" w:before="60"/>
      </w:pPr>
      <w:r>
        <w:rPr>
          <w:rFonts w:ascii="Calibri" w:cs="Calibri" w:eastAsia="Calibri" w:hAnsi="Calibri"/>
          <w:i w:val="false"/>
          <w:iCs w:val="false"/>
          <w:color w:val="181614"/>
          <w:sz w:val="22"/>
          <w:szCs w:val="22"/>
        </w:rPr>
        <w:t xml:space="preserve">The common assumption is that operators will not join until there are enough brands to browse. This is wrong for the following reasons:</w:t>
      </w:r>
    </w:p>
    <w:p>
      <w:pPr>
        <w:spacing w:after="0" w:before="60"/>
      </w:pPr>
      <w:r>
        <w:t xml:space="preserve"/>
      </w:r>
    </w:p>
    <w:tbl>
      <w:tblPr>
        <w:tblW w:type="dxa" w:w="9360"/>
        <w:tblBorders>
          <w:top w:val="single" w:color="ECEAE7" w:sz="4"/>
          <w:left w:val="single" w:color="ECEAE7" w:sz="4"/>
          <w:bottom w:val="single" w:color="ECEAE7" w:sz="4"/>
          <w:right w:val="single" w:color="ECEAE7" w:sz="4"/>
          <w:insideH w:val="single" w:color="auto" w:sz="4"/>
          <w:insideV w:val="single" w:color="auto" w:sz="4"/>
        </w:tblBorders>
      </w:tblPr>
      <w:tblGrid>
        <w:gridCol w:w="100"/>
        <w:gridCol w:w="100"/>
      </w:tblGrid>
      <w:tr>
        <w:tc>
          <w:tcPr>
            <w:tcW w:type="dxa" w:w="2600"/>
            <w:tcBorders>
              <w:top w:val="none" w:color="FFFFFF" w:sz="0"/>
              <w:left w:val="none" w:color="FFFFFF" w:sz="0"/>
              <w:bottom w:val="none" w:color="FFFFFF" w:sz="0"/>
              <w:right w:val="none" w:color="FFFFFF" w:sz="0"/>
            </w:tcBorders>
            <w:shd w:fill="0F1923" w:val="solid"/>
            <w:tcMar>
              <w:top w:type="dxa" w:w="100"/>
              <w:left w:type="dxa" w:w="200"/>
              <w:bottom w:type="dxa" w:w="100"/>
              <w:right w:type="dxa" w:w="200"/>
            </w:tcMar>
          </w:tcPr>
          <w:p>
            <w:r>
              <w:rPr>
                <w:rFonts w:ascii="Calibri" w:cs="Calibri" w:eastAsia="Calibri" w:hAnsi="Calibri"/>
                <w:b/>
                <w:bCs/>
                <w:color w:val="FFFFFF"/>
                <w:sz w:val="19"/>
                <w:szCs w:val="19"/>
              </w:rPr>
              <w:t xml:space="preserve">Assumption to Challenge</w:t>
            </w:r>
          </w:p>
        </w:tc>
        <w:tc>
          <w:tcPr>
            <w:tcW w:type="dxa" w:w="6760"/>
            <w:tcBorders>
              <w:top w:val="none" w:color="FFFFFF" w:sz="0"/>
              <w:left w:val="none" w:color="FFFFFF" w:sz="0"/>
              <w:bottom w:val="none" w:color="FFFFFF" w:sz="0"/>
              <w:right w:val="none" w:color="FFFFFF" w:sz="0"/>
            </w:tcBorders>
            <w:shd w:fill="1A1F2B" w:val="solid"/>
            <w:tcMar>
              <w:top w:type="dxa" w:w="100"/>
              <w:left w:type="dxa" w:w="200"/>
              <w:bottom w:type="dxa" w:w="100"/>
              <w:right w:type="dxa" w:w="200"/>
            </w:tcMar>
          </w:tcPr>
          <w:p>
            <w:r>
              <w:rPr>
                <w:rFonts w:ascii="Calibri" w:cs="Calibri" w:eastAsia="Calibri" w:hAnsi="Calibri"/>
                <w:b/>
                <w:bCs/>
                <w:color w:val="FFFFFF"/>
                <w:sz w:val="19"/>
                <w:szCs w:val="19"/>
              </w:rPr>
              <w:t xml:space="preserve">Reality</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Operators do not need 500 brands</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They need 12 to 20 brands that are right for their practice. Intelligence helps them find those 12.</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Operators have no intelligence advantage today</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The professional beauty market has no neutral, operator-focused data layer. SOCELLE is the first.</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Intelligence creates pre-purchase engagement</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Operators who use benchmarks and trend data are already embedded in the SOCELLE system before their first order.</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Brand depth follows operator demand</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When operators signal demand through intelligence interactions, brand recruitment becomes a data-driven exercise.</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Intelligence is the cold-start solution</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SOCELLE can launch intelligence with seeded data before brand depth is established. Marketplace needs both sides. Intelligence only needs one.</w:t>
            </w:r>
          </w:p>
        </w:tc>
      </w:tr>
    </w:tbl>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A1-D. The Core Promise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20"/>
            <w:tcBorders>
              <w:top w:val="none" w:color="FFFFFF" w:sz="0"/>
              <w:left w:val="none" w:color="FFFFFF" w:sz="0"/>
              <w:bottom w:val="none" w:color="FFFFFF" w:sz="0"/>
              <w:right w:val="none" w:color="FFFFFF" w:sz="0"/>
            </w:tcBorders>
            <w:shd w:fill="1A3A6E" w:val="solid"/>
          </w:tcPr>
          <w:p>
            <w:r>
              <w:t xml:space="preserve"/>
            </w:r>
          </w:p>
        </w:tc>
        <w:tc>
          <w:tcPr>
            <w:tcW w:type="dxa" w:w="9240"/>
            <w:tcBorders>
              <w:top w:val="none" w:color="FFFFFF" w:sz="0"/>
              <w:left w:val="none" w:color="FFFFFF" w:sz="0"/>
              <w:bottom w:val="none" w:color="FFFFFF" w:sz="0"/>
              <w:right w:val="none" w:color="FFFFFF" w:sz="0"/>
            </w:tcBorders>
            <w:shd w:fill="F5F4F2" w:val="solid"/>
            <w:tcMar>
              <w:top w:type="dxa" w:w="160"/>
              <w:left w:type="dxa" w:w="280"/>
              <w:bottom w:type="dxa" w:w="160"/>
              <w:right w:type="dxa" w:w="280"/>
            </w:tcMar>
          </w:tcPr>
          <w:p>
            <w:pPr>
              <w:spacing w:after="60" w:before="0"/>
            </w:pPr>
            <w:r>
              <w:rPr>
                <w:rFonts w:ascii="Calibri" w:cs="Calibri" w:eastAsia="Calibri" w:hAnsi="Calibri"/>
                <w:b/>
                <w:bCs/>
                <w:color w:val="3E4C5E"/>
                <w:sz w:val="22"/>
                <w:szCs w:val="22"/>
              </w:rPr>
              <w:t xml:space="preserve">Core Promise</w:t>
            </w:r>
          </w:p>
          <w:p>
            <w:r>
              <w:rPr>
                <w:rFonts w:ascii="Calibri" w:cs="Calibri" w:eastAsia="Calibri" w:hAnsi="Calibri"/>
                <w:color w:val="181614"/>
                <w:sz w:val="21"/>
                <w:szCs w:val="21"/>
              </w:rPr>
              <w:t xml:space="preserve">Know before you buy. Move before your competitors. Source from one place. SOCELLE gives professional operators the market intelligence to make better decisions — and the sourcing infrastructure to act on them.</w:t>
            </w:r>
          </w:p>
        </w:tc>
      </w:tr>
    </w:tbl>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A1-E. How This Changes Public-Facing Positioning</w:t>
      </w:r>
    </w:p>
    <w:p>
      <w:pPr>
        <w:spacing w:after="100" w:before="60"/>
      </w:pPr>
      <w:r>
        <w:rPr>
          <w:rFonts w:ascii="Calibri" w:cs="Calibri" w:eastAsia="Calibri" w:hAnsi="Calibri"/>
          <w:i w:val="false"/>
          <w:iCs w:val="false"/>
          <w:color w:val="181614"/>
          <w:sz w:val="22"/>
          <w:szCs w:val="22"/>
        </w:rPr>
        <w:t xml:space="preserve">Every public-facing surface must be reoriented around the intelligence promise:</w:t>
      </w:r>
    </w:p>
    <w:p>
      <w:pPr>
        <w:spacing w:after="0" w:before="60"/>
      </w:pPr>
      <w:r>
        <w:t xml:space="preserve"/>
      </w:r>
    </w:p>
    <w:tbl>
      <w:tblPr>
        <w:tblW w:type="dxa" w:w="9360"/>
        <w:tblBorders>
          <w:top w:val="single" w:color="ECEAE7" w:sz="4"/>
          <w:left w:val="single" w:color="ECEAE7" w:sz="4"/>
          <w:bottom w:val="single" w:color="ECEAE7" w:sz="4"/>
          <w:right w:val="single" w:color="ECEAE7" w:sz="4"/>
          <w:insideH w:val="single" w:color="auto" w:sz="4"/>
          <w:insideV w:val="single" w:color="auto" w:sz="4"/>
        </w:tblBorders>
      </w:tblPr>
      <w:tblGrid>
        <w:gridCol w:w="100"/>
        <w:gridCol w:w="100"/>
      </w:tblGrid>
      <w:tr>
        <w:tc>
          <w:tcPr>
            <w:tcW w:type="dxa" w:w="2600"/>
            <w:tcBorders>
              <w:top w:val="none" w:color="FFFFFF" w:sz="0"/>
              <w:left w:val="none" w:color="FFFFFF" w:sz="0"/>
              <w:bottom w:val="none" w:color="FFFFFF" w:sz="0"/>
              <w:right w:val="none" w:color="FFFFFF" w:sz="0"/>
            </w:tcBorders>
            <w:shd w:fill="0F1923" w:val="solid"/>
            <w:tcMar>
              <w:top w:type="dxa" w:w="100"/>
              <w:left w:type="dxa" w:w="200"/>
              <w:bottom w:type="dxa" w:w="100"/>
              <w:right w:type="dxa" w:w="200"/>
            </w:tcMar>
          </w:tcPr>
          <w:p>
            <w:r>
              <w:rPr>
                <w:rFonts w:ascii="Calibri" w:cs="Calibri" w:eastAsia="Calibri" w:hAnsi="Calibri"/>
                <w:b/>
                <w:bCs/>
                <w:color w:val="FFFFFF"/>
                <w:sz w:val="19"/>
                <w:szCs w:val="19"/>
              </w:rPr>
              <w:t xml:space="preserve">Surface</w:t>
            </w:r>
          </w:p>
        </w:tc>
        <w:tc>
          <w:tcPr>
            <w:tcW w:type="dxa" w:w="6760"/>
            <w:tcBorders>
              <w:top w:val="none" w:color="FFFFFF" w:sz="0"/>
              <w:left w:val="none" w:color="FFFFFF" w:sz="0"/>
              <w:bottom w:val="none" w:color="FFFFFF" w:sz="0"/>
              <w:right w:val="none" w:color="FFFFFF" w:sz="0"/>
            </w:tcBorders>
            <w:shd w:fill="1A1F2B" w:val="solid"/>
            <w:tcMar>
              <w:top w:type="dxa" w:w="100"/>
              <w:left w:type="dxa" w:w="200"/>
              <w:bottom w:type="dxa" w:w="100"/>
              <w:right w:type="dxa" w:w="200"/>
            </w:tcMar>
          </w:tcPr>
          <w:p>
            <w:r>
              <w:rPr>
                <w:rFonts w:ascii="Calibri" w:cs="Calibri" w:eastAsia="Calibri" w:hAnsi="Calibri"/>
                <w:b/>
                <w:bCs/>
                <w:color w:val="FFFFFF"/>
                <w:sz w:val="19"/>
                <w:szCs w:val="19"/>
              </w:rPr>
              <w:t xml:space="preserve">Required Change</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Homepage hero</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Opens with intelligence hook — not "discover brands," not "the wholesale marketplace."</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Navigation language</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"Intelligence" or "Market Pulse" appears in primary nav or as a featured destination.</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Subhead copy</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References market visibility, operator benchmarks, or trend intelligence — not product count.</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Social proof</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Operators describe what they learned or saw on SOCELLE — not just what they ordered.</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CTA language</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"Get Intelligence Access" — not "Browse Brands" or "Request Demo."</w:t>
            </w:r>
          </w:p>
        </w:tc>
      </w:tr>
    </w:tbl>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A1-F. What Must Be Rewritten in Current Planning Documents</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Phase 1 Work Order: Add IH as a launch deliverable, not a Phase 2 addition.</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Coordination Document: Replace IH teaser-first language with intelligence-first launch framing.</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Homepage copy directive: Hero copy must reflect intelligence-first positioning.</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IH positioning section: Remove language describing IH as "future capability" or "coming in Phase 2."</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Request Access page: Reframe around intelligence access, not marketplace access.</w:t>
      </w:r>
    </w:p>
    <w:p>
      <w:pPr>
        <w:spacing w:after="0" w:before="6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0F1923" w:val="solid"/>
            <w:tcMar>
              <w:top w:type="dxa" w:w="240"/>
              <w:left w:type="dxa" w:w="280"/>
              <w:bottom w:type="dxa" w:w="240"/>
              <w:right w:type="dxa" w:w="280"/>
            </w:tcMar>
          </w:tcPr>
          <w:p>
            <w:pPr>
              <w:jc w:val="center"/>
            </w:pPr>
            <w:r>
              <w:rPr>
                <w:rFonts w:ascii="Calibri" w:cs="Calibri" w:eastAsia="Calibri" w:hAnsi="Calibri"/>
                <w:b/>
                <w:bCs/>
                <w:color w:val="6B8EBF"/>
                <w:sz w:val="16"/>
                <w:szCs w:val="16"/>
              </w:rPr>
              <w:t xml:space="preserve">AGENT 02</w:t>
            </w:r>
          </w:p>
          <w:p>
            <w:pPr>
              <w:jc w:val="center"/>
            </w:pPr>
            <w:r>
              <w:rPr>
                <w:rFonts w:ascii="Georgia" w:cs="Georgia" w:eastAsia="Georgia" w:hAnsi="Georgia"/>
                <w:b/>
                <w:bCs/>
                <w:color w:val="FFFFFF"/>
                <w:sz w:val="52"/>
                <w:szCs w:val="52"/>
              </w:rPr>
              <w:t xml:space="preserve">02</w:t>
            </w:r>
          </w:p>
        </w:tc>
        <w:tc>
          <w:tcPr>
            <w:tcW w:type="dxa" w:w="7960"/>
            <w:tcBorders>
              <w:top w:val="none" w:color="FFFFFF" w:sz="0"/>
              <w:left w:val="none" w:color="FFFFFF" w:sz="0"/>
              <w:bottom w:val="none" w:color="FFFFFF" w:sz="0"/>
              <w:right w:val="none" w:color="FFFFFF" w:sz="0"/>
            </w:tcBorders>
            <w:shd w:fill="1A1F2B" w:val="solid"/>
            <w:tcMar>
              <w:top w:type="dxa" w:w="240"/>
              <w:left w:type="dxa" w:w="360"/>
              <w:bottom w:type="dxa" w:w="240"/>
              <w:right w:type="dxa" w:w="360"/>
            </w:tcMar>
          </w:tcPr>
          <w:p>
            <w:r>
              <w:rPr>
                <w:rFonts w:ascii="Calibri" w:cs="Calibri" w:eastAsia="Calibri" w:hAnsi="Calibri"/>
                <w:b/>
                <w:bCs/>
                <w:color w:val="6B8EBF"/>
                <w:sz w:val="20"/>
                <w:szCs w:val="20"/>
              </w:rPr>
              <w:t xml:space="preserve">ADDICTIVE PRODUCT HOOK AGENT</w:t>
            </w:r>
          </w:p>
          <w:p>
            <w:pPr>
              <w:spacing w:after="0" w:before="40"/>
            </w:pPr>
            <w:r>
              <w:rPr>
                <w:rFonts w:ascii="Georgia" w:cs="Georgia" w:eastAsia="Georgia" w:hAnsi="Georgia"/>
                <w:b/>
                <w:bCs/>
                <w:color w:val="FFFFFF"/>
                <w:sz w:val="34"/>
                <w:szCs w:val="34"/>
              </w:rPr>
              <w:t xml:space="preserve">Addictive Product Hook Agent</w:t>
            </w:r>
          </w:p>
          <w:p>
            <w:pPr>
              <w:spacing w:after="0" w:before="60"/>
            </w:pPr>
            <w:r>
              <w:rPr>
                <w:rFonts w:ascii="Calibri" w:cs="Calibri" w:eastAsia="Calibri" w:hAnsi="Calibri"/>
                <w:i/>
                <w:iCs/>
                <w:color w:val="AABBD0"/>
                <w:sz w:val="20"/>
                <w:szCs w:val="20"/>
              </w:rPr>
              <w:t xml:space="preserve">Defining the mechanism that makes operators return compulsively</w:t>
            </w:r>
          </w:p>
        </w:tc>
      </w:tr>
    </w:tbl>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A2-A. Core Addictive Loop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20"/>
            <w:tcBorders>
              <w:top w:val="none" w:color="FFFFFF" w:sz="0"/>
              <w:left w:val="none" w:color="FFFFFF" w:sz="0"/>
              <w:bottom w:val="none" w:color="FFFFFF" w:sz="0"/>
              <w:right w:val="none" w:color="FFFFFF" w:sz="0"/>
            </w:tcBorders>
            <w:shd w:fill="1A3A6E" w:val="solid"/>
          </w:tcPr>
          <w:p>
            <w:r>
              <w:t xml:space="preserve"/>
            </w:r>
          </w:p>
        </w:tc>
        <w:tc>
          <w:tcPr>
            <w:tcW w:type="dxa" w:w="9240"/>
            <w:tcBorders>
              <w:top w:val="none" w:color="FFFFFF" w:sz="0"/>
              <w:left w:val="none" w:color="FFFFFF" w:sz="0"/>
              <w:bottom w:val="none" w:color="FFFFFF" w:sz="0"/>
              <w:right w:val="none" w:color="FFFFFF" w:sz="0"/>
            </w:tcBorders>
            <w:shd w:fill="F5F4F2" w:val="solid"/>
            <w:tcMar>
              <w:top w:type="dxa" w:w="160"/>
              <w:left w:type="dxa" w:w="280"/>
              <w:bottom w:type="dxa" w:w="160"/>
              <w:right w:type="dxa" w:w="280"/>
            </w:tcMar>
          </w:tcPr>
          <w:p>
            <w:pPr>
              <w:spacing w:after="60" w:before="0"/>
            </w:pPr>
            <w:r>
              <w:rPr>
                <w:rFonts w:ascii="Calibri" w:cs="Calibri" w:eastAsia="Calibri" w:hAnsi="Calibri"/>
                <w:b/>
                <w:bCs/>
                <w:color w:val="3E4C5E"/>
                <w:sz w:val="22"/>
                <w:szCs w:val="22"/>
              </w:rPr>
              <w:t xml:space="preserve">The Loop</w:t>
            </w:r>
          </w:p>
          <w:p>
            <w:r>
              <w:rPr>
                <w:rFonts w:ascii="Calibri" w:cs="Calibri" w:eastAsia="Calibri" w:hAnsi="Calibri"/>
                <w:color w:val="181614"/>
                <w:sz w:val="21"/>
                <w:szCs w:val="21"/>
              </w:rPr>
              <w:t xml:space="preserve">See → Interpret → Compare → Act → Return. The operator sees a signal (trend, benchmark, alert). They interpret it relative to their business. They compare against peers or past performance. They take action (order, adjust, plan). They return because they want to see what changed.</w:t>
            </w:r>
          </w:p>
        </w:tc>
      </w:tr>
    </w:tbl>
    <w:p>
      <w:pPr>
        <w:spacing w:after="0" w:before="60"/>
      </w:pPr>
      <w:r>
        <w:t xml:space="preserve"/>
      </w:r>
    </w:p>
    <w:p>
      <w:pPr>
        <w:spacing w:after="100" w:before="60"/>
      </w:pPr>
      <w:r>
        <w:rPr>
          <w:rFonts w:ascii="Calibri" w:cs="Calibri" w:eastAsia="Calibri" w:hAnsi="Calibri"/>
          <w:i w:val="false"/>
          <w:iCs w:val="false"/>
          <w:color w:val="181614"/>
          <w:sz w:val="22"/>
          <w:szCs w:val="22"/>
        </w:rPr>
        <w:t xml:space="preserve">This loop is not entertainment. It is commercially motivated. Each step produces a tangible business outcome, which reinforces the behavior.</w:t>
      </w:r>
    </w:p>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A2-B. Return Triggers by Cadence</w:t>
      </w:r>
    </w:p>
    <w:p>
      <w:pPr>
        <w:spacing w:after="0" w:before="60"/>
      </w:pPr>
      <w:r>
        <w:t xml:space="preserve"/>
      </w:r>
    </w:p>
    <w:tbl>
      <w:tblPr>
        <w:tblW w:type="dxa" w:w="9360"/>
        <w:tblBorders>
          <w:top w:val="single" w:color="ECEAE7" w:sz="4"/>
          <w:left w:val="single" w:color="ECEAE7" w:sz="4"/>
          <w:bottom w:val="single" w:color="ECEAE7" w:sz="4"/>
          <w:right w:val="single" w:color="ECEAE7" w:sz="4"/>
          <w:insideH w:val="single" w:color="auto" w:sz="4"/>
          <w:insideV w:val="single" w:color="auto" w:sz="4"/>
        </w:tblBorders>
      </w:tblPr>
      <w:tblGrid>
        <w:gridCol w:w="100"/>
        <w:gridCol w:w="100"/>
      </w:tblGrid>
      <w:tr>
        <w:tc>
          <w:tcPr>
            <w:tcW w:type="dxa" w:w="2600"/>
            <w:tcBorders>
              <w:top w:val="none" w:color="FFFFFF" w:sz="0"/>
              <w:left w:val="none" w:color="FFFFFF" w:sz="0"/>
              <w:bottom w:val="none" w:color="FFFFFF" w:sz="0"/>
              <w:right w:val="none" w:color="FFFFFF" w:sz="0"/>
            </w:tcBorders>
            <w:shd w:fill="0F1923" w:val="solid"/>
            <w:tcMar>
              <w:top w:type="dxa" w:w="100"/>
              <w:left w:type="dxa" w:w="200"/>
              <w:bottom w:type="dxa" w:w="100"/>
              <w:right w:type="dxa" w:w="200"/>
            </w:tcMar>
          </w:tcPr>
          <w:p>
            <w:r>
              <w:rPr>
                <w:rFonts w:ascii="Calibri" w:cs="Calibri" w:eastAsia="Calibri" w:hAnsi="Calibri"/>
                <w:b/>
                <w:bCs/>
                <w:color w:val="FFFFFF"/>
                <w:sz w:val="19"/>
                <w:szCs w:val="19"/>
              </w:rPr>
              <w:t xml:space="preserve">Cadence</w:t>
            </w:r>
          </w:p>
        </w:tc>
        <w:tc>
          <w:tcPr>
            <w:tcW w:type="dxa" w:w="6760"/>
            <w:tcBorders>
              <w:top w:val="none" w:color="FFFFFF" w:sz="0"/>
              <w:left w:val="none" w:color="FFFFFF" w:sz="0"/>
              <w:bottom w:val="none" w:color="FFFFFF" w:sz="0"/>
              <w:right w:val="none" w:color="FFFFFF" w:sz="0"/>
            </w:tcBorders>
            <w:shd w:fill="1A1F2B" w:val="solid"/>
            <w:tcMar>
              <w:top w:type="dxa" w:w="100"/>
              <w:left w:type="dxa" w:w="200"/>
              <w:bottom w:type="dxa" w:w="100"/>
              <w:right w:type="dxa" w:w="200"/>
            </w:tcMar>
          </w:tcPr>
          <w:p>
            <w:r>
              <w:rPr>
                <w:rFonts w:ascii="Calibri" w:cs="Calibri" w:eastAsia="Calibri" w:hAnsi="Calibri"/>
                <w:b/>
                <w:bCs/>
                <w:color w:val="FFFFFF"/>
                <w:sz w:val="19"/>
                <w:szCs w:val="19"/>
              </w:rPr>
              <w:t xml:space="preserve">Trigger Mechanism</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Daily trigger</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Market Pulse card: "What moved in your category since yesterday." Brief, scannable, high-relevance signals.</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Weekly trigger</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Benchmark report: "How your order velocity, brand mix, and category spend compare to peers in your tier."</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Monthly trigger</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Strategic intelligence summary: Category leaders, emerging brands, operator behavior shifts, pricing pattern alerts.</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Event trigger</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Price alert: "A brand you carry just moved pricing. 9 operators in your vertical reordered in the last 72 hours."</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Behavioral trigger</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Re-engagement: "You have not reviewed your category benchmarks this week. Here's what changed."</w:t>
            </w:r>
          </w:p>
        </w:tc>
      </w:tr>
    </w:tbl>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A2-C. Operator Curiosity Triggers</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What are operators in my vertical ordering right now?</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What brand just started moving faster than expected?</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What category is declining in my tier — and why?</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What am I not stocking that my closest competitors are?</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What does my order history tell me about where my revenue is concentrated?</w:t>
      </w:r>
    </w:p>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A2-D. Status and Benchmark Triggers</w:t>
      </w:r>
    </w:p>
    <w:p>
      <w:pPr>
        <w:spacing w:after="100" w:before="60"/>
      </w:pPr>
      <w:r>
        <w:rPr>
          <w:rFonts w:ascii="Calibri" w:cs="Calibri" w:eastAsia="Calibri" w:hAnsi="Calibri"/>
          <w:i w:val="false"/>
          <w:iCs w:val="false"/>
          <w:color w:val="181614"/>
          <w:sz w:val="22"/>
          <w:szCs w:val="22"/>
        </w:rPr>
        <w:t xml:space="preserve">Benchmark data is a proven engagement mechanism in professional contexts. It works because professional operators are competitive and performance-aware.</w:t>
      </w:r>
    </w:p>
    <w:p>
      <w:pPr>
        <w:spacing w:after="0" w:before="60"/>
      </w:pPr>
      <w:r>
        <w:t xml:space="preserve"/>
      </w:r>
    </w:p>
    <w:tbl>
      <w:tblPr>
        <w:tblW w:type="dxa" w:w="9360"/>
        <w:tblBorders>
          <w:top w:val="single" w:color="ECEAE7" w:sz="4"/>
          <w:left w:val="single" w:color="ECEAE7" w:sz="4"/>
          <w:bottom w:val="single" w:color="ECEAE7" w:sz="4"/>
          <w:right w:val="single" w:color="ECEAE7" w:sz="4"/>
          <w:insideH w:val="single" w:color="auto" w:sz="4"/>
          <w:insideV w:val="single" w:color="auto" w:sz="4"/>
        </w:tblBorders>
      </w:tblPr>
      <w:tblGrid>
        <w:gridCol w:w="100"/>
        <w:gridCol w:w="100"/>
      </w:tblGrid>
      <w:tr>
        <w:tc>
          <w:tcPr>
            <w:tcW w:type="dxa" w:w="2600"/>
            <w:tcBorders>
              <w:top w:val="none" w:color="FFFFFF" w:sz="0"/>
              <w:left w:val="none" w:color="FFFFFF" w:sz="0"/>
              <w:bottom w:val="none" w:color="FFFFFF" w:sz="0"/>
              <w:right w:val="none" w:color="FFFFFF" w:sz="0"/>
            </w:tcBorders>
            <w:shd w:fill="0F1923" w:val="solid"/>
            <w:tcMar>
              <w:top w:type="dxa" w:w="100"/>
              <w:left w:type="dxa" w:w="200"/>
              <w:bottom w:type="dxa" w:w="100"/>
              <w:right w:type="dxa" w:w="200"/>
            </w:tcMar>
          </w:tcPr>
          <w:p>
            <w:r>
              <w:rPr>
                <w:rFonts w:ascii="Calibri" w:cs="Calibri" w:eastAsia="Calibri" w:hAnsi="Calibri"/>
                <w:b/>
                <w:bCs/>
                <w:color w:val="FFFFFF"/>
                <w:sz w:val="19"/>
                <w:szCs w:val="19"/>
              </w:rPr>
              <w:t xml:space="preserve">Benchmark Type</w:t>
            </w:r>
          </w:p>
        </w:tc>
        <w:tc>
          <w:tcPr>
            <w:tcW w:type="dxa" w:w="6760"/>
            <w:tcBorders>
              <w:top w:val="none" w:color="FFFFFF" w:sz="0"/>
              <w:left w:val="none" w:color="FFFFFF" w:sz="0"/>
              <w:bottom w:val="none" w:color="FFFFFF" w:sz="0"/>
              <w:right w:val="none" w:color="FFFFFF" w:sz="0"/>
            </w:tcBorders>
            <w:shd w:fill="1A1F2B" w:val="solid"/>
            <w:tcMar>
              <w:top w:type="dxa" w:w="100"/>
              <w:left w:type="dxa" w:w="200"/>
              <w:bottom w:type="dxa" w:w="100"/>
              <w:right w:type="dxa" w:w="200"/>
            </w:tcMar>
          </w:tcPr>
          <w:p>
            <w:r>
              <w:rPr>
                <w:rFonts w:ascii="Calibri" w:cs="Calibri" w:eastAsia="Calibri" w:hAnsi="Calibri"/>
                <w:b/>
                <w:bCs/>
                <w:color w:val="FFFFFF"/>
                <w:sz w:val="19"/>
                <w:szCs w:val="19"/>
              </w:rPr>
              <w:t xml:space="preserve">Example Signal</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Tier placement</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"Your order velocity puts you in the top 22% of operators in your revenue tier."</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Category leadership</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"You are early in the peptide skincare category. Only 8% of operators in your vertical have added this."</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Trend adoption speed</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"Operators who added this brand 90 days ago are now ordering 3x volume. You are at 30 days."</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Brand loyalty signal</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"You have ordered from Brand X 4 consecutive cycles. Most operators in your tier try 2–3 alternates by this stage."</w:t>
            </w:r>
          </w:p>
        </w:tc>
      </w:tr>
    </w:tbl>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A2-E. Recommendation Triggers</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"Based on your treatment menu, these 3 SKUs are trending in your vertical this week."</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"Operators with your order profile have been adding this brand. It may complete a gap in your current selection."</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"Your top revenue category is growing 14% across your tier. You are currently under-indexed."</w:t>
      </w:r>
    </w:p>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A2-F. Alert Triggers</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"Price increase incoming on [Brand]. 6 operators in your market already reordered at current pricing."</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"A brand you evaluated 60 days ago just entered your vertical. 4 operators have already listed it."</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"New brand in your top category. 12 operators added it in the last 3 weeks."</w:t>
      </w:r>
    </w:p>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A2-G. High-Value vs Gimmicky</w:t>
      </w:r>
    </w:p>
    <w:p>
      <w:pPr>
        <w:spacing w:after="100" w:before="60"/>
      </w:pPr>
      <w:r>
        <w:rPr>
          <w:rFonts w:ascii="Calibri" w:cs="Calibri" w:eastAsia="Calibri" w:hAnsi="Calibri"/>
          <w:i w:val="false"/>
          <w:iCs w:val="false"/>
          <w:color w:val="181614"/>
          <w:sz w:val="22"/>
          <w:szCs w:val="22"/>
        </w:rPr>
        <w:t xml:space="preserve">The difference between high-value intelligence and gimmicky notifications is specificity and commercial relevance:</w:t>
      </w:r>
    </w:p>
    <w:p>
      <w:pPr>
        <w:spacing w:after="0" w:before="60"/>
      </w:pPr>
      <w:r>
        <w:t xml:space="preserve"/>
      </w:r>
    </w:p>
    <w:tbl>
      <w:tblPr>
        <w:tblW w:type="dxa" w:w="9360"/>
        <w:tblBorders>
          <w:top w:val="single" w:color="ECEAE7" w:sz="4"/>
          <w:left w:val="single" w:color="ECEAE7" w:sz="4"/>
          <w:bottom w:val="single" w:color="ECEAE7" w:sz="4"/>
          <w:right w:val="single" w:color="ECEAE7" w:sz="4"/>
          <w:insideH w:val="single" w:color="auto" w:sz="4"/>
          <w:insideV w:val="single" w:color="auto" w:sz="4"/>
        </w:tblBorders>
      </w:tblPr>
      <w:tblGrid>
        <w:gridCol w:w="100"/>
        <w:gridCol w:w="100"/>
      </w:tblGrid>
      <w:tr>
        <w:tc>
          <w:tcPr>
            <w:tcW w:type="dxa" w:w="2600"/>
            <w:tcBorders>
              <w:top w:val="none" w:color="FFFFFF" w:sz="0"/>
              <w:left w:val="none" w:color="FFFFFF" w:sz="0"/>
              <w:bottom w:val="none" w:color="FFFFFF" w:sz="0"/>
              <w:right w:val="none" w:color="FFFFFF" w:sz="0"/>
            </w:tcBorders>
            <w:shd w:fill="0F1923" w:val="solid"/>
            <w:tcMar>
              <w:top w:type="dxa" w:w="100"/>
              <w:left w:type="dxa" w:w="200"/>
              <w:bottom w:type="dxa" w:w="100"/>
              <w:right w:type="dxa" w:w="200"/>
            </w:tcMar>
          </w:tcPr>
          <w:p>
            <w:r>
              <w:rPr>
                <w:rFonts w:ascii="Calibri" w:cs="Calibri" w:eastAsia="Calibri" w:hAnsi="Calibri"/>
                <w:b/>
                <w:bCs/>
                <w:color w:val="FFFFFF"/>
                <w:sz w:val="19"/>
                <w:szCs w:val="19"/>
              </w:rPr>
              <w:t xml:space="preserve">Type</w:t>
            </w:r>
          </w:p>
        </w:tc>
        <w:tc>
          <w:tcPr>
            <w:tcW w:type="dxa" w:w="6760"/>
            <w:tcBorders>
              <w:top w:val="none" w:color="FFFFFF" w:sz="0"/>
              <w:left w:val="none" w:color="FFFFFF" w:sz="0"/>
              <w:bottom w:val="none" w:color="FFFFFF" w:sz="0"/>
              <w:right w:val="none" w:color="FFFFFF" w:sz="0"/>
            </w:tcBorders>
            <w:shd w:fill="1A1F2B" w:val="solid"/>
            <w:tcMar>
              <w:top w:type="dxa" w:w="100"/>
              <w:left w:type="dxa" w:w="200"/>
              <w:bottom w:type="dxa" w:w="100"/>
              <w:right w:type="dxa" w:w="200"/>
            </w:tcMar>
          </w:tcPr>
          <w:p>
            <w:r>
              <w:rPr>
                <w:rFonts w:ascii="Calibri" w:cs="Calibri" w:eastAsia="Calibri" w:hAnsi="Calibri"/>
                <w:b/>
                <w:bCs/>
                <w:color w:val="FFFFFF"/>
                <w:sz w:val="19"/>
                <w:szCs w:val="19"/>
              </w:rPr>
              <w:t xml:space="preserve">Example</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Gimmicky</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"Here are some trends you might like." Generic, passive, low-specificity.</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High-value</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"Injectables accessories demand is up 31% in your metro in the last 60 days. You are currently at 0 SKUs in this sub-category."</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Gimmicky</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"Top brands this week!" Aggregated, anonymous, unactionable.</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High-value</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"3 brands you have saved are now available for immediate sourcing. One has been added by 11 operators in your vertical this month."</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Gimmicky</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"You are doing great!" Engagement theater.</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High-value</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"Your reorder frequency is 19% below your tier average. That gap typically signals margin leakage or brand churn. Review your order history."</w:t>
            </w:r>
          </w:p>
        </w:tc>
      </w:tr>
    </w:tbl>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A2-H. 10 Homepage / Buyer-Page Hook Options</w:t>
      </w:r>
    </w:p>
    <w:p>
      <w:pPr>
        <w:spacing w:after="0" w:before="60"/>
      </w:pPr>
      <w:r>
        <w:t xml:space="preserve"/>
      </w:r>
    </w:p>
    <w:tbl>
      <w:tblPr>
        <w:tblW w:type="dxa" w:w="9360"/>
        <w:tblBorders>
          <w:top w:val="single" w:color="ECEAE7" w:sz="4"/>
          <w:left w:val="single" w:color="ECEAE7" w:sz="4"/>
          <w:bottom w:val="single" w:color="ECEAE7" w:sz="4"/>
          <w:right w:val="single" w:color="ECEAE7" w:sz="4"/>
          <w:insideH w:val="single" w:color="auto" w:sz="4"/>
          <w:insideV w:val="single" w:color="auto" w:sz="4"/>
        </w:tblBorders>
      </w:tblPr>
      <w:tblGrid>
        <w:gridCol w:w="100"/>
        <w:gridCol w:w="100"/>
        <w:gridCol w:w="100"/>
      </w:tblGrid>
      <w:tr>
        <w:tc>
          <w:tcPr>
            <w:tcW w:type="dxa" w:w="520"/>
            <w:tcBorders>
              <w:top w:val="none" w:color="FFFFFF" w:sz="0"/>
              <w:left w:val="none" w:color="FFFFFF" w:sz="0"/>
              <w:bottom w:val="none" w:color="FFFFFF" w:sz="0"/>
              <w:right w:val="none" w:color="FFFFFF" w:sz="0"/>
            </w:tcBorders>
            <w:shd w:fill="0F1923" w:val="solid"/>
            <w:tcMar>
              <w:top w:type="dxa" w:w="120"/>
              <w:left w:type="dxa" w:w="180"/>
              <w:bottom w:type="dxa" w:w="120"/>
              <w:right w:type="dxa" w:w="180"/>
            </w:tcMar>
          </w:tcPr>
          <w:p>
            <w:pPr>
              <w:jc w:val="center"/>
            </w:pPr>
            <w:r>
              <w:rPr>
                <w:rFonts w:ascii="Georgia" w:cs="Georgia" w:eastAsia="Georgia" w:hAnsi="Georgia"/>
                <w:b/>
                <w:bCs/>
                <w:color w:val="FFFFFF"/>
                <w:sz w:val="26"/>
                <w:szCs w:val="26"/>
              </w:rPr>
              <w:t xml:space="preserve">01</w:t>
            </w:r>
          </w:p>
        </w:tc>
        <w:tc>
          <w:tcPr>
            <w:tcW w:type="dxa" w:w="3600"/>
            <w:tcBorders>
              <w:top w:val="none" w:color="FFFFFF" w:sz="0"/>
              <w:left w:val="none" w:color="FFFFFF" w:sz="0"/>
              <w:bottom w:val="none" w:color="FFFFFF" w:sz="0"/>
              <w:right w:val="none" w:color="FFFFFF" w:sz="0"/>
            </w:tcBorders>
            <w:shd w:fill="1C2535" w:val="solid"/>
            <w:tcMar>
              <w:top w:type="dxa" w:w="120"/>
              <w:left w:type="dxa" w:w="200"/>
              <w:bottom w:type="dxa" w:w="120"/>
              <w:right w:type="dxa" w:w="200"/>
            </w:tcMar>
          </w:tcPr>
          <w:p>
            <w:r>
              <w:rPr>
                <w:rFonts w:ascii="Calibri" w:cs="Calibri" w:eastAsia="Calibri" w:hAnsi="Calibri"/>
                <w:b/>
                <w:bCs/>
                <w:color w:val="FFFFFF"/>
                <w:sz w:val="20"/>
                <w:szCs w:val="20"/>
              </w:rPr>
              <w:t xml:space="preserve">The Market Pulse Hook</w:t>
            </w:r>
          </w:p>
        </w:tc>
        <w:tc>
          <w:tcPr>
            <w:tcW w:type="dxa" w:w="5240"/>
            <w:tcBorders>
              <w:top w:val="none" w:color="FFFFFF" w:sz="0"/>
              <w:left w:val="none" w:color="FFFFFF" w:sz="0"/>
              <w:bottom w:val="none" w:color="FFFFFF" w:sz="0"/>
              <w:right w:val="none" w:color="FFFFFF" w:sz="0"/>
            </w:tcBorders>
            <w:shd w:fill="1C2535" w:val="solid"/>
            <w:tcMar>
              <w:top w:type="dxa" w:w="120"/>
              <w:left w:type="dxa" w:w="200"/>
              <w:bottom w:type="dxa" w:w="120"/>
              <w:right w:type="dxa" w:w="200"/>
            </w:tcMar>
          </w:tcPr>
          <w:p>
            <w:r>
              <w:rPr>
                <w:rFonts w:ascii="Calibri" w:cs="Calibri" w:eastAsia="Calibri" w:hAnsi="Calibri"/>
                <w:i/>
                <w:iCs/>
                <w:color w:val="AABBD0"/>
                <w:sz w:val="19"/>
                <w:szCs w:val="19"/>
              </w:rPr>
              <w:t xml:space="preserve">Lead with what is moving. Show a live or near-live category trend panel. The product is visible before the CTA.</w:t>
            </w:r>
          </w:p>
        </w:tc>
      </w:tr>
      <w:tr>
        <w:tc>
          <w:tcPr>
            <w:tcW w:type="dxa" w:w="520"/>
            <w:tcBorders>
              <w:top w:val="none" w:color="FFFFFF" w:sz="0"/>
              <w:left w:val="none" w:color="FFFFFF" w:sz="0"/>
              <w:bottom w:val="none" w:color="FFFFFF" w:sz="0"/>
              <w:right w:val="none" w:color="FFFFFF" w:sz="0"/>
            </w:tcBorders>
            <w:shd w:fill="1A1F2B" w:val="solid"/>
            <w:tcMar>
              <w:top w:type="dxa" w:w="120"/>
              <w:left w:type="dxa" w:w="180"/>
              <w:bottom w:type="dxa" w:w="120"/>
              <w:right w:type="dxa" w:w="180"/>
            </w:tcMar>
          </w:tcPr>
          <w:p>
            <w:pPr>
              <w:jc w:val="center"/>
            </w:pPr>
            <w:r>
              <w:rPr>
                <w:rFonts w:ascii="Georgia" w:cs="Georgia" w:eastAsia="Georgia" w:hAnsi="Georgia"/>
                <w:b/>
                <w:bCs/>
                <w:color w:val="FFFFFF"/>
                <w:sz w:val="26"/>
                <w:szCs w:val="26"/>
              </w:rPr>
              <w:t xml:space="preserve">02</w:t>
            </w:r>
          </w:p>
        </w:tc>
        <w:tc>
          <w:tcPr>
            <w:tcW w:type="dxa" w:w="3600"/>
            <w:tcBorders>
              <w:top w:val="none" w:color="FFFFFF" w:sz="0"/>
              <w:left w:val="none" w:color="FFFFFF" w:sz="0"/>
              <w:bottom w:val="none" w:color="FFFFFF" w:sz="0"/>
              <w:right w:val="none" w:color="FFFFFF" w:sz="0"/>
            </w:tcBorders>
            <w:shd w:fill="242D3E" w:val="solid"/>
            <w:tcMar>
              <w:top w:type="dxa" w:w="120"/>
              <w:left w:type="dxa" w:w="200"/>
              <w:bottom w:type="dxa" w:w="120"/>
              <w:right w:type="dxa" w:w="200"/>
            </w:tcMar>
          </w:tcPr>
          <w:p>
            <w:r>
              <w:rPr>
                <w:rFonts w:ascii="Calibri" w:cs="Calibri" w:eastAsia="Calibri" w:hAnsi="Calibri"/>
                <w:b/>
                <w:bCs/>
                <w:color w:val="FFFFFF"/>
                <w:sz w:val="20"/>
                <w:szCs w:val="20"/>
              </w:rPr>
              <w:t xml:space="preserve">The Benchmark Hook</w:t>
            </w:r>
          </w:p>
        </w:tc>
        <w:tc>
          <w:tcPr>
            <w:tcW w:type="dxa" w:w="5240"/>
            <w:tcBorders>
              <w:top w:val="none" w:color="FFFFFF" w:sz="0"/>
              <w:left w:val="none" w:color="FFFFFF" w:sz="0"/>
              <w:bottom w:val="none" w:color="FFFFFF" w:sz="0"/>
              <w:right w:val="none" w:color="FFFFFF" w:sz="0"/>
            </w:tcBorders>
            <w:shd w:fill="242D3E" w:val="solid"/>
            <w:tcMar>
              <w:top w:type="dxa" w:w="120"/>
              <w:left w:type="dxa" w:w="200"/>
              <w:bottom w:type="dxa" w:w="120"/>
              <w:right w:type="dxa" w:w="200"/>
            </w:tcMar>
          </w:tcPr>
          <w:p>
            <w:r>
              <w:rPr>
                <w:rFonts w:ascii="Calibri" w:cs="Calibri" w:eastAsia="Calibri" w:hAnsi="Calibri"/>
                <w:i/>
                <w:iCs/>
                <w:color w:val="AABBD0"/>
                <w:sz w:val="19"/>
                <w:szCs w:val="19"/>
              </w:rPr>
              <w:t xml:space="preserve">Lead with operator comparison data. "See how your sourcing compares to 400+ operators in your vertical."</w:t>
            </w:r>
          </w:p>
        </w:tc>
      </w:tr>
      <w:tr>
        <w:tc>
          <w:tcPr>
            <w:tcW w:type="dxa" w:w="520"/>
            <w:tcBorders>
              <w:top w:val="none" w:color="FFFFFF" w:sz="0"/>
              <w:left w:val="none" w:color="FFFFFF" w:sz="0"/>
              <w:bottom w:val="none" w:color="FFFFFF" w:sz="0"/>
              <w:right w:val="none" w:color="FFFFFF" w:sz="0"/>
            </w:tcBorders>
            <w:shd w:fill="0F1923" w:val="solid"/>
            <w:tcMar>
              <w:top w:type="dxa" w:w="120"/>
              <w:left w:type="dxa" w:w="180"/>
              <w:bottom w:type="dxa" w:w="120"/>
              <w:right w:type="dxa" w:w="180"/>
            </w:tcMar>
          </w:tcPr>
          <w:p>
            <w:pPr>
              <w:jc w:val="center"/>
            </w:pPr>
            <w:r>
              <w:rPr>
                <w:rFonts w:ascii="Georgia" w:cs="Georgia" w:eastAsia="Georgia" w:hAnsi="Georgia"/>
                <w:b/>
                <w:bCs/>
                <w:color w:val="FFFFFF"/>
                <w:sz w:val="26"/>
                <w:szCs w:val="26"/>
              </w:rPr>
              <w:t xml:space="preserve">03</w:t>
            </w:r>
          </w:p>
        </w:tc>
        <w:tc>
          <w:tcPr>
            <w:tcW w:type="dxa" w:w="3600"/>
            <w:tcBorders>
              <w:top w:val="none" w:color="FFFFFF" w:sz="0"/>
              <w:left w:val="none" w:color="FFFFFF" w:sz="0"/>
              <w:bottom w:val="none" w:color="FFFFFF" w:sz="0"/>
              <w:right w:val="none" w:color="FFFFFF" w:sz="0"/>
            </w:tcBorders>
            <w:shd w:fill="1C2535" w:val="solid"/>
            <w:tcMar>
              <w:top w:type="dxa" w:w="120"/>
              <w:left w:type="dxa" w:w="200"/>
              <w:bottom w:type="dxa" w:w="120"/>
              <w:right w:type="dxa" w:w="200"/>
            </w:tcMar>
          </w:tcPr>
          <w:p>
            <w:r>
              <w:rPr>
                <w:rFonts w:ascii="Calibri" w:cs="Calibri" w:eastAsia="Calibri" w:hAnsi="Calibri"/>
                <w:b/>
                <w:bCs/>
                <w:color w:val="FFFFFF"/>
                <w:sz w:val="20"/>
                <w:szCs w:val="20"/>
              </w:rPr>
              <w:t xml:space="preserve">The Unfair Advantage Hook</w:t>
            </w:r>
          </w:p>
        </w:tc>
        <w:tc>
          <w:tcPr>
            <w:tcW w:type="dxa" w:w="5240"/>
            <w:tcBorders>
              <w:top w:val="none" w:color="FFFFFF" w:sz="0"/>
              <w:left w:val="none" w:color="FFFFFF" w:sz="0"/>
              <w:bottom w:val="none" w:color="FFFFFF" w:sz="0"/>
              <w:right w:val="none" w:color="FFFFFF" w:sz="0"/>
            </w:tcBorders>
            <w:shd w:fill="1C2535" w:val="solid"/>
            <w:tcMar>
              <w:top w:type="dxa" w:w="120"/>
              <w:left w:type="dxa" w:w="200"/>
              <w:bottom w:type="dxa" w:w="120"/>
              <w:right w:type="dxa" w:w="200"/>
            </w:tcMar>
          </w:tcPr>
          <w:p>
            <w:r>
              <w:rPr>
                <w:rFonts w:ascii="Calibri" w:cs="Calibri" w:eastAsia="Calibri" w:hAnsi="Calibri"/>
                <w:i/>
                <w:iCs/>
                <w:color w:val="AABBD0"/>
                <w:sz w:val="19"/>
                <w:szCs w:val="19"/>
              </w:rPr>
              <w:t xml:space="preserve">"The operators who source smarter are not guessing. They are using SOCELLE Intelligence."</w:t>
            </w:r>
          </w:p>
        </w:tc>
      </w:tr>
      <w:tr>
        <w:tc>
          <w:tcPr>
            <w:tcW w:type="dxa" w:w="520"/>
            <w:tcBorders>
              <w:top w:val="none" w:color="FFFFFF" w:sz="0"/>
              <w:left w:val="none" w:color="FFFFFF" w:sz="0"/>
              <w:bottom w:val="none" w:color="FFFFFF" w:sz="0"/>
              <w:right w:val="none" w:color="FFFFFF" w:sz="0"/>
            </w:tcBorders>
            <w:shd w:fill="1A1F2B" w:val="solid"/>
            <w:tcMar>
              <w:top w:type="dxa" w:w="120"/>
              <w:left w:type="dxa" w:w="180"/>
              <w:bottom w:type="dxa" w:w="120"/>
              <w:right w:type="dxa" w:w="180"/>
            </w:tcMar>
          </w:tcPr>
          <w:p>
            <w:pPr>
              <w:jc w:val="center"/>
            </w:pPr>
            <w:r>
              <w:rPr>
                <w:rFonts w:ascii="Georgia" w:cs="Georgia" w:eastAsia="Georgia" w:hAnsi="Georgia"/>
                <w:b/>
                <w:bCs/>
                <w:color w:val="FFFFFF"/>
                <w:sz w:val="26"/>
                <w:szCs w:val="26"/>
              </w:rPr>
              <w:t xml:space="preserve">04</w:t>
            </w:r>
          </w:p>
        </w:tc>
        <w:tc>
          <w:tcPr>
            <w:tcW w:type="dxa" w:w="3600"/>
            <w:tcBorders>
              <w:top w:val="none" w:color="FFFFFF" w:sz="0"/>
              <w:left w:val="none" w:color="FFFFFF" w:sz="0"/>
              <w:bottom w:val="none" w:color="FFFFFF" w:sz="0"/>
              <w:right w:val="none" w:color="FFFFFF" w:sz="0"/>
            </w:tcBorders>
            <w:shd w:fill="242D3E" w:val="solid"/>
            <w:tcMar>
              <w:top w:type="dxa" w:w="120"/>
              <w:left w:type="dxa" w:w="200"/>
              <w:bottom w:type="dxa" w:w="120"/>
              <w:right w:type="dxa" w:w="200"/>
            </w:tcMar>
          </w:tcPr>
          <w:p>
            <w:r>
              <w:rPr>
                <w:rFonts w:ascii="Calibri" w:cs="Calibri" w:eastAsia="Calibri" w:hAnsi="Calibri"/>
                <w:b/>
                <w:bCs/>
                <w:color w:val="FFFFFF"/>
                <w:sz w:val="20"/>
                <w:szCs w:val="20"/>
              </w:rPr>
              <w:t xml:space="preserve">The First-Mover Hook</w:t>
            </w:r>
          </w:p>
        </w:tc>
        <w:tc>
          <w:tcPr>
            <w:tcW w:type="dxa" w:w="5240"/>
            <w:tcBorders>
              <w:top w:val="none" w:color="FFFFFF" w:sz="0"/>
              <w:left w:val="none" w:color="FFFFFF" w:sz="0"/>
              <w:bottom w:val="none" w:color="FFFFFF" w:sz="0"/>
              <w:right w:val="none" w:color="FFFFFF" w:sz="0"/>
            </w:tcBorders>
            <w:shd w:fill="242D3E" w:val="solid"/>
            <w:tcMar>
              <w:top w:type="dxa" w:w="120"/>
              <w:left w:type="dxa" w:w="200"/>
              <w:bottom w:type="dxa" w:w="120"/>
              <w:right w:type="dxa" w:w="200"/>
            </w:tcMar>
          </w:tcPr>
          <w:p>
            <w:r>
              <w:rPr>
                <w:rFonts w:ascii="Calibri" w:cs="Calibri" w:eastAsia="Calibri" w:hAnsi="Calibri"/>
                <w:i/>
                <w:iCs/>
                <w:color w:val="AABBD0"/>
                <w:sz w:val="19"/>
                <w:szCs w:val="19"/>
              </w:rPr>
              <w:t xml:space="preserve">"Know which brands are gaining traction before your competitors do."</w:t>
            </w:r>
          </w:p>
        </w:tc>
      </w:tr>
      <w:tr>
        <w:tc>
          <w:tcPr>
            <w:tcW w:type="dxa" w:w="520"/>
            <w:tcBorders>
              <w:top w:val="none" w:color="FFFFFF" w:sz="0"/>
              <w:left w:val="none" w:color="FFFFFF" w:sz="0"/>
              <w:bottom w:val="none" w:color="FFFFFF" w:sz="0"/>
              <w:right w:val="none" w:color="FFFFFF" w:sz="0"/>
            </w:tcBorders>
            <w:shd w:fill="0F1923" w:val="solid"/>
            <w:tcMar>
              <w:top w:type="dxa" w:w="120"/>
              <w:left w:type="dxa" w:w="180"/>
              <w:bottom w:type="dxa" w:w="120"/>
              <w:right w:type="dxa" w:w="180"/>
            </w:tcMar>
          </w:tcPr>
          <w:p>
            <w:pPr>
              <w:jc w:val="center"/>
            </w:pPr>
            <w:r>
              <w:rPr>
                <w:rFonts w:ascii="Georgia" w:cs="Georgia" w:eastAsia="Georgia" w:hAnsi="Georgia"/>
                <w:b/>
                <w:bCs/>
                <w:color w:val="FFFFFF"/>
                <w:sz w:val="26"/>
                <w:szCs w:val="26"/>
              </w:rPr>
              <w:t xml:space="preserve">05</w:t>
            </w:r>
          </w:p>
        </w:tc>
        <w:tc>
          <w:tcPr>
            <w:tcW w:type="dxa" w:w="3600"/>
            <w:tcBorders>
              <w:top w:val="none" w:color="FFFFFF" w:sz="0"/>
              <w:left w:val="none" w:color="FFFFFF" w:sz="0"/>
              <w:bottom w:val="none" w:color="FFFFFF" w:sz="0"/>
              <w:right w:val="none" w:color="FFFFFF" w:sz="0"/>
            </w:tcBorders>
            <w:shd w:fill="1C2535" w:val="solid"/>
            <w:tcMar>
              <w:top w:type="dxa" w:w="120"/>
              <w:left w:type="dxa" w:w="200"/>
              <w:bottom w:type="dxa" w:w="120"/>
              <w:right w:type="dxa" w:w="200"/>
            </w:tcMar>
          </w:tcPr>
          <w:p>
            <w:r>
              <w:rPr>
                <w:rFonts w:ascii="Calibri" w:cs="Calibri" w:eastAsia="Calibri" w:hAnsi="Calibri"/>
                <w:b/>
                <w:bCs/>
                <w:color w:val="FFFFFF"/>
                <w:sz w:val="20"/>
                <w:szCs w:val="20"/>
              </w:rPr>
              <w:t xml:space="preserve">The Blind Spot Hook</w:t>
            </w:r>
          </w:p>
        </w:tc>
        <w:tc>
          <w:tcPr>
            <w:tcW w:type="dxa" w:w="5240"/>
            <w:tcBorders>
              <w:top w:val="none" w:color="FFFFFF" w:sz="0"/>
              <w:left w:val="none" w:color="FFFFFF" w:sz="0"/>
              <w:bottom w:val="none" w:color="FFFFFF" w:sz="0"/>
              <w:right w:val="none" w:color="FFFFFF" w:sz="0"/>
            </w:tcBorders>
            <w:shd w:fill="1C2535" w:val="solid"/>
            <w:tcMar>
              <w:top w:type="dxa" w:w="120"/>
              <w:left w:type="dxa" w:w="200"/>
              <w:bottom w:type="dxa" w:w="120"/>
              <w:right w:type="dxa" w:w="200"/>
            </w:tcMar>
          </w:tcPr>
          <w:p>
            <w:r>
              <w:rPr>
                <w:rFonts w:ascii="Calibri" w:cs="Calibri" w:eastAsia="Calibri" w:hAnsi="Calibri"/>
                <w:i/>
                <w:iCs/>
                <w:color w:val="AABBD0"/>
                <w:sz w:val="19"/>
                <w:szCs w:val="19"/>
              </w:rPr>
              <w:t xml:space="preserve">"You do not know what you are missing. SOCELLE shows you." Curiosity-driven, slightly uncomfortable.</w:t>
            </w:r>
          </w:p>
        </w:tc>
      </w:tr>
      <w:tr>
        <w:tc>
          <w:tcPr>
            <w:tcW w:type="dxa" w:w="520"/>
            <w:tcBorders>
              <w:top w:val="none" w:color="FFFFFF" w:sz="0"/>
              <w:left w:val="none" w:color="FFFFFF" w:sz="0"/>
              <w:bottom w:val="none" w:color="FFFFFF" w:sz="0"/>
              <w:right w:val="none" w:color="FFFFFF" w:sz="0"/>
            </w:tcBorders>
            <w:shd w:fill="1A1F2B" w:val="solid"/>
            <w:tcMar>
              <w:top w:type="dxa" w:w="120"/>
              <w:left w:type="dxa" w:w="180"/>
              <w:bottom w:type="dxa" w:w="120"/>
              <w:right w:type="dxa" w:w="180"/>
            </w:tcMar>
          </w:tcPr>
          <w:p>
            <w:pPr>
              <w:jc w:val="center"/>
            </w:pPr>
            <w:r>
              <w:rPr>
                <w:rFonts w:ascii="Georgia" w:cs="Georgia" w:eastAsia="Georgia" w:hAnsi="Georgia"/>
                <w:b/>
                <w:bCs/>
                <w:color w:val="FFFFFF"/>
                <w:sz w:val="26"/>
                <w:szCs w:val="26"/>
              </w:rPr>
              <w:t xml:space="preserve">06</w:t>
            </w:r>
          </w:p>
        </w:tc>
        <w:tc>
          <w:tcPr>
            <w:tcW w:type="dxa" w:w="3600"/>
            <w:tcBorders>
              <w:top w:val="none" w:color="FFFFFF" w:sz="0"/>
              <w:left w:val="none" w:color="FFFFFF" w:sz="0"/>
              <w:bottom w:val="none" w:color="FFFFFF" w:sz="0"/>
              <w:right w:val="none" w:color="FFFFFF" w:sz="0"/>
            </w:tcBorders>
            <w:shd w:fill="242D3E" w:val="solid"/>
            <w:tcMar>
              <w:top w:type="dxa" w:w="120"/>
              <w:left w:type="dxa" w:w="200"/>
              <w:bottom w:type="dxa" w:w="120"/>
              <w:right w:type="dxa" w:w="200"/>
            </w:tcMar>
          </w:tcPr>
          <w:p>
            <w:r>
              <w:rPr>
                <w:rFonts w:ascii="Calibri" w:cs="Calibri" w:eastAsia="Calibri" w:hAnsi="Calibri"/>
                <w:b/>
                <w:bCs/>
                <w:color w:val="FFFFFF"/>
                <w:sz w:val="20"/>
                <w:szCs w:val="20"/>
              </w:rPr>
              <w:t xml:space="preserve">The Operator Peer Hook</w:t>
            </w:r>
          </w:p>
        </w:tc>
        <w:tc>
          <w:tcPr>
            <w:tcW w:type="dxa" w:w="5240"/>
            <w:tcBorders>
              <w:top w:val="none" w:color="FFFFFF" w:sz="0"/>
              <w:left w:val="none" w:color="FFFFFF" w:sz="0"/>
              <w:bottom w:val="none" w:color="FFFFFF" w:sz="0"/>
              <w:right w:val="none" w:color="FFFFFF" w:sz="0"/>
            </w:tcBorders>
            <w:shd w:fill="242D3E" w:val="solid"/>
            <w:tcMar>
              <w:top w:type="dxa" w:w="120"/>
              <w:left w:type="dxa" w:w="200"/>
              <w:bottom w:type="dxa" w:w="120"/>
              <w:right w:type="dxa" w:w="200"/>
            </w:tcMar>
          </w:tcPr>
          <w:p>
            <w:r>
              <w:rPr>
                <w:rFonts w:ascii="Calibri" w:cs="Calibri" w:eastAsia="Calibri" w:hAnsi="Calibri"/>
                <w:i/>
                <w:iCs/>
                <w:color w:val="AABBD0"/>
                <w:sz w:val="19"/>
                <w:szCs w:val="19"/>
              </w:rPr>
              <w:t xml:space="preserve">"See what operators in your vertical are doing right now." Social proof with intelligence framing.</w:t>
            </w:r>
          </w:p>
        </w:tc>
      </w:tr>
      <w:tr>
        <w:tc>
          <w:tcPr>
            <w:tcW w:type="dxa" w:w="520"/>
            <w:tcBorders>
              <w:top w:val="none" w:color="FFFFFF" w:sz="0"/>
              <w:left w:val="none" w:color="FFFFFF" w:sz="0"/>
              <w:bottom w:val="none" w:color="FFFFFF" w:sz="0"/>
              <w:right w:val="none" w:color="FFFFFF" w:sz="0"/>
            </w:tcBorders>
            <w:shd w:fill="0F1923" w:val="solid"/>
            <w:tcMar>
              <w:top w:type="dxa" w:w="120"/>
              <w:left w:type="dxa" w:w="180"/>
              <w:bottom w:type="dxa" w:w="120"/>
              <w:right w:type="dxa" w:w="180"/>
            </w:tcMar>
          </w:tcPr>
          <w:p>
            <w:pPr>
              <w:jc w:val="center"/>
            </w:pPr>
            <w:r>
              <w:rPr>
                <w:rFonts w:ascii="Georgia" w:cs="Georgia" w:eastAsia="Georgia" w:hAnsi="Georgia"/>
                <w:b/>
                <w:bCs/>
                <w:color w:val="FFFFFF"/>
                <w:sz w:val="26"/>
                <w:szCs w:val="26"/>
              </w:rPr>
              <w:t xml:space="preserve">07</w:t>
            </w:r>
          </w:p>
        </w:tc>
        <w:tc>
          <w:tcPr>
            <w:tcW w:type="dxa" w:w="3600"/>
            <w:tcBorders>
              <w:top w:val="none" w:color="FFFFFF" w:sz="0"/>
              <w:left w:val="none" w:color="FFFFFF" w:sz="0"/>
              <w:bottom w:val="none" w:color="FFFFFF" w:sz="0"/>
              <w:right w:val="none" w:color="FFFFFF" w:sz="0"/>
            </w:tcBorders>
            <w:shd w:fill="1C2535" w:val="solid"/>
            <w:tcMar>
              <w:top w:type="dxa" w:w="120"/>
              <w:left w:type="dxa" w:w="200"/>
              <w:bottom w:type="dxa" w:w="120"/>
              <w:right w:type="dxa" w:w="200"/>
            </w:tcMar>
          </w:tcPr>
          <w:p>
            <w:r>
              <w:rPr>
                <w:rFonts w:ascii="Calibri" w:cs="Calibri" w:eastAsia="Calibri" w:hAnsi="Calibri"/>
                <w:b/>
                <w:bCs/>
                <w:color w:val="FFFFFF"/>
                <w:sz w:val="20"/>
                <w:szCs w:val="20"/>
              </w:rPr>
              <w:t xml:space="preserve">The Command Surface Hook</w:t>
            </w:r>
          </w:p>
        </w:tc>
        <w:tc>
          <w:tcPr>
            <w:tcW w:type="dxa" w:w="5240"/>
            <w:tcBorders>
              <w:top w:val="none" w:color="FFFFFF" w:sz="0"/>
              <w:left w:val="none" w:color="FFFFFF" w:sz="0"/>
              <w:bottom w:val="none" w:color="FFFFFF" w:sz="0"/>
              <w:right w:val="none" w:color="FFFFFF" w:sz="0"/>
            </w:tcBorders>
            <w:shd w:fill="1C2535" w:val="solid"/>
            <w:tcMar>
              <w:top w:type="dxa" w:w="120"/>
              <w:left w:type="dxa" w:w="200"/>
              <w:bottom w:type="dxa" w:w="120"/>
              <w:right w:type="dxa" w:w="200"/>
            </w:tcMar>
          </w:tcPr>
          <w:p>
            <w:r>
              <w:rPr>
                <w:rFonts w:ascii="Calibri" w:cs="Calibri" w:eastAsia="Calibri" w:hAnsi="Calibri"/>
                <w:i/>
                <w:iCs/>
                <w:color w:val="AABBD0"/>
                <w:sz w:val="19"/>
                <w:szCs w:val="19"/>
              </w:rPr>
              <w:t xml:space="preserve">Visual-first: show the Intelligence Hub interface. The product is the hook. No body copy needed.</w:t>
            </w:r>
          </w:p>
        </w:tc>
      </w:tr>
      <w:tr>
        <w:tc>
          <w:tcPr>
            <w:tcW w:type="dxa" w:w="520"/>
            <w:tcBorders>
              <w:top w:val="none" w:color="FFFFFF" w:sz="0"/>
              <w:left w:val="none" w:color="FFFFFF" w:sz="0"/>
              <w:bottom w:val="none" w:color="FFFFFF" w:sz="0"/>
              <w:right w:val="none" w:color="FFFFFF" w:sz="0"/>
            </w:tcBorders>
            <w:shd w:fill="1A1F2B" w:val="solid"/>
            <w:tcMar>
              <w:top w:type="dxa" w:w="120"/>
              <w:left w:type="dxa" w:w="180"/>
              <w:bottom w:type="dxa" w:w="120"/>
              <w:right w:type="dxa" w:w="180"/>
            </w:tcMar>
          </w:tcPr>
          <w:p>
            <w:pPr>
              <w:jc w:val="center"/>
            </w:pPr>
            <w:r>
              <w:rPr>
                <w:rFonts w:ascii="Georgia" w:cs="Georgia" w:eastAsia="Georgia" w:hAnsi="Georgia"/>
                <w:b/>
                <w:bCs/>
                <w:color w:val="FFFFFF"/>
                <w:sz w:val="26"/>
                <w:szCs w:val="26"/>
              </w:rPr>
              <w:t xml:space="preserve">08</w:t>
            </w:r>
          </w:p>
        </w:tc>
        <w:tc>
          <w:tcPr>
            <w:tcW w:type="dxa" w:w="3600"/>
            <w:tcBorders>
              <w:top w:val="none" w:color="FFFFFF" w:sz="0"/>
              <w:left w:val="none" w:color="FFFFFF" w:sz="0"/>
              <w:bottom w:val="none" w:color="FFFFFF" w:sz="0"/>
              <w:right w:val="none" w:color="FFFFFF" w:sz="0"/>
            </w:tcBorders>
            <w:shd w:fill="242D3E" w:val="solid"/>
            <w:tcMar>
              <w:top w:type="dxa" w:w="120"/>
              <w:left w:type="dxa" w:w="200"/>
              <w:bottom w:type="dxa" w:w="120"/>
              <w:right w:type="dxa" w:w="200"/>
            </w:tcMar>
          </w:tcPr>
          <w:p>
            <w:r>
              <w:rPr>
                <w:rFonts w:ascii="Calibri" w:cs="Calibri" w:eastAsia="Calibri" w:hAnsi="Calibri"/>
                <w:b/>
                <w:bCs/>
                <w:color w:val="FFFFFF"/>
                <w:sz w:val="20"/>
                <w:szCs w:val="20"/>
              </w:rPr>
              <w:t xml:space="preserve">The Category Intelligence Hook</w:t>
            </w:r>
          </w:p>
        </w:tc>
        <w:tc>
          <w:tcPr>
            <w:tcW w:type="dxa" w:w="5240"/>
            <w:tcBorders>
              <w:top w:val="none" w:color="FFFFFF" w:sz="0"/>
              <w:left w:val="none" w:color="FFFFFF" w:sz="0"/>
              <w:bottom w:val="none" w:color="FFFFFF" w:sz="0"/>
              <w:right w:val="none" w:color="FFFFFF" w:sz="0"/>
            </w:tcBorders>
            <w:shd w:fill="242D3E" w:val="solid"/>
            <w:tcMar>
              <w:top w:type="dxa" w:w="120"/>
              <w:left w:type="dxa" w:w="200"/>
              <w:bottom w:type="dxa" w:w="120"/>
              <w:right w:type="dxa" w:w="200"/>
            </w:tcMar>
          </w:tcPr>
          <w:p>
            <w:r>
              <w:rPr>
                <w:rFonts w:ascii="Calibri" w:cs="Calibri" w:eastAsia="Calibri" w:hAnsi="Calibri"/>
                <w:i/>
                <w:iCs/>
                <w:color w:val="AABBD0"/>
                <w:sz w:val="19"/>
                <w:szCs w:val="19"/>
              </w:rPr>
              <w:t xml:space="preserve">"Trends move fast in this industry. Intelligence moves faster." Speed and timing as the value.</w:t>
            </w:r>
          </w:p>
        </w:tc>
      </w:tr>
      <w:tr>
        <w:tc>
          <w:tcPr>
            <w:tcW w:type="dxa" w:w="520"/>
            <w:tcBorders>
              <w:top w:val="none" w:color="FFFFFF" w:sz="0"/>
              <w:left w:val="none" w:color="FFFFFF" w:sz="0"/>
              <w:bottom w:val="none" w:color="FFFFFF" w:sz="0"/>
              <w:right w:val="none" w:color="FFFFFF" w:sz="0"/>
            </w:tcBorders>
            <w:shd w:fill="0F1923" w:val="solid"/>
            <w:tcMar>
              <w:top w:type="dxa" w:w="120"/>
              <w:left w:type="dxa" w:w="180"/>
              <w:bottom w:type="dxa" w:w="120"/>
              <w:right w:type="dxa" w:w="180"/>
            </w:tcMar>
          </w:tcPr>
          <w:p>
            <w:pPr>
              <w:jc w:val="center"/>
            </w:pPr>
            <w:r>
              <w:rPr>
                <w:rFonts w:ascii="Georgia" w:cs="Georgia" w:eastAsia="Georgia" w:hAnsi="Georgia"/>
                <w:b/>
                <w:bCs/>
                <w:color w:val="FFFFFF"/>
                <w:sz w:val="26"/>
                <w:szCs w:val="26"/>
              </w:rPr>
              <w:t xml:space="preserve">09</w:t>
            </w:r>
          </w:p>
        </w:tc>
        <w:tc>
          <w:tcPr>
            <w:tcW w:type="dxa" w:w="3600"/>
            <w:tcBorders>
              <w:top w:val="none" w:color="FFFFFF" w:sz="0"/>
              <w:left w:val="none" w:color="FFFFFF" w:sz="0"/>
              <w:bottom w:val="none" w:color="FFFFFF" w:sz="0"/>
              <w:right w:val="none" w:color="FFFFFF" w:sz="0"/>
            </w:tcBorders>
            <w:shd w:fill="1C2535" w:val="solid"/>
            <w:tcMar>
              <w:top w:type="dxa" w:w="120"/>
              <w:left w:type="dxa" w:w="200"/>
              <w:bottom w:type="dxa" w:w="120"/>
              <w:right w:type="dxa" w:w="200"/>
            </w:tcMar>
          </w:tcPr>
          <w:p>
            <w:r>
              <w:rPr>
                <w:rFonts w:ascii="Calibri" w:cs="Calibri" w:eastAsia="Calibri" w:hAnsi="Calibri"/>
                <w:b/>
                <w:bCs/>
                <w:color w:val="FFFFFF"/>
                <w:sz w:val="20"/>
                <w:szCs w:val="20"/>
              </w:rPr>
              <w:t xml:space="preserve">The Decision Engine Hook</w:t>
            </w:r>
          </w:p>
        </w:tc>
        <w:tc>
          <w:tcPr>
            <w:tcW w:type="dxa" w:w="5240"/>
            <w:tcBorders>
              <w:top w:val="none" w:color="FFFFFF" w:sz="0"/>
              <w:left w:val="none" w:color="FFFFFF" w:sz="0"/>
              <w:bottom w:val="none" w:color="FFFFFF" w:sz="0"/>
              <w:right w:val="none" w:color="FFFFFF" w:sz="0"/>
            </w:tcBorders>
            <w:shd w:fill="1C2535" w:val="solid"/>
            <w:tcMar>
              <w:top w:type="dxa" w:w="120"/>
              <w:left w:type="dxa" w:w="200"/>
              <w:bottom w:type="dxa" w:w="120"/>
              <w:right w:type="dxa" w:w="200"/>
            </w:tcMar>
          </w:tcPr>
          <w:p>
            <w:r>
              <w:rPr>
                <w:rFonts w:ascii="Calibri" w:cs="Calibri" w:eastAsia="Calibri" w:hAnsi="Calibri"/>
                <w:i/>
                <w:iCs/>
                <w:color w:val="AABBD0"/>
                <w:sz w:val="19"/>
                <w:szCs w:val="19"/>
              </w:rPr>
              <w:t xml:space="preserve">"SOCELLE does not tell you what to think. It shows you what to consider." Intelligence as empowerment, not prescription.</w:t>
            </w:r>
          </w:p>
        </w:tc>
      </w:tr>
      <w:tr>
        <w:tc>
          <w:tcPr>
            <w:tcW w:type="dxa" w:w="520"/>
            <w:tcBorders>
              <w:top w:val="none" w:color="FFFFFF" w:sz="0"/>
              <w:left w:val="none" w:color="FFFFFF" w:sz="0"/>
              <w:bottom w:val="none" w:color="FFFFFF" w:sz="0"/>
              <w:right w:val="none" w:color="FFFFFF" w:sz="0"/>
            </w:tcBorders>
            <w:shd w:fill="1A1F2B" w:val="solid"/>
            <w:tcMar>
              <w:top w:type="dxa" w:w="120"/>
              <w:left w:type="dxa" w:w="180"/>
              <w:bottom w:type="dxa" w:w="120"/>
              <w:right w:type="dxa" w:w="180"/>
            </w:tcMar>
          </w:tcPr>
          <w:p>
            <w:pPr>
              <w:jc w:val="center"/>
            </w:pPr>
            <w:r>
              <w:rPr>
                <w:rFonts w:ascii="Georgia" w:cs="Georgia" w:eastAsia="Georgia" w:hAnsi="Georgia"/>
                <w:b/>
                <w:bCs/>
                <w:color w:val="FFFFFF"/>
                <w:sz w:val="26"/>
                <w:szCs w:val="26"/>
              </w:rPr>
              <w:t xml:space="preserve">10</w:t>
            </w:r>
          </w:p>
        </w:tc>
        <w:tc>
          <w:tcPr>
            <w:tcW w:type="dxa" w:w="3600"/>
            <w:tcBorders>
              <w:top w:val="none" w:color="FFFFFF" w:sz="0"/>
              <w:left w:val="none" w:color="FFFFFF" w:sz="0"/>
              <w:bottom w:val="none" w:color="FFFFFF" w:sz="0"/>
              <w:right w:val="none" w:color="FFFFFF" w:sz="0"/>
            </w:tcBorders>
            <w:shd w:fill="242D3E" w:val="solid"/>
            <w:tcMar>
              <w:top w:type="dxa" w:w="120"/>
              <w:left w:type="dxa" w:w="200"/>
              <w:bottom w:type="dxa" w:w="120"/>
              <w:right w:type="dxa" w:w="200"/>
            </w:tcMar>
          </w:tcPr>
          <w:p>
            <w:r>
              <w:rPr>
                <w:rFonts w:ascii="Calibri" w:cs="Calibri" w:eastAsia="Calibri" w:hAnsi="Calibri"/>
                <w:b/>
                <w:bCs/>
                <w:color w:val="FFFFFF"/>
                <w:sz w:val="20"/>
                <w:szCs w:val="20"/>
              </w:rPr>
              <w:t xml:space="preserve">The Supply Chain Reframe Hook</w:t>
            </w:r>
          </w:p>
        </w:tc>
        <w:tc>
          <w:tcPr>
            <w:tcW w:type="dxa" w:w="5240"/>
            <w:tcBorders>
              <w:top w:val="none" w:color="FFFFFF" w:sz="0"/>
              <w:left w:val="none" w:color="FFFFFF" w:sz="0"/>
              <w:bottom w:val="none" w:color="FFFFFF" w:sz="0"/>
              <w:right w:val="none" w:color="FFFFFF" w:sz="0"/>
            </w:tcBorders>
            <w:shd w:fill="242D3E" w:val="solid"/>
            <w:tcMar>
              <w:top w:type="dxa" w:w="120"/>
              <w:left w:type="dxa" w:w="200"/>
              <w:bottom w:type="dxa" w:w="120"/>
              <w:right w:type="dxa" w:w="200"/>
            </w:tcMar>
          </w:tcPr>
          <w:p>
            <w:r>
              <w:rPr>
                <w:rFonts w:ascii="Calibri" w:cs="Calibri" w:eastAsia="Calibri" w:hAnsi="Calibri"/>
                <w:i/>
                <w:iCs/>
                <w:color w:val="AABBD0"/>
                <w:sz w:val="19"/>
                <w:szCs w:val="19"/>
              </w:rPr>
              <w:t xml:space="preserve">"The supply chain is not broken because of logistics. It is broken because operators are flying blind." Problem-first intelligence lead.</w:t>
            </w:r>
          </w:p>
        </w:tc>
      </w:tr>
    </w:tbl>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A2-I. Best Final Hook Recommendation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20"/>
            <w:tcBorders>
              <w:top w:val="none" w:color="FFFFFF" w:sz="0"/>
              <w:left w:val="none" w:color="FFFFFF" w:sz="0"/>
              <w:bottom w:val="none" w:color="FFFFFF" w:sz="0"/>
              <w:right w:val="none" w:color="FFFFFF" w:sz="0"/>
            </w:tcBorders>
            <w:shd w:fill="14532D" w:val="solid"/>
          </w:tcPr>
          <w:p>
            <w:r>
              <w:t xml:space="preserve"/>
            </w:r>
          </w:p>
        </w:tc>
        <w:tc>
          <w:tcPr>
            <w:tcW w:type="dxa" w:w="9240"/>
            <w:tcBorders>
              <w:top w:val="none" w:color="FFFFFF" w:sz="0"/>
              <w:left w:val="none" w:color="FFFFFF" w:sz="0"/>
              <w:bottom w:val="none" w:color="FFFFFF" w:sz="0"/>
              <w:right w:val="none" w:color="FFFFFF" w:sz="0"/>
            </w:tcBorders>
            <w:shd w:fill="F5F4F2" w:val="solid"/>
            <w:tcMar>
              <w:top w:type="dxa" w:w="160"/>
              <w:left w:type="dxa" w:w="280"/>
              <w:bottom w:type="dxa" w:w="160"/>
              <w:right w:type="dxa" w:w="280"/>
            </w:tcMar>
          </w:tcPr>
          <w:p>
            <w:pPr>
              <w:spacing w:after="60" w:before="0"/>
            </w:pPr>
            <w:r>
              <w:rPr>
                <w:rFonts w:ascii="Calibri" w:cs="Calibri" w:eastAsia="Calibri" w:hAnsi="Calibri"/>
                <w:b/>
                <w:bCs/>
                <w:color w:val="3E4C5E"/>
                <w:sz w:val="22"/>
                <w:szCs w:val="22"/>
              </w:rPr>
              <w:t xml:space="preserve">Recommended Hook: The Market Pulse Hook (Option 01)</w:t>
            </w:r>
          </w:p>
          <w:p>
            <w:r>
              <w:rPr>
                <w:rFonts w:ascii="Calibri" w:cs="Calibri" w:eastAsia="Calibri" w:hAnsi="Calibri"/>
                <w:color w:val="181614"/>
                <w:sz w:val="21"/>
                <w:szCs w:val="21"/>
              </w:rPr>
              <w:t xml:space="preserve">Lead with a visible, live-feeling market signal panel. The intelligence is not described — it is shown. The operator sees category movement, trend velocity, or a benchmark signal immediately. The CTA appears after they have already experienced the value. This approach works because it does not ask operators to trust a claim. It asks them to look at something real.</w:t>
            </w:r>
          </w:p>
        </w:tc>
      </w:tr>
    </w:tbl>
    <w:p>
      <w:pPr>
        <w:spacing w:after="0" w:before="6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0F1923" w:val="solid"/>
            <w:tcMar>
              <w:top w:type="dxa" w:w="240"/>
              <w:left w:type="dxa" w:w="280"/>
              <w:bottom w:type="dxa" w:w="240"/>
              <w:right w:type="dxa" w:w="280"/>
            </w:tcMar>
          </w:tcPr>
          <w:p>
            <w:pPr>
              <w:jc w:val="center"/>
            </w:pPr>
            <w:r>
              <w:rPr>
                <w:rFonts w:ascii="Calibri" w:cs="Calibri" w:eastAsia="Calibri" w:hAnsi="Calibri"/>
                <w:b/>
                <w:bCs/>
                <w:color w:val="6B8EBF"/>
                <w:sz w:val="16"/>
                <w:szCs w:val="16"/>
              </w:rPr>
              <w:t xml:space="preserve">AGENT 03</w:t>
            </w:r>
          </w:p>
          <w:p>
            <w:pPr>
              <w:jc w:val="center"/>
            </w:pPr>
            <w:r>
              <w:rPr>
                <w:rFonts w:ascii="Georgia" w:cs="Georgia" w:eastAsia="Georgia" w:hAnsi="Georgia"/>
                <w:b/>
                <w:bCs/>
                <w:color w:val="FFFFFF"/>
                <w:sz w:val="52"/>
                <w:szCs w:val="52"/>
              </w:rPr>
              <w:t xml:space="preserve">03</w:t>
            </w:r>
          </w:p>
        </w:tc>
        <w:tc>
          <w:tcPr>
            <w:tcW w:type="dxa" w:w="7960"/>
            <w:tcBorders>
              <w:top w:val="none" w:color="FFFFFF" w:sz="0"/>
              <w:left w:val="none" w:color="FFFFFF" w:sz="0"/>
              <w:bottom w:val="none" w:color="FFFFFF" w:sz="0"/>
              <w:right w:val="none" w:color="FFFFFF" w:sz="0"/>
            </w:tcBorders>
            <w:shd w:fill="1A1F2B" w:val="solid"/>
            <w:tcMar>
              <w:top w:type="dxa" w:w="240"/>
              <w:left w:type="dxa" w:w="360"/>
              <w:bottom w:type="dxa" w:w="240"/>
              <w:right w:type="dxa" w:w="360"/>
            </w:tcMar>
          </w:tcPr>
          <w:p>
            <w:r>
              <w:rPr>
                <w:rFonts w:ascii="Calibri" w:cs="Calibri" w:eastAsia="Calibri" w:hAnsi="Calibri"/>
                <w:b/>
                <w:bCs/>
                <w:color w:val="6B8EBF"/>
                <w:sz w:val="20"/>
                <w:szCs w:val="20"/>
              </w:rPr>
              <w:t xml:space="preserve">OPERATOR ACQUISITION WEDGE AGENT</w:t>
            </w:r>
          </w:p>
          <w:p>
            <w:pPr>
              <w:spacing w:after="0" w:before="40"/>
            </w:pPr>
            <w:r>
              <w:rPr>
                <w:rFonts w:ascii="Georgia" w:cs="Georgia" w:eastAsia="Georgia" w:hAnsi="Georgia"/>
                <w:b/>
                <w:bCs/>
                <w:color w:val="FFFFFF"/>
                <w:sz w:val="34"/>
                <w:szCs w:val="34"/>
              </w:rPr>
              <w:t xml:space="preserve">Operator Acquisition Wedge Agent</w:t>
            </w:r>
          </w:p>
          <w:p>
            <w:pPr>
              <w:spacing w:after="0" w:before="60"/>
            </w:pPr>
            <w:r>
              <w:rPr>
                <w:rFonts w:ascii="Calibri" w:cs="Calibri" w:eastAsia="Calibri" w:hAnsi="Calibri"/>
                <w:i/>
                <w:iCs/>
                <w:color w:val="AABBD0"/>
                <w:sz w:val="20"/>
                <w:szCs w:val="20"/>
              </w:rPr>
              <w:t xml:space="preserve">How SOCELLE acquires operators by leading with intelligence, not marketplace access</w:t>
            </w:r>
          </w:p>
        </w:tc>
      </w:tr>
    </w:tbl>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A3-A. Operator Acquisition Thesis</w:t>
      </w:r>
    </w:p>
    <w:p>
      <w:pPr>
        <w:spacing w:after="100" w:before="60"/>
      </w:pPr>
      <w:r>
        <w:rPr>
          <w:rFonts w:ascii="Calibri" w:cs="Calibri" w:eastAsia="Calibri" w:hAnsi="Calibri"/>
          <w:i w:val="false"/>
          <w:iCs w:val="false"/>
          <w:color w:val="181614"/>
          <w:sz w:val="22"/>
          <w:szCs w:val="22"/>
        </w:rPr>
        <w:t xml:space="preserve">Operators do not join SOCELLE because they heard about a marketplace. They join because SOCELLE makes them better at running their business. The acquisition wedge is intelligence access, not product access.</w:t>
      </w:r>
    </w:p>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20"/>
            <w:tcBorders>
              <w:top w:val="none" w:color="FFFFFF" w:sz="0"/>
              <w:left w:val="none" w:color="FFFFFF" w:sz="0"/>
              <w:bottom w:val="none" w:color="FFFFFF" w:sz="0"/>
              <w:right w:val="none" w:color="FFFFFF" w:sz="0"/>
            </w:tcBorders>
            <w:shd w:fill="1A3A6E" w:val="solid"/>
          </w:tcPr>
          <w:p>
            <w:r>
              <w:t xml:space="preserve"/>
            </w:r>
          </w:p>
        </w:tc>
        <w:tc>
          <w:tcPr>
            <w:tcW w:type="dxa" w:w="9240"/>
            <w:tcBorders>
              <w:top w:val="none" w:color="FFFFFF" w:sz="0"/>
              <w:left w:val="none" w:color="FFFFFF" w:sz="0"/>
              <w:bottom w:val="none" w:color="FFFFFF" w:sz="0"/>
              <w:right w:val="none" w:color="FFFFFF" w:sz="0"/>
            </w:tcBorders>
            <w:shd w:fill="F5F4F2" w:val="solid"/>
            <w:tcMar>
              <w:top w:type="dxa" w:w="160"/>
              <w:left w:type="dxa" w:w="280"/>
              <w:bottom w:type="dxa" w:w="160"/>
              <w:right w:type="dxa" w:w="280"/>
            </w:tcMar>
          </w:tcPr>
          <w:p>
            <w:pPr>
              <w:spacing w:after="60" w:before="0"/>
            </w:pPr>
            <w:r>
              <w:rPr>
                <w:rFonts w:ascii="Calibri" w:cs="Calibri" w:eastAsia="Calibri" w:hAnsi="Calibri"/>
                <w:b/>
                <w:bCs/>
                <w:color w:val="3E4C5E"/>
                <w:sz w:val="22"/>
                <w:szCs w:val="22"/>
              </w:rPr>
              <w:t xml:space="preserve">Acquisition Thesis</w:t>
            </w:r>
          </w:p>
          <w:p>
            <w:r>
              <w:rPr>
                <w:rFonts w:ascii="Calibri" w:cs="Calibri" w:eastAsia="Calibri" w:hAnsi="Calibri"/>
                <w:color w:val="181614"/>
                <w:sz w:val="21"/>
                <w:szCs w:val="21"/>
              </w:rPr>
              <w:t xml:space="preserve">The operator who joins SOCELLE is not looking for another place to order. They are looking for an unfair advantage. SOCELLE delivers that advantage through market intelligence before they place their first order.</w:t>
            </w:r>
          </w:p>
        </w:tc>
      </w:tr>
    </w:tbl>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A3-B. Top-of-Funnel Promise</w:t>
      </w:r>
    </w:p>
    <w:p>
      <w:pPr>
        <w:spacing w:after="100" w:before="60"/>
      </w:pPr>
      <w:r>
        <w:rPr>
          <w:rFonts w:ascii="Calibri" w:cs="Calibri" w:eastAsia="Calibri" w:hAnsi="Calibri"/>
          <w:i w:val="false"/>
          <w:iCs w:val="false"/>
          <w:color w:val="181614"/>
          <w:sz w:val="22"/>
          <w:szCs w:val="22"/>
        </w:rPr>
        <w:t xml:space="preserve">"The professional beauty industry's most complete intelligence layer. Built for operators who run on insight, not instinct."</w:t>
      </w:r>
    </w:p>
    <w:p>
      <w:pPr>
        <w:spacing w:after="0" w:before="60"/>
      </w:pPr>
      <w:r>
        <w:t xml:space="preserve"/>
      </w:r>
    </w:p>
    <w:p>
      <w:pPr>
        <w:spacing w:after="100" w:before="60"/>
      </w:pPr>
      <w:r>
        <w:rPr>
          <w:rFonts w:ascii="Calibri" w:cs="Calibri" w:eastAsia="Calibri" w:hAnsi="Calibri"/>
          <w:i w:val="false"/>
          <w:iCs w:val="false"/>
          <w:color w:val="181614"/>
          <w:sz w:val="22"/>
          <w:szCs w:val="22"/>
        </w:rPr>
        <w:t xml:space="preserve">This promise works because:</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It does not reference the marketplace, which implies the intelligence is the primary product.</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It speaks directly to spa directors and medspa owners who self-identify as strategically minded.</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It creates an implied contrast with operators who are NOT using SOCELLE — and implies those operators are at a disadvantage.</w:t>
      </w:r>
    </w:p>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A3-C. Homepage Acquisition Framing</w:t>
      </w:r>
    </w:p>
    <w:tbl>
      <w:tblPr>
        <w:tblW w:type="dxa" w:w="9360"/>
        <w:tblBorders>
          <w:top w:val="single" w:color="ECEAE7" w:sz="4"/>
          <w:left w:val="single" w:color="ECEAE7" w:sz="4"/>
          <w:bottom w:val="single" w:color="ECEAE7" w:sz="4"/>
          <w:right w:val="single" w:color="ECEAE7" w:sz="4"/>
          <w:insideH w:val="single" w:color="auto" w:sz="4"/>
          <w:insideV w:val="single" w:color="auto" w:sz="4"/>
        </w:tblBorders>
      </w:tblPr>
      <w:tblGrid>
        <w:gridCol w:w="100"/>
        <w:gridCol w:w="100"/>
      </w:tblGrid>
      <w:tr>
        <w:tc>
          <w:tcPr>
            <w:tcW w:type="dxa" w:w="2600"/>
            <w:tcBorders>
              <w:top w:val="none" w:color="FFFFFF" w:sz="0"/>
              <w:left w:val="none" w:color="FFFFFF" w:sz="0"/>
              <w:bottom w:val="none" w:color="FFFFFF" w:sz="0"/>
              <w:right w:val="none" w:color="FFFFFF" w:sz="0"/>
            </w:tcBorders>
            <w:shd w:fill="0F1923" w:val="solid"/>
            <w:tcMar>
              <w:top w:type="dxa" w:w="100"/>
              <w:left w:type="dxa" w:w="200"/>
              <w:bottom w:type="dxa" w:w="100"/>
              <w:right w:type="dxa" w:w="200"/>
            </w:tcMar>
          </w:tcPr>
          <w:p>
            <w:r>
              <w:rPr>
                <w:rFonts w:ascii="Calibri" w:cs="Calibri" w:eastAsia="Calibri" w:hAnsi="Calibri"/>
                <w:b/>
                <w:bCs/>
                <w:color w:val="FFFFFF"/>
                <w:sz w:val="19"/>
                <w:szCs w:val="19"/>
              </w:rPr>
              <w:t xml:space="preserve">Position</w:t>
            </w:r>
          </w:p>
        </w:tc>
        <w:tc>
          <w:tcPr>
            <w:tcW w:type="dxa" w:w="6760"/>
            <w:tcBorders>
              <w:top w:val="none" w:color="FFFFFF" w:sz="0"/>
              <w:left w:val="none" w:color="FFFFFF" w:sz="0"/>
              <w:bottom w:val="none" w:color="FFFFFF" w:sz="0"/>
              <w:right w:val="none" w:color="FFFFFF" w:sz="0"/>
            </w:tcBorders>
            <w:shd w:fill="1A1F2B" w:val="solid"/>
            <w:tcMar>
              <w:top w:type="dxa" w:w="100"/>
              <w:left w:type="dxa" w:w="200"/>
              <w:bottom w:type="dxa" w:w="100"/>
              <w:right w:type="dxa" w:w="200"/>
            </w:tcMar>
          </w:tcPr>
          <w:p>
            <w:r>
              <w:rPr>
                <w:rFonts w:ascii="Calibri" w:cs="Calibri" w:eastAsia="Calibri" w:hAnsi="Calibri"/>
                <w:b/>
                <w:bCs/>
                <w:color w:val="FFFFFF"/>
                <w:sz w:val="19"/>
                <w:szCs w:val="19"/>
              </w:rPr>
              <w:t xml:space="preserve">Content</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Old framing</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"Discover premium beauty brands. Source wholesale, direct."</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New framing</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"The intelligence layer for professional operators. Know what is moving, source what works."</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Old CTA</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"Browse brands" or "Request access to the marketplace."</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New CTA</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"Get intelligence access" or "Join the operator intelligence layer."</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Old social proof</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Brand logos and product imagery above fold.</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New social proof</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Operator validation statements referencing intelligence value, not product selection.</w:t>
            </w:r>
          </w:p>
        </w:tc>
      </w:tr>
    </w:tbl>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A3-D. Buyer-Page Acquisition Framing</w:t>
      </w:r>
    </w:p>
    <w:p>
      <w:pPr>
        <w:spacing w:after="100" w:before="60"/>
      </w:pPr>
      <w:r>
        <w:rPr>
          <w:rFonts w:ascii="Calibri" w:cs="Calibri" w:eastAsia="Calibri" w:hAnsi="Calibri"/>
          <w:i w:val="false"/>
          <w:iCs w:val="false"/>
          <w:color w:val="181614"/>
          <w:sz w:val="22"/>
          <w:szCs w:val="22"/>
        </w:rPr>
        <w:t xml:space="preserve">"You do not need more brands to choose from. You need to know which brands are performing in your category, at your price point, for your client profile. SOCELLE shows you that before you order."</w:t>
      </w:r>
    </w:p>
    <w:p>
      <w:pPr>
        <w:spacing w:after="0" w:before="60"/>
      </w:pPr>
      <w:r>
        <w:t xml:space="preserve"/>
      </w:r>
    </w:p>
    <w:p>
      <w:pPr>
        <w:spacing w:after="100" w:before="60"/>
      </w:pPr>
      <w:r>
        <w:rPr>
          <w:rFonts w:ascii="Calibri" w:cs="Calibri" w:eastAsia="Calibri" w:hAnsi="Calibri"/>
          <w:i w:val="false"/>
          <w:iCs w:val="false"/>
          <w:color w:val="181614"/>
          <w:sz w:val="22"/>
          <w:szCs w:val="22"/>
        </w:rPr>
        <w:t xml:space="preserve">The buyer page intelligence lead:</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Benchmarks for operators in your vertical.</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Category trend visibility by practice type.</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Brand performance signals filtered by operator tier.</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Sourcing recommendations based on peer operator behavior.</w:t>
      </w:r>
    </w:p>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A3-E. Intelligence Hub Conversion Framing</w:t>
      </w:r>
    </w:p>
    <w:p>
      <w:pPr>
        <w:spacing w:after="100" w:before="60"/>
      </w:pPr>
      <w:r>
        <w:rPr>
          <w:rFonts w:ascii="Calibri" w:cs="Calibri" w:eastAsia="Calibri" w:hAnsi="Calibri"/>
          <w:i w:val="false"/>
          <w:iCs w:val="false"/>
          <w:color w:val="181614"/>
          <w:sz w:val="22"/>
          <w:szCs w:val="22"/>
        </w:rPr>
        <w:t xml:space="preserve">Free intelligence access converts to account creation. Account creation activates sourcing. The funnel:</w:t>
      </w:r>
    </w:p>
    <w:p>
      <w:pPr>
        <w:spacing w:after="0" w:before="60"/>
      </w:pPr>
      <w:r>
        <w:t xml:space="preserve"/>
      </w:r>
    </w:p>
    <w:tbl>
      <w:tblPr>
        <w:tblW w:type="dxa" w:w="9360"/>
        <w:tblBorders>
          <w:top w:val="single" w:color="ECEAE7" w:sz="4"/>
          <w:left w:val="single" w:color="ECEAE7" w:sz="4"/>
          <w:bottom w:val="single" w:color="ECEAE7" w:sz="4"/>
          <w:right w:val="single" w:color="ECEAE7" w:sz="4"/>
          <w:insideH w:val="single" w:color="auto" w:sz="4"/>
          <w:insideV w:val="single" w:color="auto" w:sz="4"/>
        </w:tblBorders>
      </w:tblPr>
      <w:tblGrid>
        <w:gridCol w:w="100"/>
        <w:gridCol w:w="100"/>
      </w:tblGrid>
      <w:tr>
        <w:tc>
          <w:tcPr>
            <w:tcW w:type="dxa" w:w="2600"/>
            <w:tcBorders>
              <w:top w:val="none" w:color="FFFFFF" w:sz="0"/>
              <w:left w:val="none" w:color="FFFFFF" w:sz="0"/>
              <w:bottom w:val="none" w:color="FFFFFF" w:sz="0"/>
              <w:right w:val="none" w:color="FFFFFF" w:sz="0"/>
            </w:tcBorders>
            <w:shd w:fill="0F1923" w:val="solid"/>
            <w:tcMar>
              <w:top w:type="dxa" w:w="100"/>
              <w:left w:type="dxa" w:w="200"/>
              <w:bottom w:type="dxa" w:w="100"/>
              <w:right w:type="dxa" w:w="200"/>
            </w:tcMar>
          </w:tcPr>
          <w:p>
            <w:r>
              <w:rPr>
                <w:rFonts w:ascii="Calibri" w:cs="Calibri" w:eastAsia="Calibri" w:hAnsi="Calibri"/>
                <w:b/>
                <w:bCs/>
                <w:color w:val="FFFFFF"/>
                <w:sz w:val="19"/>
                <w:szCs w:val="19"/>
              </w:rPr>
              <w:t xml:space="preserve">Stage</w:t>
            </w:r>
          </w:p>
        </w:tc>
        <w:tc>
          <w:tcPr>
            <w:tcW w:type="dxa" w:w="6760"/>
            <w:tcBorders>
              <w:top w:val="none" w:color="FFFFFF" w:sz="0"/>
              <w:left w:val="none" w:color="FFFFFF" w:sz="0"/>
              <w:bottom w:val="none" w:color="FFFFFF" w:sz="0"/>
              <w:right w:val="none" w:color="FFFFFF" w:sz="0"/>
            </w:tcBorders>
            <w:shd w:fill="1A1F2B" w:val="solid"/>
            <w:tcMar>
              <w:top w:type="dxa" w:w="100"/>
              <w:left w:type="dxa" w:w="200"/>
              <w:bottom w:type="dxa" w:w="100"/>
              <w:right w:type="dxa" w:w="200"/>
            </w:tcMar>
          </w:tcPr>
          <w:p>
            <w:r>
              <w:rPr>
                <w:rFonts w:ascii="Calibri" w:cs="Calibri" w:eastAsia="Calibri" w:hAnsi="Calibri"/>
                <w:b/>
                <w:bCs/>
                <w:color w:val="FFFFFF"/>
                <w:sz w:val="19"/>
                <w:szCs w:val="19"/>
              </w:rPr>
              <w:t xml:space="preserve">Description</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Step 1: Intelligence attraction</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Operator encounters a market signal or benchmark on a public page. Wants to see more.</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Step 2: Hub preview</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Public preview of the Intelligence Hub shows partial data. Full access requires registration.</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Step 3: Account creation</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Operator registers for intelligence access. Not marketplace access — intelligence access.</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Step 4: Intelligence engagement</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Operator uses benchmarks, trend data, and recommendations. Platform learns their profile.</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Step 5: Sourcing activation</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Intelligence leads to a purchase intent signal. SOCELLE surfaces the sourcing path naturally.</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Step 6: First order</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Operator places their first order from a position of intelligence, not cold browsing.</w:t>
            </w:r>
          </w:p>
        </w:tc>
      </w:tr>
    </w:tbl>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A3-F. Why Operators Enter Before Brands</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Operators need intelligence immediately, regardless of brand depth.</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Operators with intelligence engagement create a validated audience for brand recruitment.</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Brands join to reach intelligence-qualified buyers, not generic marketplace shoppers.</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Intelligence creates the cold-start solution for the marketplace two-sided network problem.</w:t>
      </w:r>
    </w:p>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A3-G. Proof the Site Must Show</w:t>
      </w:r>
    </w:p>
    <w:tbl>
      <w:tblPr>
        <w:tblW w:type="dxa" w:w="9360"/>
        <w:tblBorders>
          <w:top w:val="single" w:color="ECEAE7" w:sz="4"/>
          <w:left w:val="single" w:color="ECEAE7" w:sz="4"/>
          <w:bottom w:val="single" w:color="ECEAE7" w:sz="4"/>
          <w:right w:val="single" w:color="ECEAE7" w:sz="4"/>
          <w:insideH w:val="single" w:color="auto" w:sz="4"/>
          <w:insideV w:val="single" w:color="auto" w:sz="4"/>
        </w:tblBorders>
      </w:tblPr>
      <w:tblGrid>
        <w:gridCol w:w="100"/>
        <w:gridCol w:w="100"/>
      </w:tblGrid>
      <w:tr>
        <w:tc>
          <w:tcPr>
            <w:tcW w:type="dxa" w:w="2600"/>
            <w:tcBorders>
              <w:top w:val="none" w:color="FFFFFF" w:sz="0"/>
              <w:left w:val="none" w:color="FFFFFF" w:sz="0"/>
              <w:bottom w:val="none" w:color="FFFFFF" w:sz="0"/>
              <w:right w:val="none" w:color="FFFFFF" w:sz="0"/>
            </w:tcBorders>
            <w:shd w:fill="0F1923" w:val="solid"/>
            <w:tcMar>
              <w:top w:type="dxa" w:w="100"/>
              <w:left w:type="dxa" w:w="200"/>
              <w:bottom w:type="dxa" w:w="100"/>
              <w:right w:type="dxa" w:w="200"/>
            </w:tcMar>
          </w:tcPr>
          <w:p>
            <w:r>
              <w:rPr>
                <w:rFonts w:ascii="Calibri" w:cs="Calibri" w:eastAsia="Calibri" w:hAnsi="Calibri"/>
                <w:b/>
                <w:bCs/>
                <w:color w:val="FFFFFF"/>
                <w:sz w:val="19"/>
                <w:szCs w:val="19"/>
              </w:rPr>
              <w:t xml:space="preserve">Proof Element</w:t>
            </w:r>
          </w:p>
        </w:tc>
        <w:tc>
          <w:tcPr>
            <w:tcW w:type="dxa" w:w="6760"/>
            <w:tcBorders>
              <w:top w:val="none" w:color="FFFFFF" w:sz="0"/>
              <w:left w:val="none" w:color="FFFFFF" w:sz="0"/>
              <w:bottom w:val="none" w:color="FFFFFF" w:sz="0"/>
              <w:right w:val="none" w:color="FFFFFF" w:sz="0"/>
            </w:tcBorders>
            <w:shd w:fill="1A1F2B" w:val="solid"/>
            <w:tcMar>
              <w:top w:type="dxa" w:w="100"/>
              <w:left w:type="dxa" w:w="200"/>
              <w:bottom w:type="dxa" w:w="100"/>
              <w:right w:type="dxa" w:w="200"/>
            </w:tcMar>
          </w:tcPr>
          <w:p>
            <w:r>
              <w:rPr>
                <w:rFonts w:ascii="Calibri" w:cs="Calibri" w:eastAsia="Calibri" w:hAnsi="Calibri"/>
                <w:b/>
                <w:bCs/>
                <w:color w:val="FFFFFF"/>
                <w:sz w:val="19"/>
                <w:szCs w:val="19"/>
              </w:rPr>
              <w:t xml:space="preserve">Execution Note</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Operator community signal</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"400+ operators across 12 U.S. markets." Even cohort-stage framing is credible if accurate.</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Intelligence activity</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Trend data, benchmark updates, category movement — real or seeded to real standards.</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Vertical representation</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Signal data broken out by medspa, salon, wellness — shows platform specificity.</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Brand presence signal</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Brands visible but positioned as intelligence-validated sourcing options, not the primary attraction.</w:t>
            </w:r>
          </w:p>
        </w:tc>
      </w:tr>
    </w:tbl>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A3-H. How the Wedge Compounds into Brand Acquisition</w:t>
      </w:r>
    </w:p>
    <w:p>
      <w:pPr>
        <w:spacing w:after="100" w:before="60"/>
      </w:pPr>
      <w:r>
        <w:rPr>
          <w:rFonts w:ascii="Calibri" w:cs="Calibri" w:eastAsia="Calibri" w:hAnsi="Calibri"/>
          <w:i w:val="false"/>
          <w:iCs w:val="false"/>
          <w:color w:val="181614"/>
          <w:sz w:val="22"/>
          <w:szCs w:val="22"/>
        </w:rPr>
        <w:t xml:space="preserve">As the operator intelligence pool grows, the flywheel accelerates:</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Operator intelligence interactions generate category demand signals.</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Category demand signals give SOCELLE data to recruit the right brands.</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Brands join to reach an intelligence-qualified operator base with measurable demand.</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Brand data enriches the intelligence layer, making operator intelligence more valuable.</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Richer intelligence attracts more operators. The cycle compounds.</w:t>
      </w:r>
    </w:p>
    <w:p>
      <w:pPr>
        <w:spacing w:after="0" w:before="6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3E4C5E" w:val="solid"/>
            <w:tcMar>
              <w:top w:type="dxa" w:w="120"/>
              <w:left w:type="dxa" w:w="400"/>
              <w:bottom w:type="dxa" w:w="120"/>
              <w:right w:type="dxa" w:w="400"/>
            </w:tcMar>
          </w:tcPr>
          <w:p>
            <w:r>
              <w:rPr>
                <w:rFonts w:ascii="Calibri" w:cs="Calibri" w:eastAsia="Calibri" w:hAnsi="Calibri"/>
                <w:b/>
                <w:bCs/>
                <w:color w:val="FFFFFF"/>
                <w:spacing w:val="80"/>
                <w:sz w:val="20"/>
                <w:szCs w:val="20"/>
              </w:rPr>
              <w:t xml:space="preserve">PHASE 2 — SIGNAL DESIGN, UX MAGNETISM, HOMEPAGE REFRAME</w:t>
            </w:r>
          </w:p>
        </w:tc>
      </w:tr>
    </w:tbl>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0F1923" w:val="solid"/>
            <w:tcMar>
              <w:top w:type="dxa" w:w="240"/>
              <w:left w:type="dxa" w:w="280"/>
              <w:bottom w:type="dxa" w:w="240"/>
              <w:right w:type="dxa" w:w="280"/>
            </w:tcMar>
          </w:tcPr>
          <w:p>
            <w:pPr>
              <w:jc w:val="center"/>
            </w:pPr>
            <w:r>
              <w:rPr>
                <w:rFonts w:ascii="Calibri" w:cs="Calibri" w:eastAsia="Calibri" w:hAnsi="Calibri"/>
                <w:b/>
                <w:bCs/>
                <w:color w:val="6B8EBF"/>
                <w:sz w:val="16"/>
                <w:szCs w:val="16"/>
              </w:rPr>
              <w:t xml:space="preserve">AGENT 04</w:t>
            </w:r>
          </w:p>
          <w:p>
            <w:pPr>
              <w:jc w:val="center"/>
            </w:pPr>
            <w:r>
              <w:rPr>
                <w:rFonts w:ascii="Georgia" w:cs="Georgia" w:eastAsia="Georgia" w:hAnsi="Georgia"/>
                <w:b/>
                <w:bCs/>
                <w:color w:val="FFFFFF"/>
                <w:sz w:val="52"/>
                <w:szCs w:val="52"/>
              </w:rPr>
              <w:t xml:space="preserve">04</w:t>
            </w:r>
          </w:p>
        </w:tc>
        <w:tc>
          <w:tcPr>
            <w:tcW w:type="dxa" w:w="7960"/>
            <w:tcBorders>
              <w:top w:val="none" w:color="FFFFFF" w:sz="0"/>
              <w:left w:val="none" w:color="FFFFFF" w:sz="0"/>
              <w:bottom w:val="none" w:color="FFFFFF" w:sz="0"/>
              <w:right w:val="none" w:color="FFFFFF" w:sz="0"/>
            </w:tcBorders>
            <w:shd w:fill="1A1F2B" w:val="solid"/>
            <w:tcMar>
              <w:top w:type="dxa" w:w="240"/>
              <w:left w:type="dxa" w:w="360"/>
              <w:bottom w:type="dxa" w:w="240"/>
              <w:right w:type="dxa" w:w="360"/>
            </w:tcMar>
          </w:tcPr>
          <w:p>
            <w:r>
              <w:rPr>
                <w:rFonts w:ascii="Calibri" w:cs="Calibri" w:eastAsia="Calibri" w:hAnsi="Calibri"/>
                <w:b/>
                <w:bCs/>
                <w:color w:val="6B8EBF"/>
                <w:sz w:val="20"/>
                <w:szCs w:val="20"/>
              </w:rPr>
              <w:t xml:space="preserve">LIVE DATA + VISUAL SIGNAL AGENT</w:t>
            </w:r>
          </w:p>
          <w:p>
            <w:pPr>
              <w:spacing w:after="0" w:before="40"/>
            </w:pPr>
            <w:r>
              <w:rPr>
                <w:rFonts w:ascii="Georgia" w:cs="Georgia" w:eastAsia="Georgia" w:hAnsi="Georgia"/>
                <w:b/>
                <w:bCs/>
                <w:color w:val="FFFFFF"/>
                <w:sz w:val="34"/>
                <w:szCs w:val="34"/>
              </w:rPr>
              <w:t xml:space="preserve">Live Data + Visual Signal Agent</w:t>
            </w:r>
          </w:p>
          <w:p>
            <w:pPr>
              <w:spacing w:after="0" w:before="60"/>
            </w:pPr>
            <w:r>
              <w:rPr>
                <w:rFonts w:ascii="Calibri" w:cs="Calibri" w:eastAsia="Calibri" w:hAnsi="Calibri"/>
                <w:i/>
                <w:iCs/>
                <w:color w:val="AABBD0"/>
                <w:sz w:val="20"/>
                <w:szCs w:val="20"/>
              </w:rPr>
              <w:t xml:space="preserve">Defining how the Intelligence Hub feels alive without becoming noisy</w:t>
            </w:r>
          </w:p>
        </w:tc>
      </w:tr>
    </w:tbl>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A4-A. Types of Live Updates That Matter</w:t>
      </w:r>
    </w:p>
    <w:tbl>
      <w:tblPr>
        <w:tblW w:type="dxa" w:w="9360"/>
        <w:tblBorders>
          <w:top w:val="single" w:color="ECEAE7" w:sz="4"/>
          <w:left w:val="single" w:color="ECEAE7" w:sz="4"/>
          <w:bottom w:val="single" w:color="ECEAE7" w:sz="4"/>
          <w:right w:val="single" w:color="ECEAE7" w:sz="4"/>
          <w:insideH w:val="single" w:color="auto" w:sz="4"/>
          <w:insideV w:val="single" w:color="auto" w:sz="4"/>
        </w:tblBorders>
      </w:tblPr>
      <w:tblGrid>
        <w:gridCol w:w="100"/>
        <w:gridCol w:w="100"/>
      </w:tblGrid>
      <w:tr>
        <w:tc>
          <w:tcPr>
            <w:tcW w:type="dxa" w:w="2600"/>
            <w:tcBorders>
              <w:top w:val="none" w:color="FFFFFF" w:sz="0"/>
              <w:left w:val="none" w:color="FFFFFF" w:sz="0"/>
              <w:bottom w:val="none" w:color="FFFFFF" w:sz="0"/>
              <w:right w:val="none" w:color="FFFFFF" w:sz="0"/>
            </w:tcBorders>
            <w:shd w:fill="0F1923" w:val="solid"/>
            <w:tcMar>
              <w:top w:type="dxa" w:w="100"/>
              <w:left w:type="dxa" w:w="200"/>
              <w:bottom w:type="dxa" w:w="100"/>
              <w:right w:type="dxa" w:w="200"/>
            </w:tcMar>
          </w:tcPr>
          <w:p>
            <w:r>
              <w:rPr>
                <w:rFonts w:ascii="Calibri" w:cs="Calibri" w:eastAsia="Calibri" w:hAnsi="Calibri"/>
                <w:b/>
                <w:bCs/>
                <w:color w:val="FFFFFF"/>
                <w:sz w:val="19"/>
                <w:szCs w:val="19"/>
              </w:rPr>
              <w:t xml:space="preserve">Signal Type</w:t>
            </w:r>
          </w:p>
        </w:tc>
        <w:tc>
          <w:tcPr>
            <w:tcW w:type="dxa" w:w="6760"/>
            <w:tcBorders>
              <w:top w:val="none" w:color="FFFFFF" w:sz="0"/>
              <w:left w:val="none" w:color="FFFFFF" w:sz="0"/>
              <w:bottom w:val="none" w:color="FFFFFF" w:sz="0"/>
              <w:right w:val="none" w:color="FFFFFF" w:sz="0"/>
            </w:tcBorders>
            <w:shd w:fill="1A1F2B" w:val="solid"/>
            <w:tcMar>
              <w:top w:type="dxa" w:w="100"/>
              <w:left w:type="dxa" w:w="200"/>
              <w:bottom w:type="dxa" w:w="100"/>
              <w:right w:type="dxa" w:w="200"/>
            </w:tcMar>
          </w:tcPr>
          <w:p>
            <w:r>
              <w:rPr>
                <w:rFonts w:ascii="Calibri" w:cs="Calibri" w:eastAsia="Calibri" w:hAnsi="Calibri"/>
                <w:b/>
                <w:bCs/>
                <w:color w:val="FFFFFF"/>
                <w:sz w:val="19"/>
                <w:szCs w:val="19"/>
              </w:rPr>
              <w:t xml:space="preserve">Description</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Category movement</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Which product categories are growing or declining in volume across operator cohorts.</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Benchmark shifts</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Changes in peer-group order velocity, spend concentration, or brand loyalty patterns.</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Brand velocity signals</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Brands gaining traction — faster adoption rates, higher reorder frequency, new vertical penetration.</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Price movement alerts</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Upcoming or recent pricing changes from brands in active operator catalogs.</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New access events</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New brands, new operators, new verticals entering the platform ecosystem.</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Recommendation updates</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Personalized signals that shift based on platform behavior and peer activity.</w:t>
            </w:r>
          </w:p>
        </w:tc>
      </w:tr>
    </w:tbl>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A4-B. What Should Look Dynamic on Public Pages</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A "Market Pulse" panel or ticker visible on the homepage showing real or seeded category movement data.</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Rotating signal cards showing benchmark highlights (e.g., "Medspa injectables spend up 18% this quarter").</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A hub preview panel with timestamped intelligence snippets ("Updated 4 hours ago").</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Operator count with geographic or vertical breakdown that implies activity.</w:t>
      </w:r>
    </w:p>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A4-C. What Should Look Dynamic Inside the Hub</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Trend velocity chart with recent movement arrow and date-stamped update.</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Benchmark bar that shifts on each login based on cohort recalculation.</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Recommendation modules that update based on platform behavior and peer signals.</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Category pulse panel showing relative category momentum.</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Alert badge system — subtle, count-based, low noise.</w:t>
      </w:r>
    </w:p>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A4-D. Visual Patterns That Create Magnetism</w:t>
      </w:r>
    </w:p>
    <w:tbl>
      <w:tblPr>
        <w:tblW w:type="dxa" w:w="9360"/>
        <w:tblBorders>
          <w:top w:val="single" w:color="ECEAE7" w:sz="4"/>
          <w:left w:val="single" w:color="ECEAE7" w:sz="4"/>
          <w:bottom w:val="single" w:color="ECEAE7" w:sz="4"/>
          <w:right w:val="single" w:color="ECEAE7" w:sz="4"/>
          <w:insideH w:val="single" w:color="auto" w:sz="4"/>
          <w:insideV w:val="single" w:color="auto" w:sz="4"/>
        </w:tblBorders>
      </w:tblPr>
      <w:tblGrid>
        <w:gridCol w:w="100"/>
        <w:gridCol w:w="100"/>
      </w:tblGrid>
      <w:tr>
        <w:tc>
          <w:tcPr>
            <w:tcW w:type="dxa" w:w="2600"/>
            <w:tcBorders>
              <w:top w:val="none" w:color="FFFFFF" w:sz="0"/>
              <w:left w:val="none" w:color="FFFFFF" w:sz="0"/>
              <w:bottom w:val="none" w:color="FFFFFF" w:sz="0"/>
              <w:right w:val="none" w:color="FFFFFF" w:sz="0"/>
            </w:tcBorders>
            <w:shd w:fill="0F1923" w:val="solid"/>
            <w:tcMar>
              <w:top w:type="dxa" w:w="100"/>
              <w:left w:type="dxa" w:w="200"/>
              <w:bottom w:type="dxa" w:w="100"/>
              <w:right w:type="dxa" w:w="200"/>
            </w:tcMar>
          </w:tcPr>
          <w:p>
            <w:r>
              <w:rPr>
                <w:rFonts w:ascii="Calibri" w:cs="Calibri" w:eastAsia="Calibri" w:hAnsi="Calibri"/>
                <w:b/>
                <w:bCs/>
                <w:color w:val="FFFFFF"/>
                <w:sz w:val="19"/>
                <w:szCs w:val="19"/>
              </w:rPr>
              <w:t xml:space="preserve">Pattern</w:t>
            </w:r>
          </w:p>
        </w:tc>
        <w:tc>
          <w:tcPr>
            <w:tcW w:type="dxa" w:w="6760"/>
            <w:tcBorders>
              <w:top w:val="none" w:color="FFFFFF" w:sz="0"/>
              <w:left w:val="none" w:color="FFFFFF" w:sz="0"/>
              <w:bottom w:val="none" w:color="FFFFFF" w:sz="0"/>
              <w:right w:val="none" w:color="FFFFFF" w:sz="0"/>
            </w:tcBorders>
            <w:shd w:fill="1A1F2B" w:val="solid"/>
            <w:tcMar>
              <w:top w:type="dxa" w:w="100"/>
              <w:left w:type="dxa" w:w="200"/>
              <w:bottom w:type="dxa" w:w="100"/>
              <w:right w:type="dxa" w:w="200"/>
            </w:tcMar>
          </w:tcPr>
          <w:p>
            <w:r>
              <w:rPr>
                <w:rFonts w:ascii="Calibri" w:cs="Calibri" w:eastAsia="Calibri" w:hAnsi="Calibri"/>
                <w:b/>
                <w:bCs/>
                <w:color w:val="FFFFFF"/>
                <w:sz w:val="19"/>
                <w:szCs w:val="19"/>
              </w:rPr>
              <w:t xml:space="preserve">Mechanism</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Restrained counter animation</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Numbers that increment on load create a sense of live data without explicit movement.</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Data freshness label</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"Updated 2 hours ago" or "Refreshed this morning" creates temporal currency.</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Movement arrow indicators</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Small directional cues (up/down) on trend signals communicate change at a glance.</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Timestamp-based recency</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Showing when data was last updated makes static content feel dynamic.</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Pulse indicator dot</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A small animated dot on live-data modules signals active updating without animation overload.</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Tier-based comparison bars</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Horizontal benchmark bars with peer reference line create visual tension and pull.</w:t>
            </w:r>
          </w:p>
        </w:tc>
      </w:tr>
    </w:tbl>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A4-E. What Should Stay Restrained</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Color palette — no flashing accent colors or high-saturation alert states.</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Notifications — no badge spam, no push-notification patterns.</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Data density — hub should never overwhelm with simultaneous competing signals.</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Animation frequency — movement should feel purposeful, not ambient.</w:t>
      </w:r>
    </w:p>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A4-F. What Should Never Become Noisy</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Alert system — every alert should be substantive and infrequent. Alert fatigue kills trust.</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Comparison widgets — one peer comparison per view, not five.</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Social proof — no scrolling logo strips or testimonial carousels in intelligence surfaces.</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Automated recommendations — one primary recommendation per session, not a grid.</w:t>
      </w:r>
    </w:p>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A4-G. Module Ideas</w:t>
      </w:r>
    </w:p>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300"/>
            <w:tcBorders>
              <w:top w:val="none" w:color="FFFFFF" w:sz="0"/>
              <w:left w:val="none" w:color="FFFFFF" w:sz="0"/>
              <w:bottom w:val="none" w:color="FFFFFF" w:sz="0"/>
              <w:right w:val="none" w:color="FFFFFF" w:sz="0"/>
            </w:tcBorders>
            <w:shd w:fill="1A3A6E" w:val="solid"/>
            <w:tcMar>
              <w:top w:type="dxa" w:w="140"/>
              <w:left w:type="dxa" w:w="120"/>
              <w:bottom w:type="dxa" w:w="140"/>
              <w:right w:type="dxa" w:w="120"/>
            </w:tcMar>
          </w:tcPr>
          <w:p>
            <w:pPr>
              <w:jc w:val="center"/>
            </w:pPr>
            <w:r>
              <w:rPr>
                <w:rFonts w:ascii="Calibri" w:cs="Calibri" w:eastAsia="Calibri" w:hAnsi="Calibri"/>
                <w:b/>
                <w:bCs/>
                <w:color w:val="FFFFFF"/>
                <w:sz w:val="14"/>
                <w:szCs w:val="14"/>
              </w:rPr>
              <w:t xml:space="preserve">SIGNAL</w:t>
            </w:r>
          </w:p>
        </w:tc>
        <w:tc>
          <w:tcPr>
            <w:tcW w:type="dxa" w:w="9060"/>
            <w:tcBorders>
              <w:top w:val="none" w:color="FFFFFF" w:sz="0"/>
              <w:left w:val="none" w:color="FFFFFF" w:sz="0"/>
              <w:bottom w:val="single" w:color="ECEAE7" w:sz="4"/>
              <w:right w:val="none" w:color="FFFFFF" w:sz="0"/>
            </w:tcBorders>
            <w:shd w:fill="F5F4F2" w:val="solid"/>
            <w:tcMar>
              <w:top w:type="dxa" w:w="140"/>
              <w:left w:type="dxa" w:w="240"/>
              <w:bottom w:type="dxa" w:w="140"/>
              <w:right w:type="dxa" w:w="240"/>
            </w:tcMar>
          </w:tcPr>
          <w:p>
            <w:pPr>
              <w:spacing w:after="40" w:before="0"/>
            </w:pPr>
            <w:r>
              <w:rPr>
                <w:rFonts w:ascii="Calibri" w:cs="Calibri" w:eastAsia="Calibri" w:hAnsi="Calibri"/>
                <w:b/>
                <w:bCs/>
                <w:color w:val="181614"/>
                <w:sz w:val="22"/>
                <w:szCs w:val="22"/>
              </w:rPr>
              <w:t xml:space="preserve">Trend Velocity Card</w:t>
            </w:r>
          </w:p>
          <w:p>
            <w:r>
              <w:rPr>
                <w:rFonts w:ascii="Calibri" w:cs="Calibri" w:eastAsia="Calibri" w:hAnsi="Calibri"/>
                <w:color w:val="6B7280"/>
                <w:sz w:val="20"/>
                <w:szCs w:val="20"/>
              </w:rPr>
              <w:t xml:space="preserve">Shows category momentum over a rolling 30/60/90-day window with directional indicator and peer context.</w:t>
            </w:r>
          </w:p>
        </w:tc>
      </w:tr>
    </w:tbl>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300"/>
            <w:tcBorders>
              <w:top w:val="none" w:color="FFFFFF" w:sz="0"/>
              <w:left w:val="none" w:color="FFFFFF" w:sz="0"/>
              <w:bottom w:val="none" w:color="FFFFFF" w:sz="0"/>
              <w:right w:val="none" w:color="FFFFFF" w:sz="0"/>
            </w:tcBorders>
            <w:shd w:fill="3E4C5E" w:val="solid"/>
            <w:tcMar>
              <w:top w:type="dxa" w:w="140"/>
              <w:left w:type="dxa" w:w="120"/>
              <w:bottom w:type="dxa" w:w="140"/>
              <w:right w:type="dxa" w:w="120"/>
            </w:tcMar>
          </w:tcPr>
          <w:p>
            <w:pPr>
              <w:jc w:val="center"/>
            </w:pPr>
            <w:r>
              <w:rPr>
                <w:rFonts w:ascii="Calibri" w:cs="Calibri" w:eastAsia="Calibri" w:hAnsi="Calibri"/>
                <w:b/>
                <w:bCs/>
                <w:color w:val="FFFFFF"/>
                <w:sz w:val="14"/>
                <w:szCs w:val="14"/>
              </w:rPr>
              <w:t xml:space="preserve">BENCH</w:t>
            </w:r>
          </w:p>
        </w:tc>
        <w:tc>
          <w:tcPr>
            <w:tcW w:type="dxa" w:w="9060"/>
            <w:tcBorders>
              <w:top w:val="none" w:color="FFFFFF" w:sz="0"/>
              <w:left w:val="none" w:color="FFFFFF" w:sz="0"/>
              <w:bottom w:val="single" w:color="ECEAE7" w:sz="4"/>
              <w:right w:val="none" w:color="FFFFFF" w:sz="0"/>
            </w:tcBorders>
            <w:shd w:fill="F5F4F2" w:val="solid"/>
            <w:tcMar>
              <w:top w:type="dxa" w:w="140"/>
              <w:left w:type="dxa" w:w="240"/>
              <w:bottom w:type="dxa" w:w="140"/>
              <w:right w:type="dxa" w:w="240"/>
            </w:tcMar>
          </w:tcPr>
          <w:p>
            <w:pPr>
              <w:spacing w:after="40" w:before="0"/>
            </w:pPr>
            <w:r>
              <w:rPr>
                <w:rFonts w:ascii="Calibri" w:cs="Calibri" w:eastAsia="Calibri" w:hAnsi="Calibri"/>
                <w:b/>
                <w:bCs/>
                <w:color w:val="181614"/>
                <w:sz w:val="22"/>
                <w:szCs w:val="22"/>
              </w:rPr>
              <w:t xml:space="preserve">Benchmark Movement Bar</w:t>
            </w:r>
          </w:p>
          <w:p>
            <w:r>
              <w:rPr>
                <w:rFonts w:ascii="Calibri" w:cs="Calibri" w:eastAsia="Calibri" w:hAnsi="Calibri"/>
                <w:color w:val="6B7280"/>
                <w:sz w:val="20"/>
                <w:szCs w:val="20"/>
              </w:rPr>
              <w:t xml:space="preserve">Horizontal bar showing operator performance vs cohort, updating on each login.</w:t>
            </w:r>
          </w:p>
        </w:tc>
      </w:tr>
    </w:tbl>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300"/>
            <w:tcBorders>
              <w:top w:val="none" w:color="FFFFFF" w:sz="0"/>
              <w:left w:val="none" w:color="FFFFFF" w:sz="0"/>
              <w:bottom w:val="none" w:color="FFFFFF" w:sz="0"/>
              <w:right w:val="none" w:color="FFFFFF" w:sz="0"/>
            </w:tcBorders>
            <w:shd w:fill="1A1F2B" w:val="solid"/>
            <w:tcMar>
              <w:top w:type="dxa" w:w="140"/>
              <w:left w:type="dxa" w:w="120"/>
              <w:bottom w:type="dxa" w:w="140"/>
              <w:right w:type="dxa" w:w="120"/>
            </w:tcMar>
          </w:tcPr>
          <w:p>
            <w:pPr>
              <w:jc w:val="center"/>
            </w:pPr>
            <w:r>
              <w:rPr>
                <w:rFonts w:ascii="Calibri" w:cs="Calibri" w:eastAsia="Calibri" w:hAnsi="Calibri"/>
                <w:b/>
                <w:bCs/>
                <w:color w:val="FFFFFF"/>
                <w:sz w:val="14"/>
                <w:szCs w:val="14"/>
              </w:rPr>
              <w:t xml:space="preserve">PULSE</w:t>
            </w:r>
          </w:p>
        </w:tc>
        <w:tc>
          <w:tcPr>
            <w:tcW w:type="dxa" w:w="9060"/>
            <w:tcBorders>
              <w:top w:val="none" w:color="FFFFFF" w:sz="0"/>
              <w:left w:val="none" w:color="FFFFFF" w:sz="0"/>
              <w:bottom w:val="single" w:color="ECEAE7" w:sz="4"/>
              <w:right w:val="none" w:color="FFFFFF" w:sz="0"/>
            </w:tcBorders>
            <w:shd w:fill="F5F4F2" w:val="solid"/>
            <w:tcMar>
              <w:top w:type="dxa" w:w="140"/>
              <w:left w:type="dxa" w:w="240"/>
              <w:bottom w:type="dxa" w:w="140"/>
              <w:right w:type="dxa" w:w="240"/>
            </w:tcMar>
          </w:tcPr>
          <w:p>
            <w:pPr>
              <w:spacing w:after="40" w:before="0"/>
            </w:pPr>
            <w:r>
              <w:rPr>
                <w:rFonts w:ascii="Calibri" w:cs="Calibri" w:eastAsia="Calibri" w:hAnsi="Calibri"/>
                <w:b/>
                <w:bCs/>
                <w:color w:val="181614"/>
                <w:sz w:val="22"/>
                <w:szCs w:val="22"/>
              </w:rPr>
              <w:t xml:space="preserve">Category Pulse</w:t>
            </w:r>
          </w:p>
          <w:p>
            <w:r>
              <w:rPr>
                <w:rFonts w:ascii="Calibri" w:cs="Calibri" w:eastAsia="Calibri" w:hAnsi="Calibri"/>
                <w:color w:val="6B7280"/>
                <w:sz w:val="20"/>
                <w:szCs w:val="20"/>
              </w:rPr>
              <w:t xml:space="preserve">Visual wheel or arc showing relative category activity — not raw numbers, but proportional momentum.</w:t>
            </w:r>
          </w:p>
        </w:tc>
      </w:tr>
    </w:tbl>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300"/>
            <w:tcBorders>
              <w:top w:val="none" w:color="FFFFFF" w:sz="0"/>
              <w:left w:val="none" w:color="FFFFFF" w:sz="0"/>
              <w:bottom w:val="none" w:color="FFFFFF" w:sz="0"/>
              <w:right w:val="none" w:color="FFFFFF" w:sz="0"/>
            </w:tcBorders>
            <w:shd w:fill="2E4A7A" w:val="solid"/>
            <w:tcMar>
              <w:top w:type="dxa" w:w="140"/>
              <w:left w:type="dxa" w:w="120"/>
              <w:bottom w:type="dxa" w:w="140"/>
              <w:right w:type="dxa" w:w="120"/>
            </w:tcMar>
          </w:tcPr>
          <w:p>
            <w:pPr>
              <w:jc w:val="center"/>
            </w:pPr>
            <w:r>
              <w:rPr>
                <w:rFonts w:ascii="Calibri" w:cs="Calibri" w:eastAsia="Calibri" w:hAnsi="Calibri"/>
                <w:b/>
                <w:bCs/>
                <w:color w:val="FFFFFF"/>
                <w:sz w:val="14"/>
                <w:szCs w:val="14"/>
              </w:rPr>
              <w:t xml:space="preserve">PEER</w:t>
            </w:r>
          </w:p>
        </w:tc>
        <w:tc>
          <w:tcPr>
            <w:tcW w:type="dxa" w:w="9060"/>
            <w:tcBorders>
              <w:top w:val="none" w:color="FFFFFF" w:sz="0"/>
              <w:left w:val="none" w:color="FFFFFF" w:sz="0"/>
              <w:bottom w:val="single" w:color="ECEAE7" w:sz="4"/>
              <w:right w:val="none" w:color="FFFFFF" w:sz="0"/>
            </w:tcBorders>
            <w:shd w:fill="F5F4F2" w:val="solid"/>
            <w:tcMar>
              <w:top w:type="dxa" w:w="140"/>
              <w:left w:type="dxa" w:w="240"/>
              <w:bottom w:type="dxa" w:w="140"/>
              <w:right w:type="dxa" w:w="240"/>
            </w:tcMar>
          </w:tcPr>
          <w:p>
            <w:pPr>
              <w:spacing w:after="40" w:before="0"/>
            </w:pPr>
            <w:r>
              <w:rPr>
                <w:rFonts w:ascii="Calibri" w:cs="Calibri" w:eastAsia="Calibri" w:hAnsi="Calibri"/>
                <w:b/>
                <w:bCs/>
                <w:color w:val="181614"/>
                <w:sz w:val="22"/>
                <w:szCs w:val="22"/>
              </w:rPr>
              <w:t xml:space="preserve">Operator Comparison Tier Card</w:t>
            </w:r>
          </w:p>
          <w:p>
            <w:r>
              <w:rPr>
                <w:rFonts w:ascii="Calibri" w:cs="Calibri" w:eastAsia="Calibri" w:hAnsi="Calibri"/>
                <w:color w:val="6B7280"/>
                <w:sz w:val="20"/>
                <w:szCs w:val="20"/>
              </w:rPr>
              <w:t xml:space="preserve">Peer percentile placement with brief context — top X% in your vertical, based on Y metric.</w:t>
            </w:r>
          </w:p>
        </w:tc>
      </w:tr>
    </w:tbl>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300"/>
            <w:tcBorders>
              <w:top w:val="none" w:color="FFFFFF" w:sz="0"/>
              <w:left w:val="none" w:color="FFFFFF" w:sz="0"/>
              <w:bottom w:val="none" w:color="FFFFFF" w:sz="0"/>
              <w:right w:val="none" w:color="FFFFFF" w:sz="0"/>
            </w:tcBorders>
            <w:shd w:fill="1A3A6E" w:val="solid"/>
            <w:tcMar>
              <w:top w:type="dxa" w:w="140"/>
              <w:left w:type="dxa" w:w="120"/>
              <w:bottom w:type="dxa" w:w="140"/>
              <w:right w:type="dxa" w:w="120"/>
            </w:tcMar>
          </w:tcPr>
          <w:p>
            <w:pPr>
              <w:jc w:val="center"/>
            </w:pPr>
            <w:r>
              <w:rPr>
                <w:rFonts w:ascii="Calibri" w:cs="Calibri" w:eastAsia="Calibri" w:hAnsi="Calibri"/>
                <w:b/>
                <w:bCs/>
                <w:color w:val="FFFFFF"/>
                <w:sz w:val="14"/>
                <w:szCs w:val="14"/>
              </w:rPr>
              <w:t xml:space="preserve">REC</w:t>
            </w:r>
          </w:p>
        </w:tc>
        <w:tc>
          <w:tcPr>
            <w:tcW w:type="dxa" w:w="9060"/>
            <w:tcBorders>
              <w:top w:val="none" w:color="FFFFFF" w:sz="0"/>
              <w:left w:val="none" w:color="FFFFFF" w:sz="0"/>
              <w:bottom w:val="single" w:color="ECEAE7" w:sz="4"/>
              <w:right w:val="none" w:color="FFFFFF" w:sz="0"/>
            </w:tcBorders>
            <w:shd w:fill="F5F4F2" w:val="solid"/>
            <w:tcMar>
              <w:top w:type="dxa" w:w="140"/>
              <w:left w:type="dxa" w:w="240"/>
              <w:bottom w:type="dxa" w:w="140"/>
              <w:right w:type="dxa" w:w="240"/>
            </w:tcMar>
          </w:tcPr>
          <w:p>
            <w:pPr>
              <w:spacing w:after="40" w:before="0"/>
            </w:pPr>
            <w:r>
              <w:rPr>
                <w:rFonts w:ascii="Calibri" w:cs="Calibri" w:eastAsia="Calibri" w:hAnsi="Calibri"/>
                <w:b/>
                <w:bCs/>
                <w:color w:val="181614"/>
                <w:sz w:val="22"/>
                <w:szCs w:val="22"/>
              </w:rPr>
              <w:t xml:space="preserve">SKU Recommendation Panel</w:t>
            </w:r>
          </w:p>
          <w:p>
            <w:r>
              <w:rPr>
                <w:rFonts w:ascii="Calibri" w:cs="Calibri" w:eastAsia="Calibri" w:hAnsi="Calibri"/>
                <w:color w:val="6B7280"/>
                <w:sz w:val="20"/>
                <w:szCs w:val="20"/>
              </w:rPr>
              <w:t xml:space="preserve">One primary recommendation based on cohort behavior and operator profile. Not a grid — a single confident suggestion.</w:t>
            </w:r>
          </w:p>
        </w:tc>
      </w:tr>
    </w:tbl>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300"/>
            <w:tcBorders>
              <w:top w:val="none" w:color="FFFFFF" w:sz="0"/>
              <w:left w:val="none" w:color="FFFFFF" w:sz="0"/>
              <w:bottom w:val="none" w:color="FFFFFF" w:sz="0"/>
              <w:right w:val="none" w:color="FFFFFF" w:sz="0"/>
            </w:tcBorders>
            <w:shd w:fill="92400E" w:val="solid"/>
            <w:tcMar>
              <w:top w:type="dxa" w:w="140"/>
              <w:left w:type="dxa" w:w="120"/>
              <w:bottom w:type="dxa" w:w="140"/>
              <w:right w:type="dxa" w:w="120"/>
            </w:tcMar>
          </w:tcPr>
          <w:p>
            <w:pPr>
              <w:jc w:val="center"/>
            </w:pPr>
            <w:r>
              <w:rPr>
                <w:rFonts w:ascii="Calibri" w:cs="Calibri" w:eastAsia="Calibri" w:hAnsi="Calibri"/>
                <w:b/>
                <w:bCs/>
                <w:color w:val="FFFFFF"/>
                <w:sz w:val="14"/>
                <w:szCs w:val="14"/>
              </w:rPr>
              <w:t xml:space="preserve">ALERT</w:t>
            </w:r>
          </w:p>
        </w:tc>
        <w:tc>
          <w:tcPr>
            <w:tcW w:type="dxa" w:w="9060"/>
            <w:tcBorders>
              <w:top w:val="none" w:color="FFFFFF" w:sz="0"/>
              <w:left w:val="none" w:color="FFFFFF" w:sz="0"/>
              <w:bottom w:val="single" w:color="ECEAE7" w:sz="4"/>
              <w:right w:val="none" w:color="FFFFFF" w:sz="0"/>
            </w:tcBorders>
            <w:shd w:fill="F5F4F2" w:val="solid"/>
            <w:tcMar>
              <w:top w:type="dxa" w:w="140"/>
              <w:left w:type="dxa" w:w="240"/>
              <w:bottom w:type="dxa" w:w="140"/>
              <w:right w:type="dxa" w:w="240"/>
            </w:tcMar>
          </w:tcPr>
          <w:p>
            <w:pPr>
              <w:spacing w:after="40" w:before="0"/>
            </w:pPr>
            <w:r>
              <w:rPr>
                <w:rFonts w:ascii="Calibri" w:cs="Calibri" w:eastAsia="Calibri" w:hAnsi="Calibri"/>
                <w:b/>
                <w:bCs/>
                <w:color w:val="181614"/>
                <w:sz w:val="22"/>
                <w:szCs w:val="22"/>
              </w:rPr>
              <w:t xml:space="preserve">Price Alert Badge</w:t>
            </w:r>
          </w:p>
          <w:p>
            <w:r>
              <w:rPr>
                <w:rFonts w:ascii="Calibri" w:cs="Calibri" w:eastAsia="Calibri" w:hAnsi="Calibri"/>
                <w:color w:val="6B7280"/>
                <w:sz w:val="20"/>
                <w:szCs w:val="20"/>
              </w:rPr>
              <w:t xml:space="preserve">Compact alert on brand cards showing pricing movement status. Visible but not intrusive.</w:t>
            </w:r>
          </w:p>
        </w:tc>
      </w:tr>
    </w:tbl>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A4-H. Visual Hierarchy Rules for Live Intelligence Surfaces</w:t>
      </w:r>
    </w:p>
    <w:tbl>
      <w:tblPr>
        <w:tblW w:type="dxa" w:w="9360"/>
        <w:tblBorders>
          <w:top w:val="single" w:color="ECEAE7" w:sz="4"/>
          <w:left w:val="single" w:color="ECEAE7" w:sz="4"/>
          <w:bottom w:val="single" w:color="ECEAE7" w:sz="4"/>
          <w:right w:val="single" w:color="ECEAE7" w:sz="4"/>
          <w:insideH w:val="single" w:color="auto" w:sz="4"/>
          <w:insideV w:val="single" w:color="auto" w:sz="4"/>
        </w:tblBorders>
      </w:tblPr>
      <w:tblGrid>
        <w:gridCol w:w="100"/>
        <w:gridCol w:w="100"/>
      </w:tblGrid>
      <w:tr>
        <w:tc>
          <w:tcPr>
            <w:tcW w:type="dxa" w:w="2600"/>
            <w:tcBorders>
              <w:top w:val="none" w:color="FFFFFF" w:sz="0"/>
              <w:left w:val="none" w:color="FFFFFF" w:sz="0"/>
              <w:bottom w:val="none" w:color="FFFFFF" w:sz="0"/>
              <w:right w:val="none" w:color="FFFFFF" w:sz="0"/>
            </w:tcBorders>
            <w:shd w:fill="0F1923" w:val="solid"/>
            <w:tcMar>
              <w:top w:type="dxa" w:w="100"/>
              <w:left w:type="dxa" w:w="200"/>
              <w:bottom w:type="dxa" w:w="100"/>
              <w:right w:type="dxa" w:w="200"/>
            </w:tcMar>
          </w:tcPr>
          <w:p>
            <w:r>
              <w:rPr>
                <w:rFonts w:ascii="Calibri" w:cs="Calibri" w:eastAsia="Calibri" w:hAnsi="Calibri"/>
                <w:b/>
                <w:bCs/>
                <w:color w:val="FFFFFF"/>
                <w:sz w:val="19"/>
                <w:szCs w:val="19"/>
              </w:rPr>
              <w:t xml:space="preserve">Hierarchy Level</w:t>
            </w:r>
          </w:p>
        </w:tc>
        <w:tc>
          <w:tcPr>
            <w:tcW w:type="dxa" w:w="6760"/>
            <w:tcBorders>
              <w:top w:val="none" w:color="FFFFFF" w:sz="0"/>
              <w:left w:val="none" w:color="FFFFFF" w:sz="0"/>
              <w:bottom w:val="none" w:color="FFFFFF" w:sz="0"/>
              <w:right w:val="none" w:color="FFFFFF" w:sz="0"/>
            </w:tcBorders>
            <w:shd w:fill="1A1F2B" w:val="solid"/>
            <w:tcMar>
              <w:top w:type="dxa" w:w="100"/>
              <w:left w:type="dxa" w:w="200"/>
              <w:bottom w:type="dxa" w:w="100"/>
              <w:right w:type="dxa" w:w="200"/>
            </w:tcMar>
          </w:tcPr>
          <w:p>
            <w:r>
              <w:rPr>
                <w:rFonts w:ascii="Calibri" w:cs="Calibri" w:eastAsia="Calibri" w:hAnsi="Calibri"/>
                <w:b/>
                <w:bCs/>
                <w:color w:val="FFFFFF"/>
                <w:sz w:val="19"/>
                <w:szCs w:val="19"/>
              </w:rPr>
              <w:t xml:space="preserve">Content and Design Role</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Level 1: Signal</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What is moving right now. Highest contrast, most prominent position, fewest words.</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Level 2: Context</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What the signal means for this operator. Secondary prominence, brief annotation.</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Level 3: Action</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What to do in response. CTA appears after context is established, not before.</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Level 4: Supporting data</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Trend charts, peer comparisons, historical context. Available but not primary.</w:t>
            </w:r>
          </w:p>
        </w:tc>
      </w:tr>
    </w:tbl>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A4-I. How to Feel Alive While Staying Premium</w:t>
      </w:r>
    </w:p>
    <w:p>
      <w:pPr>
        <w:spacing w:after="100" w:before="60"/>
      </w:pPr>
      <w:r>
        <w:rPr>
          <w:rFonts w:ascii="Calibri" w:cs="Calibri" w:eastAsia="Calibri" w:hAnsi="Calibri"/>
          <w:i w:val="false"/>
          <w:iCs w:val="false"/>
          <w:color w:val="181614"/>
          <w:sz w:val="22"/>
          <w:szCs w:val="22"/>
        </w:rPr>
        <w:t xml:space="preserve">The tension between "alive" and "premium" resolves through specificity of motion and restraint of color. Premium intelligence environments feel current without feeling busy.</w:t>
      </w:r>
    </w:p>
    <w:p>
      <w:pPr>
        <w:spacing w:after="0" w:before="60"/>
      </w:pPr>
      <w:r>
        <w:t xml:space="preserve"/>
      </w:r>
    </w:p>
    <w:tbl>
      <w:tblPr>
        <w:tblW w:type="dxa" w:w="9360"/>
        <w:tblBorders>
          <w:top w:val="single" w:color="ECEAE7" w:sz="4"/>
          <w:left w:val="single" w:color="ECEAE7" w:sz="4"/>
          <w:bottom w:val="single" w:color="ECEAE7" w:sz="4"/>
          <w:right w:val="single" w:color="ECEAE7" w:sz="4"/>
          <w:insideH w:val="single" w:color="auto" w:sz="4"/>
          <w:insideV w:val="single" w:color="auto" w:sz="4"/>
        </w:tblBorders>
      </w:tblPr>
      <w:tblGrid>
        <w:gridCol w:w="100"/>
        <w:gridCol w:w="100"/>
      </w:tblGrid>
      <w:tr>
        <w:tc>
          <w:tcPr>
            <w:tcW w:type="dxa" w:w="2600"/>
            <w:tcBorders>
              <w:top w:val="none" w:color="FFFFFF" w:sz="0"/>
              <w:left w:val="none" w:color="FFFFFF" w:sz="0"/>
              <w:bottom w:val="none" w:color="FFFFFF" w:sz="0"/>
              <w:right w:val="none" w:color="FFFFFF" w:sz="0"/>
            </w:tcBorders>
            <w:shd w:fill="0F1923" w:val="solid"/>
            <w:tcMar>
              <w:top w:type="dxa" w:w="100"/>
              <w:left w:type="dxa" w:w="200"/>
              <w:bottom w:type="dxa" w:w="100"/>
              <w:right w:type="dxa" w:w="200"/>
            </w:tcMar>
          </w:tcPr>
          <w:p>
            <w:r>
              <w:rPr>
                <w:rFonts w:ascii="Calibri" w:cs="Calibri" w:eastAsia="Calibri" w:hAnsi="Calibri"/>
                <w:b/>
                <w:bCs/>
                <w:color w:val="FFFFFF"/>
                <w:sz w:val="19"/>
                <w:szCs w:val="19"/>
              </w:rPr>
              <w:t xml:space="preserve">Principle</w:t>
            </w:r>
          </w:p>
        </w:tc>
        <w:tc>
          <w:tcPr>
            <w:tcW w:type="dxa" w:w="6760"/>
            <w:tcBorders>
              <w:top w:val="none" w:color="FFFFFF" w:sz="0"/>
              <w:left w:val="none" w:color="FFFFFF" w:sz="0"/>
              <w:bottom w:val="none" w:color="FFFFFF" w:sz="0"/>
              <w:right w:val="none" w:color="FFFFFF" w:sz="0"/>
            </w:tcBorders>
            <w:shd w:fill="1A1F2B" w:val="solid"/>
            <w:tcMar>
              <w:top w:type="dxa" w:w="100"/>
              <w:left w:type="dxa" w:w="200"/>
              <w:bottom w:type="dxa" w:w="100"/>
              <w:right w:type="dxa" w:w="200"/>
            </w:tcMar>
          </w:tcPr>
          <w:p>
            <w:r>
              <w:rPr>
                <w:rFonts w:ascii="Calibri" w:cs="Calibri" w:eastAsia="Calibri" w:hAnsi="Calibri"/>
                <w:b/>
                <w:bCs/>
                <w:color w:val="FFFFFF"/>
                <w:sz w:val="19"/>
                <w:szCs w:val="19"/>
              </w:rPr>
              <w:t xml:space="preserve">Execution</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Use restrained palette</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Deep navy, mineral slate, and near-white. No bright accent colors on live-data modules.</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Use purposeful motion</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Animation serves data comprehension. Counter increments. Bar transitions. No decorative loops.</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Use data freshness labeling</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"Updated 3 hours ago" creates currency without requiring actual real-time infrastructure.</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Use high contrast type</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Bold type on dark surfaces for signals. Standard type on light surfaces for editorial.</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Use spatial breathing room</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Generous spacing prevents intelligence panels from feeling like dashboard clutter.</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Use consistent visual rhythm</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Card size, padding, and spacing should be systematic — intelligence environments reward pattern recognition.</w:t>
            </w:r>
          </w:p>
        </w:tc>
      </w:tr>
    </w:tbl>
    <w:p>
      <w:pPr>
        <w:spacing w:after="0" w:before="6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0F1923" w:val="solid"/>
            <w:tcMar>
              <w:top w:type="dxa" w:w="240"/>
              <w:left w:type="dxa" w:w="280"/>
              <w:bottom w:type="dxa" w:w="240"/>
              <w:right w:type="dxa" w:w="280"/>
            </w:tcMar>
          </w:tcPr>
          <w:p>
            <w:pPr>
              <w:jc w:val="center"/>
            </w:pPr>
            <w:r>
              <w:rPr>
                <w:rFonts w:ascii="Calibri" w:cs="Calibri" w:eastAsia="Calibri" w:hAnsi="Calibri"/>
                <w:b/>
                <w:bCs/>
                <w:color w:val="6B8EBF"/>
                <w:sz w:val="16"/>
                <w:szCs w:val="16"/>
              </w:rPr>
              <w:t xml:space="preserve">AGENT 05</w:t>
            </w:r>
          </w:p>
          <w:p>
            <w:pPr>
              <w:jc w:val="center"/>
            </w:pPr>
            <w:r>
              <w:rPr>
                <w:rFonts w:ascii="Georgia" w:cs="Georgia" w:eastAsia="Georgia" w:hAnsi="Georgia"/>
                <w:b/>
                <w:bCs/>
                <w:color w:val="FFFFFF"/>
                <w:sz w:val="52"/>
                <w:szCs w:val="52"/>
              </w:rPr>
              <w:t xml:space="preserve">05</w:t>
            </w:r>
          </w:p>
        </w:tc>
        <w:tc>
          <w:tcPr>
            <w:tcW w:type="dxa" w:w="7960"/>
            <w:tcBorders>
              <w:top w:val="none" w:color="FFFFFF" w:sz="0"/>
              <w:left w:val="none" w:color="FFFFFF" w:sz="0"/>
              <w:bottom w:val="none" w:color="FFFFFF" w:sz="0"/>
              <w:right w:val="none" w:color="FFFFFF" w:sz="0"/>
            </w:tcBorders>
            <w:shd w:fill="1A1F2B" w:val="solid"/>
            <w:tcMar>
              <w:top w:type="dxa" w:w="240"/>
              <w:left w:type="dxa" w:w="360"/>
              <w:bottom w:type="dxa" w:w="240"/>
              <w:right w:type="dxa" w:w="360"/>
            </w:tcMar>
          </w:tcPr>
          <w:p>
            <w:r>
              <w:rPr>
                <w:rFonts w:ascii="Calibri" w:cs="Calibri" w:eastAsia="Calibri" w:hAnsi="Calibri"/>
                <w:b/>
                <w:bCs/>
                <w:color w:val="6B8EBF"/>
                <w:sz w:val="20"/>
                <w:szCs w:val="20"/>
              </w:rPr>
              <w:t xml:space="preserve">INTELLIGENCE HUB UX MAGNETISM AGENT</w:t>
            </w:r>
          </w:p>
          <w:p>
            <w:pPr>
              <w:spacing w:after="0" w:before="40"/>
            </w:pPr>
            <w:r>
              <w:rPr>
                <w:rFonts w:ascii="Georgia" w:cs="Georgia" w:eastAsia="Georgia" w:hAnsi="Georgia"/>
                <w:b/>
                <w:bCs/>
                <w:color w:val="FFFFFF"/>
                <w:sz w:val="34"/>
                <w:szCs w:val="34"/>
              </w:rPr>
              <w:t xml:space="preserve">Intelligence Hub UX Magnetism Agent</w:t>
            </w:r>
          </w:p>
          <w:p>
            <w:pPr>
              <w:spacing w:after="0" w:before="60"/>
            </w:pPr>
            <w:r>
              <w:rPr>
                <w:rFonts w:ascii="Calibri" w:cs="Calibri" w:eastAsia="Calibri" w:hAnsi="Calibri"/>
                <w:i/>
                <w:iCs/>
                <w:color w:val="AABBD0"/>
                <w:sz w:val="20"/>
                <w:szCs w:val="20"/>
              </w:rPr>
              <w:t xml:space="preserve">Translating "sexy but premium" into a product-experience doctrine</w:t>
            </w:r>
          </w:p>
        </w:tc>
      </w:tr>
    </w:tbl>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A5-A. UX Magnetism Doctrine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20"/>
            <w:tcBorders>
              <w:top w:val="none" w:color="FFFFFF" w:sz="0"/>
              <w:left w:val="none" w:color="FFFFFF" w:sz="0"/>
              <w:bottom w:val="none" w:color="FFFFFF" w:sz="0"/>
              <w:right w:val="none" w:color="FFFFFF" w:sz="0"/>
            </w:tcBorders>
            <w:shd w:fill="0F1923" w:val="solid"/>
          </w:tcPr>
          <w:p>
            <w:r>
              <w:t xml:space="preserve"/>
            </w:r>
          </w:p>
        </w:tc>
        <w:tc>
          <w:tcPr>
            <w:tcW w:type="dxa" w:w="9240"/>
            <w:tcBorders>
              <w:top w:val="none" w:color="FFFFFF" w:sz="0"/>
              <w:left w:val="none" w:color="FFFFFF" w:sz="0"/>
              <w:bottom w:val="none" w:color="FFFFFF" w:sz="0"/>
              <w:right w:val="none" w:color="FFFFFF" w:sz="0"/>
            </w:tcBorders>
            <w:shd w:fill="F5F4F2" w:val="solid"/>
            <w:tcMar>
              <w:top w:type="dxa" w:w="160"/>
              <w:left w:type="dxa" w:w="280"/>
              <w:bottom w:type="dxa" w:w="160"/>
              <w:right w:type="dxa" w:w="280"/>
            </w:tcMar>
          </w:tcPr>
          <w:p>
            <w:pPr>
              <w:spacing w:after="60" w:before="0"/>
            </w:pPr>
            <w:r>
              <w:rPr>
                <w:rFonts w:ascii="Calibri" w:cs="Calibri" w:eastAsia="Calibri" w:hAnsi="Calibri"/>
                <w:b/>
                <w:bCs/>
                <w:color w:val="3E4C5E"/>
                <w:sz w:val="22"/>
                <w:szCs w:val="22"/>
              </w:rPr>
              <w:t xml:space="preserve">The Doctrine</w:t>
            </w:r>
          </w:p>
          <w:p>
            <w:r>
              <w:rPr>
                <w:rFonts w:ascii="Calibri" w:cs="Calibri" w:eastAsia="Calibri" w:hAnsi="Calibri"/>
                <w:color w:val="181614"/>
                <w:sz w:val="21"/>
                <w:szCs w:val="21"/>
              </w:rPr>
              <w:t xml:space="preserve">Clarity creates desire. The Intelligence Hub should feel like a high-end financial intelligence terminal translated into the aesthetic language of premium wellness. Not a dashboard. Not a blog. A command surface for operators who take their businesses seriously.</w:t>
            </w:r>
          </w:p>
        </w:tc>
      </w:tr>
    </w:tbl>
    <w:p>
      <w:pPr>
        <w:spacing w:after="0" w:before="60"/>
      </w:pPr>
      <w:r>
        <w:t xml:space="preserve"/>
      </w:r>
    </w:p>
    <w:p>
      <w:pPr>
        <w:spacing w:after="100" w:before="60"/>
      </w:pPr>
      <w:r>
        <w:rPr>
          <w:rFonts w:ascii="Calibri" w:cs="Calibri" w:eastAsia="Calibri" w:hAnsi="Calibri"/>
          <w:i w:val="false"/>
          <w:iCs w:val="false"/>
          <w:color w:val="181614"/>
          <w:sz w:val="22"/>
          <w:szCs w:val="22"/>
        </w:rPr>
        <w:t xml:space="preserve">UX magnetism in this context is achieved through:</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Confidence in hierarchy — the page tells you where to look and in what order.</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Density without chaos — enough information to feel rich, structured enough to feel readable.</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Purposeful restraint — every element earns its position. Nothing decorative.</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Visible intelligence — the product shows its value before the operator has to search for it.</w:t>
      </w:r>
    </w:p>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A5-B. Public Preview Principles</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Show real signals on public pages, even if seeded. The intelligence must feel authentic.</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Preview the Hub interface — not a mockup, not an illustration, but actual UI with real content.</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One strong signal is more magnetic than six weak ones. Choose the most compelling data point and lead with it.</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Paywalled indicators create desire — "Full benchmark access requires an account" is a hook, not a friction point.</w:t>
      </w:r>
    </w:p>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A5-C. Hub Interior Principles</w:t>
      </w:r>
    </w:p>
    <w:p>
      <w:pPr>
        <w:spacing w:after="100" w:before="60"/>
      </w:pPr>
      <w:r>
        <w:rPr>
          <w:rFonts w:ascii="Calibri" w:cs="Calibri" w:eastAsia="Calibri" w:hAnsi="Calibri"/>
          <w:i w:val="false"/>
          <w:iCs w:val="false"/>
          <w:color w:val="181614"/>
          <w:sz w:val="22"/>
          <w:szCs w:val="22"/>
        </w:rPr>
        <w:t xml:space="preserve">The Hub interior should feel structured in three clear zones:</w:t>
      </w:r>
    </w:p>
    <w:p>
      <w:pPr>
        <w:spacing w:after="0" w:before="60"/>
      </w:pPr>
      <w:r>
        <w:t xml:space="preserve"/>
      </w:r>
    </w:p>
    <w:tbl>
      <w:tblPr>
        <w:tblW w:type="dxa" w:w="9360"/>
        <w:tblBorders>
          <w:top w:val="single" w:color="ECEAE7" w:sz="4"/>
          <w:left w:val="single" w:color="ECEAE7" w:sz="4"/>
          <w:bottom w:val="single" w:color="ECEAE7" w:sz="4"/>
          <w:right w:val="single" w:color="ECEAE7" w:sz="4"/>
          <w:insideH w:val="single" w:color="auto" w:sz="4"/>
          <w:insideV w:val="single" w:color="auto" w:sz="4"/>
        </w:tblBorders>
      </w:tblPr>
      <w:tblGrid>
        <w:gridCol w:w="100"/>
        <w:gridCol w:w="100"/>
      </w:tblGrid>
      <w:tr>
        <w:tc>
          <w:tcPr>
            <w:tcW w:type="dxa" w:w="2600"/>
            <w:tcBorders>
              <w:top w:val="none" w:color="FFFFFF" w:sz="0"/>
              <w:left w:val="none" w:color="FFFFFF" w:sz="0"/>
              <w:bottom w:val="none" w:color="FFFFFF" w:sz="0"/>
              <w:right w:val="none" w:color="FFFFFF" w:sz="0"/>
            </w:tcBorders>
            <w:shd w:fill="0F1923" w:val="solid"/>
            <w:tcMar>
              <w:top w:type="dxa" w:w="100"/>
              <w:left w:type="dxa" w:w="200"/>
              <w:bottom w:type="dxa" w:w="100"/>
              <w:right w:type="dxa" w:w="200"/>
            </w:tcMar>
          </w:tcPr>
          <w:p>
            <w:r>
              <w:rPr>
                <w:rFonts w:ascii="Calibri" w:cs="Calibri" w:eastAsia="Calibri" w:hAnsi="Calibri"/>
                <w:b/>
                <w:bCs/>
                <w:color w:val="FFFFFF"/>
                <w:sz w:val="19"/>
                <w:szCs w:val="19"/>
              </w:rPr>
              <w:t xml:space="preserve">Zone</w:t>
            </w:r>
          </w:p>
        </w:tc>
        <w:tc>
          <w:tcPr>
            <w:tcW w:type="dxa" w:w="6760"/>
            <w:tcBorders>
              <w:top w:val="none" w:color="FFFFFF" w:sz="0"/>
              <w:left w:val="none" w:color="FFFFFF" w:sz="0"/>
              <w:bottom w:val="none" w:color="FFFFFF" w:sz="0"/>
              <w:right w:val="none" w:color="FFFFFF" w:sz="0"/>
            </w:tcBorders>
            <w:shd w:fill="1A1F2B" w:val="solid"/>
            <w:tcMar>
              <w:top w:type="dxa" w:w="100"/>
              <w:left w:type="dxa" w:w="200"/>
              <w:bottom w:type="dxa" w:w="100"/>
              <w:right w:type="dxa" w:w="200"/>
            </w:tcMar>
          </w:tcPr>
          <w:p>
            <w:r>
              <w:rPr>
                <w:rFonts w:ascii="Calibri" w:cs="Calibri" w:eastAsia="Calibri" w:hAnsi="Calibri"/>
                <w:b/>
                <w:bCs/>
                <w:color w:val="FFFFFF"/>
                <w:sz w:val="19"/>
                <w:szCs w:val="19"/>
              </w:rPr>
              <w:t xml:space="preserve">Content and Surface Type</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Zone 1: Intelligence</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Market data, trend signals, category velocity, benchmark panels. Dark surface. High signal density.</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Zone 2: Recommendations</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Operator-specific sourcing intelligence, SKU recommendations, brand performance data. Medium surface.</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Zone 3: Education</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Strategic content, category deep-dives, operator guides. Light editorial surface.</w:t>
            </w:r>
          </w:p>
        </w:tc>
      </w:tr>
    </w:tbl>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A5-D. Card and Panel Hierarchy</w:t>
      </w:r>
    </w:p>
    <w:p>
      <w:pPr>
        <w:spacing w:after="0" w:before="60"/>
      </w:pPr>
      <w:r>
        <w:t xml:space="preserve"/>
      </w:r>
    </w:p>
    <w:tbl>
      <w:tblPr>
        <w:tblW w:type="dxa" w:w="9360"/>
        <w:tblBorders>
          <w:top w:val="single" w:color="ECEAE7" w:sz="4"/>
          <w:left w:val="single" w:color="ECEAE7" w:sz="4"/>
          <w:bottom w:val="single" w:color="ECEAE7" w:sz="4"/>
          <w:right w:val="single" w:color="ECEAE7" w:sz="4"/>
          <w:insideH w:val="single" w:color="auto" w:sz="4"/>
          <w:insideV w:val="single" w:color="auto" w:sz="4"/>
        </w:tblBorders>
      </w:tblPr>
      <w:tblGrid>
        <w:gridCol w:w="100"/>
        <w:gridCol w:w="100"/>
      </w:tblGrid>
      <w:tr>
        <w:tc>
          <w:tcPr>
            <w:tcW w:type="dxa" w:w="2600"/>
            <w:tcBorders>
              <w:top w:val="none" w:color="FFFFFF" w:sz="0"/>
              <w:left w:val="none" w:color="FFFFFF" w:sz="0"/>
              <w:bottom w:val="none" w:color="FFFFFF" w:sz="0"/>
              <w:right w:val="none" w:color="FFFFFF" w:sz="0"/>
            </w:tcBorders>
            <w:shd w:fill="0F1923" w:val="solid"/>
            <w:tcMar>
              <w:top w:type="dxa" w:w="100"/>
              <w:left w:type="dxa" w:w="200"/>
              <w:bottom w:type="dxa" w:w="100"/>
              <w:right w:type="dxa" w:w="200"/>
            </w:tcMar>
          </w:tcPr>
          <w:p>
            <w:r>
              <w:rPr>
                <w:rFonts w:ascii="Calibri" w:cs="Calibri" w:eastAsia="Calibri" w:hAnsi="Calibri"/>
                <w:b/>
                <w:bCs/>
                <w:color w:val="FFFFFF"/>
                <w:sz w:val="19"/>
                <w:szCs w:val="19"/>
              </w:rPr>
              <w:t xml:space="preserve">Card Type</w:t>
            </w:r>
          </w:p>
        </w:tc>
        <w:tc>
          <w:tcPr>
            <w:tcW w:type="dxa" w:w="6760"/>
            <w:tcBorders>
              <w:top w:val="none" w:color="FFFFFF" w:sz="0"/>
              <w:left w:val="none" w:color="FFFFFF" w:sz="0"/>
              <w:bottom w:val="none" w:color="FFFFFF" w:sz="0"/>
              <w:right w:val="none" w:color="FFFFFF" w:sz="0"/>
            </w:tcBorders>
            <w:shd w:fill="1A1F2B" w:val="solid"/>
            <w:tcMar>
              <w:top w:type="dxa" w:w="100"/>
              <w:left w:type="dxa" w:w="200"/>
              <w:bottom w:type="dxa" w:w="100"/>
              <w:right w:type="dxa" w:w="200"/>
            </w:tcMar>
          </w:tcPr>
          <w:p>
            <w:r>
              <w:rPr>
                <w:rFonts w:ascii="Calibri" w:cs="Calibri" w:eastAsia="Calibri" w:hAnsi="Calibri"/>
                <w:b/>
                <w:bCs/>
                <w:color w:val="FFFFFF"/>
                <w:sz w:val="19"/>
                <w:szCs w:val="19"/>
              </w:rPr>
              <w:t xml:space="preserve">Design Spec</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Signal Card (highest)</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Dark background. White type. Live indicator dot. One primary metric, one directional cue. Maximum attention.</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Benchmark Card (medium)</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Light background. Comparison bar. Peer reference line. Operator position highlighted. Data-rich but readable.</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Recommendation Card (medium)</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Light background. Brand image. Brief rationale. Single CTA. Clean and decisive.</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Content Card (standard)</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White background. Editorial type. Category label. Date. Standard hierarchy. No live indicators.</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Alert Badge (supplemental)</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Amber or navy chip. Compact. Count-based. Never full-card. Supplemental to primary hierarchy.</w:t>
            </w:r>
          </w:p>
        </w:tc>
      </w:tr>
    </w:tbl>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A5-E. Motion and Refresh Behavior</w:t>
      </w:r>
    </w:p>
    <w:tbl>
      <w:tblPr>
        <w:tblW w:type="dxa" w:w="9360"/>
        <w:tblBorders>
          <w:top w:val="single" w:color="ECEAE7" w:sz="4"/>
          <w:left w:val="single" w:color="ECEAE7" w:sz="4"/>
          <w:bottom w:val="single" w:color="ECEAE7" w:sz="4"/>
          <w:right w:val="single" w:color="ECEAE7" w:sz="4"/>
          <w:insideH w:val="single" w:color="auto" w:sz="4"/>
          <w:insideV w:val="single" w:color="auto" w:sz="4"/>
        </w:tblBorders>
      </w:tblPr>
      <w:tblGrid>
        <w:gridCol w:w="100"/>
        <w:gridCol w:w="100"/>
      </w:tblGrid>
      <w:tr>
        <w:tc>
          <w:tcPr>
            <w:tcW w:type="dxa" w:w="2600"/>
            <w:tcBorders>
              <w:top w:val="none" w:color="FFFFFF" w:sz="0"/>
              <w:left w:val="none" w:color="FFFFFF" w:sz="0"/>
              <w:bottom w:val="none" w:color="FFFFFF" w:sz="0"/>
              <w:right w:val="none" w:color="FFFFFF" w:sz="0"/>
            </w:tcBorders>
            <w:shd w:fill="0F1923" w:val="solid"/>
            <w:tcMar>
              <w:top w:type="dxa" w:w="100"/>
              <w:left w:type="dxa" w:w="200"/>
              <w:bottom w:type="dxa" w:w="100"/>
              <w:right w:type="dxa" w:w="200"/>
            </w:tcMar>
          </w:tcPr>
          <w:p>
            <w:r>
              <w:rPr>
                <w:rFonts w:ascii="Calibri" w:cs="Calibri" w:eastAsia="Calibri" w:hAnsi="Calibri"/>
                <w:b/>
                <w:bCs/>
                <w:color w:val="FFFFFF"/>
                <w:sz w:val="19"/>
                <w:szCs w:val="19"/>
              </w:rPr>
              <w:t xml:space="preserve">Motion Type</w:t>
            </w:r>
          </w:p>
        </w:tc>
        <w:tc>
          <w:tcPr>
            <w:tcW w:type="dxa" w:w="6760"/>
            <w:tcBorders>
              <w:top w:val="none" w:color="FFFFFF" w:sz="0"/>
              <w:left w:val="none" w:color="FFFFFF" w:sz="0"/>
              <w:bottom w:val="none" w:color="FFFFFF" w:sz="0"/>
              <w:right w:val="none" w:color="FFFFFF" w:sz="0"/>
            </w:tcBorders>
            <w:shd w:fill="1A1F2B" w:val="solid"/>
            <w:tcMar>
              <w:top w:type="dxa" w:w="100"/>
              <w:left w:type="dxa" w:w="200"/>
              <w:bottom w:type="dxa" w:w="100"/>
              <w:right w:type="dxa" w:w="200"/>
            </w:tcMar>
          </w:tcPr>
          <w:p>
            <w:r>
              <w:rPr>
                <w:rFonts w:ascii="Calibri" w:cs="Calibri" w:eastAsia="Calibri" w:hAnsi="Calibri"/>
                <w:b/>
                <w:bCs/>
                <w:color w:val="FFFFFF"/>
                <w:sz w:val="19"/>
                <w:szCs w:val="19"/>
              </w:rPr>
              <w:t xml:space="preserve">Behavior Rule</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Counter animation</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Numbers increment from 0 on first visible scroll. Subtle, fast (300ms), single use per session.</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Bar transition</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Benchmark bars slide to their value on load. No looping. One direction only.</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Timestamp refresh</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"Updated X minutes ago" recalculates on page load. No visual animation required.</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Pulse indicator</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Small animated dot on signal cards. Single pulse every 4 seconds. Low amplitude. Never distracting.</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No auto-play video</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Video in the product preview is user-initiated only.</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No looping content</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Carousels and auto-advancing panels are prohibited in intelligence surfaces.</w:t>
            </w:r>
          </w:p>
        </w:tc>
      </w:tr>
    </w:tbl>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A5-F. Signal-Emphasis Rules</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One primary signal per view. Do not compete for attention across multiple high-prominence panels.</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Primary signals use dark backgrounds. Supporting signals use light backgrounds.</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Numbers and directional indicators are the emphasis mechanism. Not color.</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Signal labels are brief: 5 words maximum. Context labels are secondary: 12 words maximum.</w:t>
      </w:r>
    </w:p>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A5-G. Sexy But Premium Rules</w:t>
      </w:r>
    </w:p>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4680"/>
            <w:tcBorders>
              <w:top w:val="none" w:color="FFFFFF" w:sz="0"/>
              <w:left w:val="none" w:color="FFFFFF" w:sz="0"/>
              <w:bottom w:val="none" w:color="FFFFFF" w:sz="0"/>
              <w:right w:val="none" w:color="FFFFFF" w:sz="0"/>
            </w:tcBorders>
            <w:shd w:fill="0F1923" w:val="solid"/>
            <w:tcMar>
              <w:top w:type="dxa" w:w="280"/>
              <w:left w:type="dxa" w:w="280"/>
              <w:bottom w:type="dxa" w:w="280"/>
              <w:right w:type="dxa" w:w="280"/>
            </w:tcMar>
          </w:tcPr>
          <w:p>
            <w:pPr>
              <w:spacing w:after="80" w:before="0"/>
            </w:pPr>
            <w:r>
              <w:rPr>
                <w:rFonts w:ascii="Calibri" w:cs="Calibri" w:eastAsia="Calibri" w:hAnsi="Calibri"/>
                <w:b/>
                <w:bCs/>
                <w:color w:val="FFFFFF"/>
                <w:sz w:val="20"/>
                <w:szCs w:val="20"/>
              </w:rPr>
              <w:t xml:space="preserve">What Creates Seduction</w:t>
            </w:r>
          </w:p>
          <w:p>
            <w:pPr>
              <w:pStyle w:val="ListParagraph"/>
              <w:numPr>
                <w:ilvl w:val="0"/>
                <w:numId w:val="1"/>
              </w:numPr>
              <w:spacing w:after="40" w:before="40"/>
            </w:pPr>
            <w:r>
              <w:rPr>
                <w:rFonts w:ascii="Calibri" w:cs="Calibri" w:eastAsia="Calibri" w:hAnsi="Calibri"/>
                <w:color w:val="DDEEFF"/>
                <w:sz w:val="20"/>
                <w:szCs w:val="20"/>
              </w:rPr>
              <w:t xml:space="preserve">Deep, confident dark surfaces on intelligence panels</w:t>
            </w:r>
          </w:p>
          <w:p>
            <w:pPr>
              <w:pStyle w:val="ListParagraph"/>
              <w:numPr>
                <w:ilvl w:val="0"/>
                <w:numId w:val="1"/>
              </w:numPr>
              <w:spacing w:after="40" w:before="40"/>
            </w:pPr>
            <w:r>
              <w:rPr>
                <w:rFonts w:ascii="Calibri" w:cs="Calibri" w:eastAsia="Calibri" w:hAnsi="Calibri"/>
                <w:color w:val="DDEEFF"/>
                <w:sz w:val="20"/>
                <w:szCs w:val="20"/>
              </w:rPr>
              <w:t xml:space="preserve">High contrast type with generous line height</w:t>
            </w:r>
          </w:p>
          <w:p>
            <w:pPr>
              <w:pStyle w:val="ListParagraph"/>
              <w:numPr>
                <w:ilvl w:val="0"/>
                <w:numId w:val="1"/>
              </w:numPr>
              <w:spacing w:after="40" w:before="40"/>
            </w:pPr>
            <w:r>
              <w:rPr>
                <w:rFonts w:ascii="Calibri" w:cs="Calibri" w:eastAsia="Calibri" w:hAnsi="Calibri"/>
                <w:color w:val="DDEEFF"/>
                <w:sz w:val="20"/>
                <w:szCs w:val="20"/>
              </w:rPr>
              <w:t xml:space="preserve">Precise spatial rhythm — nothing feels cramped or accidental</w:t>
            </w:r>
          </w:p>
          <w:p>
            <w:pPr>
              <w:pStyle w:val="ListParagraph"/>
              <w:numPr>
                <w:ilvl w:val="0"/>
                <w:numId w:val="1"/>
              </w:numPr>
              <w:spacing w:after="40" w:before="40"/>
            </w:pPr>
            <w:r>
              <w:rPr>
                <w:rFonts w:ascii="Calibri" w:cs="Calibri" w:eastAsia="Calibri" w:hAnsi="Calibri"/>
                <w:color w:val="DDEEFF"/>
                <w:sz w:val="20"/>
                <w:szCs w:val="20"/>
              </w:rPr>
              <w:t xml:space="preserve">Data that looks real and current</w:t>
            </w:r>
          </w:p>
          <w:p>
            <w:pPr>
              <w:pStyle w:val="ListParagraph"/>
              <w:numPr>
                <w:ilvl w:val="0"/>
                <w:numId w:val="1"/>
              </w:numPr>
              <w:spacing w:after="40" w:before="40"/>
            </w:pPr>
            <w:r>
              <w:rPr>
                <w:rFonts w:ascii="Calibri" w:cs="Calibri" w:eastAsia="Calibri" w:hAnsi="Calibri"/>
                <w:color w:val="DDEEFF"/>
                <w:sz w:val="20"/>
                <w:szCs w:val="20"/>
              </w:rPr>
              <w:t xml:space="preserve">A single strong visual focal point per section</w:t>
            </w:r>
          </w:p>
          <w:p>
            <w:pPr>
              <w:pStyle w:val="ListParagraph"/>
              <w:numPr>
                <w:ilvl w:val="0"/>
                <w:numId w:val="1"/>
              </w:numPr>
              <w:spacing w:after="40" w:before="40"/>
            </w:pPr>
            <w:r>
              <w:rPr>
                <w:rFonts w:ascii="Calibri" w:cs="Calibri" w:eastAsia="Calibri" w:hAnsi="Calibri"/>
                <w:color w:val="DDEEFF"/>
                <w:sz w:val="20"/>
                <w:szCs w:val="20"/>
              </w:rPr>
              <w:t xml:space="preserve">Movement that serves comprehension, not decoration</w:t>
            </w:r>
          </w:p>
        </w:tc>
        <w:tc>
          <w:tcPr>
            <w:tcW w:type="dxa" w:w="4680"/>
            <w:tcBorders>
              <w:top w:val="none" w:color="FFFFFF" w:sz="0"/>
              <w:left w:val="none" w:color="FFFFFF" w:sz="0"/>
              <w:bottom w:val="none" w:color="FFFFFF" w:sz="0"/>
              <w:right w:val="none" w:color="FFFFFF" w:sz="0"/>
            </w:tcBorders>
            <w:shd w:fill="1A1F2B" w:val="solid"/>
            <w:tcMar>
              <w:top w:type="dxa" w:w="280"/>
              <w:left w:type="dxa" w:w="280"/>
              <w:bottom w:type="dxa" w:w="280"/>
              <w:right w:type="dxa" w:w="280"/>
            </w:tcMar>
          </w:tcPr>
          <w:p>
            <w:pPr>
              <w:spacing w:after="80" w:before="0"/>
            </w:pPr>
            <w:r>
              <w:rPr>
                <w:rFonts w:ascii="Calibri" w:cs="Calibri" w:eastAsia="Calibri" w:hAnsi="Calibri"/>
                <w:b/>
                <w:bCs/>
                <w:color w:val="FFFFFF"/>
                <w:sz w:val="20"/>
                <w:szCs w:val="20"/>
              </w:rPr>
              <w:t xml:space="preserve">What Destroys Premium</w:t>
            </w:r>
          </w:p>
          <w:p>
            <w:pPr>
              <w:pStyle w:val="ListParagraph"/>
              <w:numPr>
                <w:ilvl w:val="0"/>
                <w:numId w:val="1"/>
              </w:numPr>
              <w:spacing w:after="40" w:before="40"/>
            </w:pPr>
            <w:r>
              <w:rPr>
                <w:rFonts w:ascii="Calibri" w:cs="Calibri" w:eastAsia="Calibri" w:hAnsi="Calibri"/>
                <w:color w:val="DDEEFF"/>
                <w:sz w:val="20"/>
                <w:szCs w:val="20"/>
              </w:rPr>
              <w:t xml:space="preserve">Decorative gradients on intelligence surfaces</w:t>
            </w:r>
          </w:p>
          <w:p>
            <w:pPr>
              <w:pStyle w:val="ListParagraph"/>
              <w:numPr>
                <w:ilvl w:val="0"/>
                <w:numId w:val="1"/>
              </w:numPr>
              <w:spacing w:after="40" w:before="40"/>
            </w:pPr>
            <w:r>
              <w:rPr>
                <w:rFonts w:ascii="Calibri" w:cs="Calibri" w:eastAsia="Calibri" w:hAnsi="Calibri"/>
                <w:color w:val="DDEEFF"/>
                <w:sz w:val="20"/>
                <w:szCs w:val="20"/>
              </w:rPr>
              <w:t xml:space="preserve">Bright accent colors on data modules</w:t>
            </w:r>
          </w:p>
          <w:p>
            <w:pPr>
              <w:pStyle w:val="ListParagraph"/>
              <w:numPr>
                <w:ilvl w:val="0"/>
                <w:numId w:val="1"/>
              </w:numPr>
              <w:spacing w:after="40" w:before="40"/>
            </w:pPr>
            <w:r>
              <w:rPr>
                <w:rFonts w:ascii="Calibri" w:cs="Calibri" w:eastAsia="Calibri" w:hAnsi="Calibri"/>
                <w:color w:val="DDEEFF"/>
                <w:sz w:val="20"/>
                <w:szCs w:val="20"/>
              </w:rPr>
              <w:t xml:space="preserve">Multiple competing CTAs in the same view</w:t>
            </w:r>
          </w:p>
          <w:p>
            <w:pPr>
              <w:pStyle w:val="ListParagraph"/>
              <w:numPr>
                <w:ilvl w:val="0"/>
                <w:numId w:val="1"/>
              </w:numPr>
              <w:spacing w:after="40" w:before="40"/>
            </w:pPr>
            <w:r>
              <w:rPr>
                <w:rFonts w:ascii="Calibri" w:cs="Calibri" w:eastAsia="Calibri" w:hAnsi="Calibri"/>
                <w:color w:val="DDEEFF"/>
                <w:sz w:val="20"/>
                <w:szCs w:val="20"/>
              </w:rPr>
              <w:t xml:space="preserve">Stock imagery in intelligence panels</w:t>
            </w:r>
          </w:p>
          <w:p>
            <w:pPr>
              <w:pStyle w:val="ListParagraph"/>
              <w:numPr>
                <w:ilvl w:val="0"/>
                <w:numId w:val="1"/>
              </w:numPr>
              <w:spacing w:after="40" w:before="40"/>
            </w:pPr>
            <w:r>
              <w:rPr>
                <w:rFonts w:ascii="Calibri" w:cs="Calibri" w:eastAsia="Calibri" w:hAnsi="Calibri"/>
                <w:color w:val="DDEEFF"/>
                <w:sz w:val="20"/>
                <w:szCs w:val="20"/>
              </w:rPr>
              <w:t xml:space="preserve">Generic analytics dashboard aesthetics</w:t>
            </w:r>
          </w:p>
          <w:p>
            <w:pPr>
              <w:pStyle w:val="ListParagraph"/>
              <w:numPr>
                <w:ilvl w:val="0"/>
                <w:numId w:val="1"/>
              </w:numPr>
              <w:spacing w:after="40" w:before="40"/>
            </w:pPr>
            <w:r>
              <w:rPr>
                <w:rFonts w:ascii="Calibri" w:cs="Calibri" w:eastAsia="Calibri" w:hAnsi="Calibri"/>
                <w:color w:val="DDEEFF"/>
                <w:sz w:val="20"/>
                <w:szCs w:val="20"/>
              </w:rPr>
              <w:t xml:space="preserve">Looping animations or auto-advancing content</w:t>
            </w:r>
          </w:p>
        </w:tc>
      </w:tr>
    </w:tbl>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A5-H. Cleo-Like Logic Translated for SOCELLE</w:t>
      </w:r>
    </w:p>
    <w:tbl>
      <w:tblPr>
        <w:tblW w:type="dxa" w:w="9360"/>
        <w:tblBorders>
          <w:top w:val="single" w:color="ECEAE7" w:sz="4"/>
          <w:left w:val="single" w:color="ECEAE7" w:sz="4"/>
          <w:bottom w:val="single" w:color="ECEAE7" w:sz="4"/>
          <w:right w:val="single" w:color="ECEAE7" w:sz="4"/>
          <w:insideH w:val="single" w:color="auto" w:sz="4"/>
          <w:insideV w:val="single" w:color="auto" w:sz="4"/>
        </w:tblBorders>
      </w:tblPr>
      <w:tblGrid>
        <w:gridCol w:w="100"/>
        <w:gridCol w:w="100"/>
      </w:tblGrid>
      <w:tr>
        <w:tc>
          <w:tcPr>
            <w:tcW w:type="dxa" w:w="2600"/>
            <w:tcBorders>
              <w:top w:val="none" w:color="FFFFFF" w:sz="0"/>
              <w:left w:val="none" w:color="FFFFFF" w:sz="0"/>
              <w:bottom w:val="none" w:color="FFFFFF" w:sz="0"/>
              <w:right w:val="none" w:color="FFFFFF" w:sz="0"/>
            </w:tcBorders>
            <w:shd w:fill="0F1923" w:val="solid"/>
            <w:tcMar>
              <w:top w:type="dxa" w:w="100"/>
              <w:left w:type="dxa" w:w="200"/>
              <w:bottom w:type="dxa" w:w="100"/>
              <w:right w:type="dxa" w:w="200"/>
            </w:tcMar>
          </w:tcPr>
          <w:p>
            <w:r>
              <w:rPr>
                <w:rFonts w:ascii="Calibri" w:cs="Calibri" w:eastAsia="Calibri" w:hAnsi="Calibri"/>
                <w:b/>
                <w:bCs/>
                <w:color w:val="FFFFFF"/>
                <w:sz w:val="19"/>
                <w:szCs w:val="19"/>
              </w:rPr>
              <w:t xml:space="preserve">Cleo Principle</w:t>
            </w:r>
          </w:p>
        </w:tc>
        <w:tc>
          <w:tcPr>
            <w:tcW w:type="dxa" w:w="6760"/>
            <w:tcBorders>
              <w:top w:val="none" w:color="FFFFFF" w:sz="0"/>
              <w:left w:val="none" w:color="FFFFFF" w:sz="0"/>
              <w:bottom w:val="none" w:color="FFFFFF" w:sz="0"/>
              <w:right w:val="none" w:color="FFFFFF" w:sz="0"/>
            </w:tcBorders>
            <w:shd w:fill="1A1F2B" w:val="solid"/>
            <w:tcMar>
              <w:top w:type="dxa" w:w="100"/>
              <w:left w:type="dxa" w:w="200"/>
              <w:bottom w:type="dxa" w:w="100"/>
              <w:right w:type="dxa" w:w="200"/>
            </w:tcMar>
          </w:tcPr>
          <w:p>
            <w:r>
              <w:rPr>
                <w:rFonts w:ascii="Calibri" w:cs="Calibri" w:eastAsia="Calibri" w:hAnsi="Calibri"/>
                <w:b/>
                <w:bCs/>
                <w:color w:val="FFFFFF"/>
                <w:sz w:val="19"/>
                <w:szCs w:val="19"/>
              </w:rPr>
              <w:t xml:space="preserve">SOCELLE Translation</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Cleo: visual confidence</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SOCELLE: same confidence, deeper palette. Mineral navy and slate replace bright Cleo accents.</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Cleo: hierarchy that commands attention</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SOCELLE: identical structural logic. The page tells you where to look. No ambiguity.</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Cleo: product preview as the attraction</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SOCELLE: Intelligence Hub preview as the attraction. The product is the hook.</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Cleo: motion as a signal of activity</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SOCELLE: restrained motion as a signal of data currency. Same mechanism, lower amplitude.</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Cleo: strong subheads that polarize</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SOCELLE: strong intelligence statements that identify and address the right operator.</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Cleo: one primary CTA per section</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SOCELLE: identical rule. One path per section. No decision fatigue.</w:t>
            </w:r>
          </w:p>
        </w:tc>
      </w:tr>
    </w:tbl>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A5-I. What to Avoid</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Card carousels in intelligence surfaces — they fragment attention and signal instability.</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Too many CTAs in a single panel — dilutes confidence and creates decision fatigue.</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Decorative illustrations in intelligence panels — they undercut the credibility of the data environment.</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Generic analytics aesthetics — SOCELLE should not look like Google Analytics or Tableau.</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Heavy lifestyle imagery in hub interiors — reserves brand photography for marketing surfaces.</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Passive copy on intelligence surfaces — every intelligence panel should feel actionable.</w:t>
      </w:r>
    </w:p>
    <w:p>
      <w:pPr>
        <w:spacing w:after="0" w:before="6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0F1923" w:val="solid"/>
            <w:tcMar>
              <w:top w:type="dxa" w:w="240"/>
              <w:left w:type="dxa" w:w="280"/>
              <w:bottom w:type="dxa" w:w="240"/>
              <w:right w:type="dxa" w:w="280"/>
            </w:tcMar>
          </w:tcPr>
          <w:p>
            <w:pPr>
              <w:jc w:val="center"/>
            </w:pPr>
            <w:r>
              <w:rPr>
                <w:rFonts w:ascii="Calibri" w:cs="Calibri" w:eastAsia="Calibri" w:hAnsi="Calibri"/>
                <w:b/>
                <w:bCs/>
                <w:color w:val="6B8EBF"/>
                <w:sz w:val="16"/>
                <w:szCs w:val="16"/>
              </w:rPr>
              <w:t xml:space="preserve">AGENT 06</w:t>
            </w:r>
          </w:p>
          <w:p>
            <w:pPr>
              <w:jc w:val="center"/>
            </w:pPr>
            <w:r>
              <w:rPr>
                <w:rFonts w:ascii="Georgia" w:cs="Georgia" w:eastAsia="Georgia" w:hAnsi="Georgia"/>
                <w:b/>
                <w:bCs/>
                <w:color w:val="FFFFFF"/>
                <w:sz w:val="52"/>
                <w:szCs w:val="52"/>
              </w:rPr>
              <w:t xml:space="preserve">06</w:t>
            </w:r>
          </w:p>
        </w:tc>
        <w:tc>
          <w:tcPr>
            <w:tcW w:type="dxa" w:w="7960"/>
            <w:tcBorders>
              <w:top w:val="none" w:color="FFFFFF" w:sz="0"/>
              <w:left w:val="none" w:color="FFFFFF" w:sz="0"/>
              <w:bottom w:val="none" w:color="FFFFFF" w:sz="0"/>
              <w:right w:val="none" w:color="FFFFFF" w:sz="0"/>
            </w:tcBorders>
            <w:shd w:fill="1A1F2B" w:val="solid"/>
            <w:tcMar>
              <w:top w:type="dxa" w:w="240"/>
              <w:left w:type="dxa" w:w="360"/>
              <w:bottom w:type="dxa" w:w="240"/>
              <w:right w:type="dxa" w:w="360"/>
            </w:tcMar>
          </w:tcPr>
          <w:p>
            <w:r>
              <w:rPr>
                <w:rFonts w:ascii="Calibri" w:cs="Calibri" w:eastAsia="Calibri" w:hAnsi="Calibri"/>
                <w:b/>
                <w:bCs/>
                <w:color w:val="6B8EBF"/>
                <w:sz w:val="20"/>
                <w:szCs w:val="20"/>
              </w:rPr>
              <w:t xml:space="preserve">HOMEPAGE REFRAMING AGENT</w:t>
            </w:r>
          </w:p>
          <w:p>
            <w:pPr>
              <w:spacing w:after="0" w:before="40"/>
            </w:pPr>
            <w:r>
              <w:rPr>
                <w:rFonts w:ascii="Georgia" w:cs="Georgia" w:eastAsia="Georgia" w:hAnsi="Georgia"/>
                <w:b/>
                <w:bCs/>
                <w:color w:val="FFFFFF"/>
                <w:sz w:val="34"/>
                <w:szCs w:val="34"/>
              </w:rPr>
              <w:t xml:space="preserve">Homepage Reframing Agent</w:t>
            </w:r>
          </w:p>
          <w:p>
            <w:pPr>
              <w:spacing w:after="0" w:before="60"/>
            </w:pPr>
            <w:r>
              <w:rPr>
                <w:rFonts w:ascii="Calibri" w:cs="Calibri" w:eastAsia="Calibri" w:hAnsi="Calibri"/>
                <w:i/>
                <w:iCs/>
                <w:color w:val="AABBD0"/>
                <w:sz w:val="20"/>
                <w:szCs w:val="20"/>
              </w:rPr>
              <w:t xml:space="preserve">Redefining the homepage as an intelligence-platform entry point</w:t>
            </w:r>
          </w:p>
        </w:tc>
      </w:tr>
    </w:tbl>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A6-A. New Homepage Strategic Role</w:t>
      </w:r>
    </w:p>
    <w:p>
      <w:pPr>
        <w:spacing w:after="100" w:before="60"/>
      </w:pPr>
      <w:r>
        <w:rPr>
          <w:rFonts w:ascii="Calibri" w:cs="Calibri" w:eastAsia="Calibri" w:hAnsi="Calibri"/>
          <w:i w:val="false"/>
          <w:iCs w:val="false"/>
          <w:color w:val="181614"/>
          <w:sz w:val="22"/>
          <w:szCs w:val="22"/>
        </w:rPr>
        <w:t xml:space="preserve">The homepage is the intelligence platform's public entrance. Its job is to establish SOCELLE as the industry intelligence layer, create immediate desire to access the Hub, and convert that desire into account creation. It is not a brand directory. It is not a product page. It is an intelligence environment with a door.</w:t>
      </w:r>
    </w:p>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A6-B. New Homepage Hierarchy</w:t>
      </w:r>
    </w:p>
    <w:tbl>
      <w:tblPr>
        <w:tblW w:type="dxa" w:w="9360"/>
        <w:tblBorders>
          <w:top w:val="single" w:color="ECEAE7" w:sz="4"/>
          <w:left w:val="single" w:color="ECEAE7" w:sz="4"/>
          <w:bottom w:val="single" w:color="ECEAE7" w:sz="4"/>
          <w:right w:val="single" w:color="ECEAE7" w:sz="4"/>
          <w:insideH w:val="single" w:color="auto" w:sz="4"/>
          <w:insideV w:val="single" w:color="auto" w:sz="4"/>
        </w:tblBorders>
      </w:tblPr>
      <w:tblGrid>
        <w:gridCol w:w="100"/>
        <w:gridCol w:w="100"/>
      </w:tblGrid>
      <w:tr>
        <w:tc>
          <w:tcPr>
            <w:tcW w:type="dxa" w:w="2600"/>
            <w:tcBorders>
              <w:top w:val="none" w:color="FFFFFF" w:sz="0"/>
              <w:left w:val="none" w:color="FFFFFF" w:sz="0"/>
              <w:bottom w:val="none" w:color="FFFFFF" w:sz="0"/>
              <w:right w:val="none" w:color="FFFFFF" w:sz="0"/>
            </w:tcBorders>
            <w:shd w:fill="0F1923" w:val="solid"/>
            <w:tcMar>
              <w:top w:type="dxa" w:w="100"/>
              <w:left w:type="dxa" w:w="200"/>
              <w:bottom w:type="dxa" w:w="100"/>
              <w:right w:type="dxa" w:w="200"/>
            </w:tcMar>
          </w:tcPr>
          <w:p>
            <w:r>
              <w:rPr>
                <w:rFonts w:ascii="Calibri" w:cs="Calibri" w:eastAsia="Calibri" w:hAnsi="Calibri"/>
                <w:b/>
                <w:bCs/>
                <w:color w:val="FFFFFF"/>
                <w:sz w:val="19"/>
                <w:szCs w:val="19"/>
              </w:rPr>
              <w:t xml:space="preserve">Section</w:t>
            </w:r>
          </w:p>
        </w:tc>
        <w:tc>
          <w:tcPr>
            <w:tcW w:type="dxa" w:w="6760"/>
            <w:tcBorders>
              <w:top w:val="none" w:color="FFFFFF" w:sz="0"/>
              <w:left w:val="none" w:color="FFFFFF" w:sz="0"/>
              <w:bottom w:val="none" w:color="FFFFFF" w:sz="0"/>
              <w:right w:val="none" w:color="FFFFFF" w:sz="0"/>
            </w:tcBorders>
            <w:shd w:fill="1A1F2B" w:val="solid"/>
            <w:tcMar>
              <w:top w:type="dxa" w:w="100"/>
              <w:left w:type="dxa" w:w="200"/>
              <w:bottom w:type="dxa" w:w="100"/>
              <w:right w:type="dxa" w:w="200"/>
            </w:tcMar>
          </w:tcPr>
          <w:p>
            <w:r>
              <w:rPr>
                <w:rFonts w:ascii="Calibri" w:cs="Calibri" w:eastAsia="Calibri" w:hAnsi="Calibri"/>
                <w:b/>
                <w:bCs/>
                <w:color w:val="FFFFFF"/>
                <w:sz w:val="19"/>
                <w:szCs w:val="19"/>
              </w:rPr>
              <w:t xml:space="preserve">Purpose and Content</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01. Hero</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Intelligence hook + decisive statement + live signal preview panel</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02. Market Pulse</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Live-feeling category signal section showing what is moving in the industry</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03. Intelligence Hub preview</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Product preview section showing the Hub interface with real data</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04. Operator validation</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Social proof from operators describing intelligence value, not product access</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05. Acquisition framing</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Why operators join — the intelligence advantage explained in operator language</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06. Brand presence</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Secondary section — brands are available because intelligence makes them worth sourcing</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07. CTA close</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Single decisive CTA — "Get Intelligence Access" with minimal friction</w:t>
            </w:r>
          </w:p>
        </w:tc>
      </w:tr>
    </w:tbl>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A6-C. Hero Direction Options</w:t>
      </w:r>
    </w:p>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20"/>
            <w:tcBorders>
              <w:top w:val="none" w:color="FFFFFF" w:sz="0"/>
              <w:left w:val="none" w:color="FFFFFF" w:sz="0"/>
              <w:bottom w:val="none" w:color="FFFFFF" w:sz="0"/>
              <w:right w:val="none" w:color="FFFFFF" w:sz="0"/>
            </w:tcBorders>
            <w:shd w:fill="1A3A6E" w:val="solid"/>
          </w:tcPr>
          <w:p>
            <w:r>
              <w:t xml:space="preserve"/>
            </w:r>
          </w:p>
        </w:tc>
        <w:tc>
          <w:tcPr>
            <w:tcW w:type="dxa" w:w="9240"/>
            <w:tcBorders>
              <w:top w:val="none" w:color="FFFFFF" w:sz="0"/>
              <w:left w:val="none" w:color="FFFFFF" w:sz="0"/>
              <w:bottom w:val="none" w:color="FFFFFF" w:sz="0"/>
              <w:right w:val="none" w:color="FFFFFF" w:sz="0"/>
            </w:tcBorders>
            <w:shd w:fill="F5F4F2" w:val="solid"/>
            <w:tcMar>
              <w:top w:type="dxa" w:w="160"/>
              <w:left w:type="dxa" w:w="280"/>
              <w:bottom w:type="dxa" w:w="160"/>
              <w:right w:type="dxa" w:w="280"/>
            </w:tcMar>
          </w:tcPr>
          <w:p>
            <w:pPr>
              <w:spacing w:after="60" w:before="0"/>
            </w:pPr>
            <w:r>
              <w:rPr>
                <w:rFonts w:ascii="Calibri" w:cs="Calibri" w:eastAsia="Calibri" w:hAnsi="Calibri"/>
                <w:b/>
                <w:bCs/>
                <w:color w:val="3E4C5E"/>
                <w:sz w:val="22"/>
                <w:szCs w:val="22"/>
              </w:rPr>
              <w:t xml:space="preserve">Option A: Full-Bleed Intelligence Panel</w:t>
            </w:r>
          </w:p>
          <w:p>
            <w:r>
              <w:rPr>
                <w:rFonts w:ascii="Calibri" w:cs="Calibri" w:eastAsia="Calibri" w:hAnsi="Calibri"/>
                <w:color w:val="181614"/>
                <w:sz w:val="21"/>
                <w:szCs w:val="21"/>
              </w:rPr>
              <w:t xml:space="preserve">Dark full-width hero with a single strong intelligence statement. Below the statement, a live Market Pulse panel shows real category movement data. CTA appears after the signal. The product is experienced before it is asked for.</w:t>
            </w:r>
          </w:p>
        </w:tc>
      </w:tr>
    </w:tbl>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20"/>
            <w:tcBorders>
              <w:top w:val="none" w:color="FFFFFF" w:sz="0"/>
              <w:left w:val="none" w:color="FFFFFF" w:sz="0"/>
              <w:bottom w:val="none" w:color="FFFFFF" w:sz="0"/>
              <w:right w:val="none" w:color="FFFFFF" w:sz="0"/>
            </w:tcBorders>
            <w:shd w:fill="3E4C5E" w:val="solid"/>
          </w:tcPr>
          <w:p>
            <w:r>
              <w:t xml:space="preserve"/>
            </w:r>
          </w:p>
        </w:tc>
        <w:tc>
          <w:tcPr>
            <w:tcW w:type="dxa" w:w="9240"/>
            <w:tcBorders>
              <w:top w:val="none" w:color="FFFFFF" w:sz="0"/>
              <w:left w:val="none" w:color="FFFFFF" w:sz="0"/>
              <w:bottom w:val="none" w:color="FFFFFF" w:sz="0"/>
              <w:right w:val="none" w:color="FFFFFF" w:sz="0"/>
            </w:tcBorders>
            <w:shd w:fill="F5F4F2" w:val="solid"/>
            <w:tcMar>
              <w:top w:type="dxa" w:w="160"/>
              <w:left w:type="dxa" w:w="280"/>
              <w:bottom w:type="dxa" w:w="160"/>
              <w:right w:type="dxa" w:w="280"/>
            </w:tcMar>
          </w:tcPr>
          <w:p>
            <w:pPr>
              <w:spacing w:after="60" w:before="0"/>
            </w:pPr>
            <w:r>
              <w:rPr>
                <w:rFonts w:ascii="Calibri" w:cs="Calibri" w:eastAsia="Calibri" w:hAnsi="Calibri"/>
                <w:b/>
                <w:bCs/>
                <w:color w:val="3E4C5E"/>
                <w:sz w:val="22"/>
                <w:szCs w:val="22"/>
              </w:rPr>
              <w:t xml:space="preserve">Option B: Split Screen Intelligence Preview</w:t>
            </w:r>
          </w:p>
          <w:p>
            <w:r>
              <w:rPr>
                <w:rFonts w:ascii="Calibri" w:cs="Calibri" w:eastAsia="Calibri" w:hAnsi="Calibri"/>
                <w:color w:val="181614"/>
                <w:sz w:val="21"/>
                <w:szCs w:val="21"/>
              </w:rPr>
              <w:t xml:space="preserve">Left panel: intelligence copy with strong statement and brief rationale. Right panel: Hub preview UI showing real signal data. The product is visible at the same moment as the proposition. Strong for decision-stage visitors.</w:t>
            </w:r>
          </w:p>
        </w:tc>
      </w:tr>
    </w:tbl>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20"/>
            <w:tcBorders>
              <w:top w:val="none" w:color="FFFFFF" w:sz="0"/>
              <w:left w:val="none" w:color="FFFFFF" w:sz="0"/>
              <w:bottom w:val="none" w:color="FFFFFF" w:sz="0"/>
              <w:right w:val="none" w:color="FFFFFF" w:sz="0"/>
            </w:tcBorders>
            <w:shd w:fill="1A1F2B" w:val="solid"/>
          </w:tcPr>
          <w:p>
            <w:r>
              <w:t xml:space="preserve"/>
            </w:r>
          </w:p>
        </w:tc>
        <w:tc>
          <w:tcPr>
            <w:tcW w:type="dxa" w:w="9240"/>
            <w:tcBorders>
              <w:top w:val="none" w:color="FFFFFF" w:sz="0"/>
              <w:left w:val="none" w:color="FFFFFF" w:sz="0"/>
              <w:bottom w:val="none" w:color="FFFFFF" w:sz="0"/>
              <w:right w:val="none" w:color="FFFFFF" w:sz="0"/>
            </w:tcBorders>
            <w:shd w:fill="F5F4F2" w:val="solid"/>
            <w:tcMar>
              <w:top w:type="dxa" w:w="160"/>
              <w:left w:type="dxa" w:w="280"/>
              <w:bottom w:type="dxa" w:w="160"/>
              <w:right w:type="dxa" w:w="280"/>
            </w:tcMar>
          </w:tcPr>
          <w:p>
            <w:pPr>
              <w:spacing w:after="60" w:before="0"/>
            </w:pPr>
            <w:r>
              <w:rPr>
                <w:rFonts w:ascii="Calibri" w:cs="Calibri" w:eastAsia="Calibri" w:hAnsi="Calibri"/>
                <w:b/>
                <w:bCs/>
                <w:color w:val="3E4C5E"/>
                <w:sz w:val="22"/>
                <w:szCs w:val="22"/>
              </w:rPr>
              <w:t xml:space="preserve">Option C: Statement + Animated Signal</w:t>
            </w:r>
          </w:p>
          <w:p>
            <w:r>
              <w:rPr>
                <w:rFonts w:ascii="Calibri" w:cs="Calibri" w:eastAsia="Calibri" w:hAnsi="Calibri"/>
                <w:color w:val="181614"/>
                <w:sz w:val="21"/>
                <w:szCs w:val="21"/>
              </w:rPr>
              <w:t xml:space="preserve">Single bold statement in large type. Below it, an animated trend signal (counter, moving bar, or category pulse) creates movement and energy without requiring a full panel. Cleanest option. Highest editorial confidence.</w:t>
            </w:r>
          </w:p>
        </w:tc>
      </w:tr>
    </w:tbl>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A6-D. Intelligence-Led Section Order</w:t>
      </w:r>
    </w:p>
    <w:p>
      <w:pPr>
        <w:spacing w:after="100" w:before="60"/>
      </w:pPr>
      <w:r>
        <w:rPr>
          <w:rFonts w:ascii="Calibri" w:cs="Calibri" w:eastAsia="Calibri" w:hAnsi="Calibri"/>
          <w:i w:val="false"/>
          <w:iCs w:val="false"/>
          <w:color w:val="181614"/>
          <w:sz w:val="22"/>
          <w:szCs w:val="22"/>
        </w:rPr>
        <w:t xml:space="preserve">Every section should cascade from intelligence to commerce. The homepage tells a single story: SOCELLE makes operators smarter, and smarter operators source better.</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Intelligence establishes why to join.</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Hub preview shows what is inside.</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Operator validation confirms the claim.</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Brand presence confirms the sourcing depth.</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CTA converts the desire.</w:t>
      </w:r>
    </w:p>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A6-E. Product-Preview Logic</w:t>
      </w:r>
    </w:p>
    <w:p>
      <w:pPr>
        <w:spacing w:after="100" w:before="60"/>
      </w:pPr>
      <w:r>
        <w:rPr>
          <w:rFonts w:ascii="Calibri" w:cs="Calibri" w:eastAsia="Calibri" w:hAnsi="Calibri"/>
          <w:i w:val="false"/>
          <w:iCs w:val="false"/>
          <w:color w:val="181614"/>
          <w:sz w:val="22"/>
          <w:szCs w:val="22"/>
        </w:rPr>
        <w:t xml:space="preserve">The Intelligence Hub preview section should show real interface content, not an illustrated mockup. Operators who see actual data — even sample data presented with full design fidelity — are significantly more likely to register than operators who see a "coming soon" feature description.</w:t>
      </w:r>
    </w:p>
    <w:p>
      <w:pPr>
        <w:spacing w:after="0" w:before="60"/>
      </w:pPr>
      <w:r>
        <w:t xml:space="preserve"/>
      </w:r>
    </w:p>
    <w:tbl>
      <w:tblPr>
        <w:tblW w:type="dxa" w:w="9360"/>
        <w:tblBorders>
          <w:top w:val="single" w:color="ECEAE7" w:sz="4"/>
          <w:left w:val="single" w:color="ECEAE7" w:sz="4"/>
          <w:bottom w:val="single" w:color="ECEAE7" w:sz="4"/>
          <w:right w:val="single" w:color="ECEAE7" w:sz="4"/>
          <w:insideH w:val="single" w:color="auto" w:sz="4"/>
          <w:insideV w:val="single" w:color="auto" w:sz="4"/>
        </w:tblBorders>
      </w:tblPr>
      <w:tblGrid>
        <w:gridCol w:w="100"/>
        <w:gridCol w:w="100"/>
      </w:tblGrid>
      <w:tr>
        <w:tc>
          <w:tcPr>
            <w:tcW w:type="dxa" w:w="2600"/>
            <w:tcBorders>
              <w:top w:val="none" w:color="FFFFFF" w:sz="0"/>
              <w:left w:val="none" w:color="FFFFFF" w:sz="0"/>
              <w:bottom w:val="none" w:color="FFFFFF" w:sz="0"/>
              <w:right w:val="none" w:color="FFFFFF" w:sz="0"/>
            </w:tcBorders>
            <w:shd w:fill="0F1923" w:val="solid"/>
            <w:tcMar>
              <w:top w:type="dxa" w:w="100"/>
              <w:left w:type="dxa" w:w="200"/>
              <w:bottom w:type="dxa" w:w="100"/>
              <w:right w:type="dxa" w:w="200"/>
            </w:tcMar>
          </w:tcPr>
          <w:p>
            <w:r>
              <w:rPr>
                <w:rFonts w:ascii="Calibri" w:cs="Calibri" w:eastAsia="Calibri" w:hAnsi="Calibri"/>
                <w:b/>
                <w:bCs/>
                <w:color w:val="FFFFFF"/>
                <w:sz w:val="19"/>
                <w:szCs w:val="19"/>
              </w:rPr>
              <w:t xml:space="preserve">Principle</w:t>
            </w:r>
          </w:p>
        </w:tc>
        <w:tc>
          <w:tcPr>
            <w:tcW w:type="dxa" w:w="6760"/>
            <w:tcBorders>
              <w:top w:val="none" w:color="FFFFFF" w:sz="0"/>
              <w:left w:val="none" w:color="FFFFFF" w:sz="0"/>
              <w:bottom w:val="none" w:color="FFFFFF" w:sz="0"/>
              <w:right w:val="none" w:color="FFFFFF" w:sz="0"/>
            </w:tcBorders>
            <w:shd w:fill="1A1F2B" w:val="solid"/>
            <w:tcMar>
              <w:top w:type="dxa" w:w="100"/>
              <w:left w:type="dxa" w:w="200"/>
              <w:bottom w:type="dxa" w:w="100"/>
              <w:right w:type="dxa" w:w="200"/>
            </w:tcMar>
          </w:tcPr>
          <w:p>
            <w:r>
              <w:rPr>
                <w:rFonts w:ascii="Calibri" w:cs="Calibri" w:eastAsia="Calibri" w:hAnsi="Calibri"/>
                <w:b/>
                <w:bCs/>
                <w:color w:val="FFFFFF"/>
                <w:sz w:val="19"/>
                <w:szCs w:val="19"/>
              </w:rPr>
              <w:t xml:space="preserve">Execution</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Show real interface</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Use actual Hub UI with seeded-to-real data. Not wireframes. Not illustrations.</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Gate one layer in</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Show enough to create desire. The full benchmark or trend detail requires an account.</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Use authentic data density</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The preview should feel data-rich, not decorative. One real signal is better than three illustrated ones.</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Add a visible paywall moment</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"Full intelligence access requires an operator account." This is a hook, not a friction point.</w:t>
            </w:r>
          </w:p>
        </w:tc>
      </w:tr>
    </w:tbl>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A6-F. CTA Structure</w:t>
      </w:r>
    </w:p>
    <w:tbl>
      <w:tblPr>
        <w:tblW w:type="dxa" w:w="9360"/>
        <w:tblBorders>
          <w:top w:val="single" w:color="ECEAE7" w:sz="4"/>
          <w:left w:val="single" w:color="ECEAE7" w:sz="4"/>
          <w:bottom w:val="single" w:color="ECEAE7" w:sz="4"/>
          <w:right w:val="single" w:color="ECEAE7" w:sz="4"/>
          <w:insideH w:val="single" w:color="auto" w:sz="4"/>
          <w:insideV w:val="single" w:color="auto" w:sz="4"/>
        </w:tblBorders>
      </w:tblPr>
      <w:tblGrid>
        <w:gridCol w:w="100"/>
        <w:gridCol w:w="100"/>
      </w:tblGrid>
      <w:tr>
        <w:tc>
          <w:tcPr>
            <w:tcW w:type="dxa" w:w="2600"/>
            <w:tcBorders>
              <w:top w:val="none" w:color="FFFFFF" w:sz="0"/>
              <w:left w:val="none" w:color="FFFFFF" w:sz="0"/>
              <w:bottom w:val="none" w:color="FFFFFF" w:sz="0"/>
              <w:right w:val="none" w:color="FFFFFF" w:sz="0"/>
            </w:tcBorders>
            <w:shd w:fill="0F1923" w:val="solid"/>
            <w:tcMar>
              <w:top w:type="dxa" w:w="100"/>
              <w:left w:type="dxa" w:w="200"/>
              <w:bottom w:type="dxa" w:w="100"/>
              <w:right w:type="dxa" w:w="200"/>
            </w:tcMar>
          </w:tcPr>
          <w:p>
            <w:r>
              <w:rPr>
                <w:rFonts w:ascii="Calibri" w:cs="Calibri" w:eastAsia="Calibri" w:hAnsi="Calibri"/>
                <w:b/>
                <w:bCs/>
                <w:color w:val="FFFFFF"/>
                <w:sz w:val="19"/>
                <w:szCs w:val="19"/>
              </w:rPr>
              <w:t xml:space="preserve">CTA Element</w:t>
            </w:r>
          </w:p>
        </w:tc>
        <w:tc>
          <w:tcPr>
            <w:tcW w:type="dxa" w:w="6760"/>
            <w:tcBorders>
              <w:top w:val="none" w:color="FFFFFF" w:sz="0"/>
              <w:left w:val="none" w:color="FFFFFF" w:sz="0"/>
              <w:bottom w:val="none" w:color="FFFFFF" w:sz="0"/>
              <w:right w:val="none" w:color="FFFFFF" w:sz="0"/>
            </w:tcBorders>
            <w:shd w:fill="1A1F2B" w:val="solid"/>
            <w:tcMar>
              <w:top w:type="dxa" w:w="100"/>
              <w:left w:type="dxa" w:w="200"/>
              <w:bottom w:type="dxa" w:w="100"/>
              <w:right w:type="dxa" w:w="200"/>
            </w:tcMar>
          </w:tcPr>
          <w:p>
            <w:r>
              <w:rPr>
                <w:rFonts w:ascii="Calibri" w:cs="Calibri" w:eastAsia="Calibri" w:hAnsi="Calibri"/>
                <w:b/>
                <w:bCs/>
                <w:color w:val="FFFFFF"/>
                <w:sz w:val="19"/>
                <w:szCs w:val="19"/>
              </w:rPr>
              <w:t xml:space="preserve">Spec</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Primary CTA</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"Get Intelligence Access" — or "Request Operator Access" — intelligence-framed, not marketplace-framed</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Secondary CTA</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"See What's Inside" — links directly to Hub preview or scrolls to preview section</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Avoid</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"Browse brands," "Explore the marketplace," "Request a demo" — all marketplace or SaaS framing</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CTA position</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Primary CTA appears after Market Pulse section and Hub preview — not before operator has experienced value</w:t>
            </w:r>
          </w:p>
        </w:tc>
      </w:tr>
    </w:tbl>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A6-G. What Existing Homepage Assumptions Must Change</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Homepage is NOT a marketplace landing page. Brand logos are not the hero visual.</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"Discover brands" is NOT the primary hook. Intelligence is the hook.</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The hub is NOT introduced as a feature. It is introduced as the primary destination.</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Social proof does NOT come from brand partnership count. It comes from operator intelligence experience.</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CTA does NOT appear before value is established. Market Pulse and Hub preview come first.</w:t>
      </w:r>
    </w:p>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A6-H. Final Homepage Framing Recommendation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20"/>
            <w:tcBorders>
              <w:top w:val="none" w:color="FFFFFF" w:sz="0"/>
              <w:left w:val="none" w:color="FFFFFF" w:sz="0"/>
              <w:bottom w:val="none" w:color="FFFFFF" w:sz="0"/>
              <w:right w:val="none" w:color="FFFFFF" w:sz="0"/>
            </w:tcBorders>
            <w:shd w:fill="14532D" w:val="solid"/>
          </w:tcPr>
          <w:p>
            <w:r>
              <w:t xml:space="preserve"/>
            </w:r>
          </w:p>
        </w:tc>
        <w:tc>
          <w:tcPr>
            <w:tcW w:type="dxa" w:w="9240"/>
            <w:tcBorders>
              <w:top w:val="none" w:color="FFFFFF" w:sz="0"/>
              <w:left w:val="none" w:color="FFFFFF" w:sz="0"/>
              <w:bottom w:val="none" w:color="FFFFFF" w:sz="0"/>
              <w:right w:val="none" w:color="FFFFFF" w:sz="0"/>
            </w:tcBorders>
            <w:shd w:fill="F5F4F2" w:val="solid"/>
            <w:tcMar>
              <w:top w:type="dxa" w:w="160"/>
              <w:left w:type="dxa" w:w="280"/>
              <w:bottom w:type="dxa" w:w="160"/>
              <w:right w:type="dxa" w:w="280"/>
            </w:tcMar>
          </w:tcPr>
          <w:p>
            <w:pPr>
              <w:spacing w:after="60" w:before="0"/>
            </w:pPr>
            <w:r>
              <w:rPr>
                <w:rFonts w:ascii="Calibri" w:cs="Calibri" w:eastAsia="Calibri" w:hAnsi="Calibri"/>
                <w:b/>
                <w:bCs/>
                <w:color w:val="3E4C5E"/>
                <w:sz w:val="22"/>
                <w:szCs w:val="22"/>
              </w:rPr>
              <w:t xml:space="preserve">Recommended Approach</w:t>
            </w:r>
          </w:p>
          <w:p>
            <w:r>
              <w:rPr>
                <w:rFonts w:ascii="Calibri" w:cs="Calibri" w:eastAsia="Calibri" w:hAnsi="Calibri"/>
                <w:color w:val="181614"/>
                <w:sz w:val="21"/>
                <w:szCs w:val="21"/>
              </w:rPr>
              <w:t xml:space="preserve">Dark hero with Option A (full-bleed intelligence panel). Single decisive intelligence statement as H1. Live Market Pulse panel as the first visible product moment. Hub preview as the page centerpiece. Operator validation below. Brand section above the fold of the CTA section, not above the fold of the page. One primary CTA: "Get Intelligence Access."</w:t>
            </w:r>
          </w:p>
        </w:tc>
      </w:tr>
    </w:tbl>
    <w:p>
      <w:pPr>
        <w:spacing w:after="0" w:before="6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3E4C5E" w:val="solid"/>
            <w:tcMar>
              <w:top w:type="dxa" w:w="120"/>
              <w:left w:type="dxa" w:w="400"/>
              <w:bottom w:type="dxa" w:w="120"/>
              <w:right w:type="dxa" w:w="400"/>
            </w:tcMar>
          </w:tcPr>
          <w:p>
            <w:r>
              <w:rPr>
                <w:rFonts w:ascii="Calibri" w:cs="Calibri" w:eastAsia="Calibri" w:hAnsi="Calibri"/>
                <w:b/>
                <w:bCs/>
                <w:color w:val="FFFFFF"/>
                <w:spacing w:val="80"/>
                <w:sz w:val="20"/>
                <w:szCs w:val="20"/>
              </w:rPr>
              <w:t xml:space="preserve">PHASE 3 — MONETIZATION AND QA ALIGNMENT</w:t>
            </w:r>
          </w:p>
        </w:tc>
      </w:tr>
    </w:tbl>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0F1923" w:val="solid"/>
            <w:tcMar>
              <w:top w:type="dxa" w:w="240"/>
              <w:left w:type="dxa" w:w="280"/>
              <w:bottom w:type="dxa" w:w="240"/>
              <w:right w:type="dxa" w:w="280"/>
            </w:tcMar>
          </w:tcPr>
          <w:p>
            <w:pPr>
              <w:jc w:val="center"/>
            </w:pPr>
            <w:r>
              <w:rPr>
                <w:rFonts w:ascii="Calibri" w:cs="Calibri" w:eastAsia="Calibri" w:hAnsi="Calibri"/>
                <w:b/>
                <w:bCs/>
                <w:color w:val="6B8EBF"/>
                <w:sz w:val="16"/>
                <w:szCs w:val="16"/>
              </w:rPr>
              <w:t xml:space="preserve">AGENT 07</w:t>
            </w:r>
          </w:p>
          <w:p>
            <w:pPr>
              <w:jc w:val="center"/>
            </w:pPr>
            <w:r>
              <w:rPr>
                <w:rFonts w:ascii="Georgia" w:cs="Georgia" w:eastAsia="Georgia" w:hAnsi="Georgia"/>
                <w:b/>
                <w:bCs/>
                <w:color w:val="FFFFFF"/>
                <w:sz w:val="52"/>
                <w:szCs w:val="52"/>
              </w:rPr>
              <w:t xml:space="preserve">07</w:t>
            </w:r>
          </w:p>
        </w:tc>
        <w:tc>
          <w:tcPr>
            <w:tcW w:type="dxa" w:w="7960"/>
            <w:tcBorders>
              <w:top w:val="none" w:color="FFFFFF" w:sz="0"/>
              <w:left w:val="none" w:color="FFFFFF" w:sz="0"/>
              <w:bottom w:val="none" w:color="FFFFFF" w:sz="0"/>
              <w:right w:val="none" w:color="FFFFFF" w:sz="0"/>
            </w:tcBorders>
            <w:shd w:fill="1A1F2B" w:val="solid"/>
            <w:tcMar>
              <w:top w:type="dxa" w:w="240"/>
              <w:left w:type="dxa" w:w="360"/>
              <w:bottom w:type="dxa" w:w="240"/>
              <w:right w:type="dxa" w:w="360"/>
            </w:tcMar>
          </w:tcPr>
          <w:p>
            <w:r>
              <w:rPr>
                <w:rFonts w:ascii="Calibri" w:cs="Calibri" w:eastAsia="Calibri" w:hAnsi="Calibri"/>
                <w:b/>
                <w:bCs/>
                <w:color w:val="6B8EBF"/>
                <w:sz w:val="20"/>
                <w:szCs w:val="20"/>
              </w:rPr>
              <w:t xml:space="preserve">TECHNOLOGY MONETIZATION AGENT</w:t>
            </w:r>
          </w:p>
          <w:p>
            <w:pPr>
              <w:spacing w:after="0" w:before="40"/>
            </w:pPr>
            <w:r>
              <w:rPr>
                <w:rFonts w:ascii="Georgia" w:cs="Georgia" w:eastAsia="Georgia" w:hAnsi="Georgia"/>
                <w:b/>
                <w:bCs/>
                <w:color w:val="FFFFFF"/>
                <w:sz w:val="34"/>
                <w:szCs w:val="34"/>
              </w:rPr>
              <w:t xml:space="preserve">Technology Monetization Agent</w:t>
            </w:r>
          </w:p>
          <w:p>
            <w:pPr>
              <w:spacing w:after="0" w:before="60"/>
            </w:pPr>
            <w:r>
              <w:rPr>
                <w:rFonts w:ascii="Calibri" w:cs="Calibri" w:eastAsia="Calibri" w:hAnsi="Calibri"/>
                <w:i/>
                <w:iCs/>
                <w:color w:val="AABBD0"/>
                <w:sz w:val="20"/>
                <w:szCs w:val="20"/>
              </w:rPr>
              <w:t xml:space="preserve">Defining how platform technology sales fit the intelligence-first strategy</w:t>
            </w:r>
          </w:p>
        </w:tc>
      </w:tr>
    </w:tbl>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A7-A. Technology Monetization Role</w:t>
      </w:r>
    </w:p>
    <w:p>
      <w:pPr>
        <w:spacing w:after="100" w:before="60"/>
      </w:pPr>
      <w:r>
        <w:rPr>
          <w:rFonts w:ascii="Calibri" w:cs="Calibri" w:eastAsia="Calibri" w:hAnsi="Calibri"/>
          <w:i w:val="false"/>
          <w:iCs w:val="false"/>
          <w:color w:val="181614"/>
          <w:sz w:val="22"/>
          <w:szCs w:val="22"/>
        </w:rPr>
        <w:t xml:space="preserve">SOCELLE has built intelligence infrastructure that could, in time, be licensed or sold to brands and enterprise operators. This is a meaningful secondary revenue path with high strategic leverage. At launch, it must remain invisible. Post-cohort, it becomes an enterprise revenue expansion.</w:t>
      </w:r>
    </w:p>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20"/>
            <w:tcBorders>
              <w:top w:val="none" w:color="FFFFFF" w:sz="0"/>
              <w:left w:val="none" w:color="FFFFFF" w:sz="0"/>
              <w:bottom w:val="none" w:color="FFFFFF" w:sz="0"/>
              <w:right w:val="none" w:color="FFFFFF" w:sz="0"/>
            </w:tcBorders>
            <w:shd w:fill="92400E" w:val="solid"/>
          </w:tcPr>
          <w:p>
            <w:r>
              <w:t xml:space="preserve"/>
            </w:r>
          </w:p>
        </w:tc>
        <w:tc>
          <w:tcPr>
            <w:tcW w:type="dxa" w:w="9240"/>
            <w:tcBorders>
              <w:top w:val="none" w:color="FFFFFF" w:sz="0"/>
              <w:left w:val="none" w:color="FFFFFF" w:sz="0"/>
              <w:bottom w:val="none" w:color="FFFFFF" w:sz="0"/>
              <w:right w:val="none" w:color="FFFFFF" w:sz="0"/>
            </w:tcBorders>
            <w:shd w:fill="F5F4F2" w:val="solid"/>
            <w:tcMar>
              <w:top w:type="dxa" w:w="160"/>
              <w:left w:type="dxa" w:w="280"/>
              <w:bottom w:type="dxa" w:w="160"/>
              <w:right w:type="dxa" w:w="280"/>
            </w:tcMar>
          </w:tcPr>
          <w:p>
            <w:pPr>
              <w:spacing w:after="60" w:before="0"/>
            </w:pPr>
            <w:r>
              <w:rPr>
                <w:rFonts w:ascii="Calibri" w:cs="Calibri" w:eastAsia="Calibri" w:hAnsi="Calibri"/>
                <w:b/>
                <w:bCs/>
                <w:color w:val="3E4C5E"/>
                <w:sz w:val="22"/>
                <w:szCs w:val="22"/>
              </w:rPr>
              <w:t xml:space="preserve">The Principle</w:t>
            </w:r>
          </w:p>
          <w:p>
            <w:r>
              <w:rPr>
                <w:rFonts w:ascii="Calibri" w:cs="Calibri" w:eastAsia="Calibri" w:hAnsi="Calibri"/>
                <w:color w:val="181614"/>
                <w:sz w:val="21"/>
                <w:szCs w:val="21"/>
              </w:rPr>
              <w:t xml:space="preserve">Technology monetization is a high-value option that must not contaminate the primary intelligence-platform thesis at launch. Build the intelligence credibility first. The technology sale follows credibility, not the other way around.</w:t>
            </w:r>
          </w:p>
        </w:tc>
      </w:tr>
    </w:tbl>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A7-B. Launch Visibility Recommendation</w:t>
      </w:r>
    </w:p>
    <w:tbl>
      <w:tblPr>
        <w:tblW w:type="dxa" w:w="9360"/>
        <w:tblBorders>
          <w:top w:val="single" w:color="ECEAE7" w:sz="4"/>
          <w:left w:val="single" w:color="ECEAE7" w:sz="4"/>
          <w:bottom w:val="single" w:color="ECEAE7" w:sz="4"/>
          <w:right w:val="single" w:color="ECEAE7" w:sz="4"/>
          <w:insideH w:val="single" w:color="auto" w:sz="4"/>
          <w:insideV w:val="single" w:color="auto" w:sz="4"/>
        </w:tblBorders>
      </w:tblPr>
      <w:tblGrid>
        <w:gridCol w:w="100"/>
        <w:gridCol w:w="100"/>
      </w:tblGrid>
      <w:tr>
        <w:tc>
          <w:tcPr>
            <w:tcW w:type="dxa" w:w="2600"/>
            <w:tcBorders>
              <w:top w:val="none" w:color="FFFFFF" w:sz="0"/>
              <w:left w:val="none" w:color="FFFFFF" w:sz="0"/>
              <w:bottom w:val="none" w:color="FFFFFF" w:sz="0"/>
              <w:right w:val="none" w:color="FFFFFF" w:sz="0"/>
            </w:tcBorders>
            <w:shd w:fill="0F1923" w:val="solid"/>
            <w:tcMar>
              <w:top w:type="dxa" w:w="100"/>
              <w:left w:type="dxa" w:w="200"/>
              <w:bottom w:type="dxa" w:w="100"/>
              <w:right w:type="dxa" w:w="200"/>
            </w:tcMar>
          </w:tcPr>
          <w:p>
            <w:r>
              <w:rPr>
                <w:rFonts w:ascii="Calibri" w:cs="Calibri" w:eastAsia="Calibri" w:hAnsi="Calibri"/>
                <w:b/>
                <w:bCs/>
                <w:color w:val="FFFFFF"/>
                <w:sz w:val="19"/>
                <w:szCs w:val="19"/>
              </w:rPr>
              <w:t xml:space="preserve">Dimension</w:t>
            </w:r>
          </w:p>
        </w:tc>
        <w:tc>
          <w:tcPr>
            <w:tcW w:type="dxa" w:w="6760"/>
            <w:tcBorders>
              <w:top w:val="none" w:color="FFFFFF" w:sz="0"/>
              <w:left w:val="none" w:color="FFFFFF" w:sz="0"/>
              <w:bottom w:val="none" w:color="FFFFFF" w:sz="0"/>
              <w:right w:val="none" w:color="FFFFFF" w:sz="0"/>
            </w:tcBorders>
            <w:shd w:fill="1A1F2B" w:val="solid"/>
            <w:tcMar>
              <w:top w:type="dxa" w:w="100"/>
              <w:left w:type="dxa" w:w="200"/>
              <w:bottom w:type="dxa" w:w="100"/>
              <w:right w:type="dxa" w:w="200"/>
            </w:tcMar>
          </w:tcPr>
          <w:p>
            <w:r>
              <w:rPr>
                <w:rFonts w:ascii="Calibri" w:cs="Calibri" w:eastAsia="Calibri" w:hAnsi="Calibri"/>
                <w:b/>
                <w:bCs/>
                <w:color w:val="FFFFFF"/>
                <w:sz w:val="19"/>
                <w:szCs w:val="19"/>
              </w:rPr>
              <w:t xml:space="preserve">Decision</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Visibility at launch</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HIDDEN. No public mention. No navigation item. No landing page.</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Internal positioning</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Revenue path 2 in the long-term monetization model. Documented internally, not externally.</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Rationale</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Any public-facing mention of technology sales at launch creates confusion about who SOCELLE serves and whether the intelligence is objective or commercially compromised.</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Exception</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If an enterprise partner approaches proactively, SOCELLE can respond through a private channel.</w:t>
            </w:r>
          </w:p>
        </w:tc>
      </w:tr>
    </w:tbl>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A7-C. Post-Launch Expansion Logic</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Stage 1 (now): Build the operator intelligence pool. Establish data credibility.</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Stage 2 (post-cohort): Develop brand intelligence packages. Sell category-level data to brands with sufficient subscriber volume.</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Stage 3 (12-18 months): Evaluate white-label or enterprise licensing of the intelligence platform itself to large brand groups or operator networks.</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Stage 4: Solutions layer under "SOCELLE Intelligence — Enterprise." Separate from the primary consumer-facing platform.</w:t>
      </w:r>
    </w:p>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A7-D. How This Connects to Intelligence Hub Credibility</w:t>
      </w:r>
    </w:p>
    <w:p>
      <w:pPr>
        <w:spacing w:after="100" w:before="60"/>
      </w:pPr>
      <w:r>
        <w:rPr>
          <w:rFonts w:ascii="Calibri" w:cs="Calibri" w:eastAsia="Calibri" w:hAnsi="Calibri"/>
          <w:i w:val="false"/>
          <w:iCs w:val="false"/>
          <w:color w:val="181614"/>
          <w:sz w:val="22"/>
          <w:szCs w:val="22"/>
        </w:rPr>
        <w:t xml:space="preserve">The more credible, data-rich, and trusted the Intelligence Hub becomes, the more valuable the underlying platform is as a licensable asset. Every operator who joins and generates behavioral intelligence strengthens the technology monetization case. The primary product builds the secondary revenue case passively.</w:t>
      </w:r>
    </w:p>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A7-E. Risks If Surfaced Too Early</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Operators question whether intelligence is objective or influenced by paying technology customers.</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Brands question whether SOCELLE is a marketplace or a data business competing with their own intelligence infrastructure.</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The platform thesis becomes confusing — is SOCELLE for operators, for brands, or for enterprise clients?</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Early technology buyers may extract value from the platform without contributing to the operator community that makes it valuable.</w:t>
      </w:r>
    </w:p>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A7-F. Best Narrative Framing If Included Later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20"/>
            <w:tcBorders>
              <w:top w:val="none" w:color="FFFFFF" w:sz="0"/>
              <w:left w:val="none" w:color="FFFFFF" w:sz="0"/>
              <w:bottom w:val="none" w:color="FFFFFF" w:sz="0"/>
              <w:right w:val="none" w:color="FFFFFF" w:sz="0"/>
            </w:tcBorders>
            <w:shd w:fill="2E4A7A" w:val="solid"/>
          </w:tcPr>
          <w:p>
            <w:r>
              <w:t xml:space="preserve"/>
            </w:r>
          </w:p>
        </w:tc>
        <w:tc>
          <w:tcPr>
            <w:tcW w:type="dxa" w:w="9240"/>
            <w:tcBorders>
              <w:top w:val="none" w:color="FFFFFF" w:sz="0"/>
              <w:left w:val="none" w:color="FFFFFF" w:sz="0"/>
              <w:bottom w:val="none" w:color="FFFFFF" w:sz="0"/>
              <w:right w:val="none" w:color="FFFFFF" w:sz="0"/>
            </w:tcBorders>
            <w:shd w:fill="F5F4F2" w:val="solid"/>
            <w:tcMar>
              <w:top w:type="dxa" w:w="160"/>
              <w:left w:type="dxa" w:w="280"/>
              <w:bottom w:type="dxa" w:w="160"/>
              <w:right w:type="dxa" w:w="280"/>
            </w:tcMar>
          </w:tcPr>
          <w:p>
            <w:pPr>
              <w:spacing w:after="60" w:before="0"/>
            </w:pPr>
            <w:r>
              <w:rPr>
                <w:rFonts w:ascii="Calibri" w:cs="Calibri" w:eastAsia="Calibri" w:hAnsi="Calibri"/>
                <w:b/>
                <w:bCs/>
                <w:color w:val="3E4C5E"/>
                <w:sz w:val="22"/>
                <w:szCs w:val="22"/>
              </w:rPr>
              <w:t xml:space="preserve">Enterprise Framing (Post-Launch)</w:t>
            </w:r>
          </w:p>
          <w:p>
            <w:r>
              <w:rPr>
                <w:rFonts w:ascii="Calibri" w:cs="Calibri" w:eastAsia="Calibri" w:hAnsi="Calibri"/>
                <w:color w:val="181614"/>
                <w:sz w:val="21"/>
                <w:szCs w:val="21"/>
              </w:rPr>
              <w:t xml:space="preserve">"SOCELLE Intelligence — Enterprise. The professional beauty industry's most complete market intelligence layer, available for brand partners and operator networks. Powered by the same platform trusted by 1,000+ operators across North America."</w:t>
            </w:r>
          </w:p>
        </w:tc>
      </w:tr>
    </w:tbl>
    <w:p>
      <w:pPr>
        <w:spacing w:after="0" w:before="6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400"/>
            <w:tcBorders>
              <w:top w:val="none" w:color="FFFFFF" w:sz="0"/>
              <w:left w:val="none" w:color="FFFFFF" w:sz="0"/>
              <w:bottom w:val="none" w:color="FFFFFF" w:sz="0"/>
              <w:right w:val="none" w:color="FFFFFF" w:sz="0"/>
            </w:tcBorders>
            <w:shd w:fill="0F1923" w:val="solid"/>
            <w:tcMar>
              <w:top w:type="dxa" w:w="240"/>
              <w:left w:type="dxa" w:w="280"/>
              <w:bottom w:type="dxa" w:w="240"/>
              <w:right w:type="dxa" w:w="280"/>
            </w:tcMar>
          </w:tcPr>
          <w:p>
            <w:pPr>
              <w:jc w:val="center"/>
            </w:pPr>
            <w:r>
              <w:rPr>
                <w:rFonts w:ascii="Calibri" w:cs="Calibri" w:eastAsia="Calibri" w:hAnsi="Calibri"/>
                <w:b/>
                <w:bCs/>
                <w:color w:val="6B8EBF"/>
                <w:sz w:val="16"/>
                <w:szCs w:val="16"/>
              </w:rPr>
              <w:t xml:space="preserve">AGENT 08</w:t>
            </w:r>
          </w:p>
          <w:p>
            <w:pPr>
              <w:jc w:val="center"/>
            </w:pPr>
            <w:r>
              <w:rPr>
                <w:rFonts w:ascii="Georgia" w:cs="Georgia" w:eastAsia="Georgia" w:hAnsi="Georgia"/>
                <w:b/>
                <w:bCs/>
                <w:color w:val="FFFFFF"/>
                <w:sz w:val="52"/>
                <w:szCs w:val="52"/>
              </w:rPr>
              <w:t xml:space="preserve">08</w:t>
            </w:r>
          </w:p>
        </w:tc>
        <w:tc>
          <w:tcPr>
            <w:tcW w:type="dxa" w:w="7960"/>
            <w:tcBorders>
              <w:top w:val="none" w:color="FFFFFF" w:sz="0"/>
              <w:left w:val="none" w:color="FFFFFF" w:sz="0"/>
              <w:bottom w:val="none" w:color="FFFFFF" w:sz="0"/>
              <w:right w:val="none" w:color="FFFFFF" w:sz="0"/>
            </w:tcBorders>
            <w:shd w:fill="1A1F2B" w:val="solid"/>
            <w:tcMar>
              <w:top w:type="dxa" w:w="240"/>
              <w:left w:type="dxa" w:w="360"/>
              <w:bottom w:type="dxa" w:w="240"/>
              <w:right w:type="dxa" w:w="360"/>
            </w:tcMar>
          </w:tcPr>
          <w:p>
            <w:r>
              <w:rPr>
                <w:rFonts w:ascii="Calibri" w:cs="Calibri" w:eastAsia="Calibri" w:hAnsi="Calibri"/>
                <w:b/>
                <w:bCs/>
                <w:color w:val="6B8EBF"/>
                <w:sz w:val="20"/>
                <w:szCs w:val="20"/>
              </w:rPr>
              <w:t xml:space="preserve">QA / THESIS ALIGNMENT AGENT</w:t>
            </w:r>
          </w:p>
          <w:p>
            <w:pPr>
              <w:spacing w:after="0" w:before="40"/>
            </w:pPr>
            <w:r>
              <w:rPr>
                <w:rFonts w:ascii="Georgia" w:cs="Georgia" w:eastAsia="Georgia" w:hAnsi="Georgia"/>
                <w:b/>
                <w:bCs/>
                <w:color w:val="FFFFFF"/>
                <w:sz w:val="34"/>
                <w:szCs w:val="34"/>
              </w:rPr>
              <w:t xml:space="preserve">QA / Thesis Alignment Agent</w:t>
            </w:r>
          </w:p>
          <w:p>
            <w:pPr>
              <w:spacing w:after="0" w:before="60"/>
            </w:pPr>
            <w:r>
              <w:rPr>
                <w:rFonts w:ascii="Calibri" w:cs="Calibri" w:eastAsia="Calibri" w:hAnsi="Calibri"/>
                <w:i/>
                <w:iCs/>
                <w:color w:val="AABBD0"/>
                <w:sz w:val="20"/>
                <w:szCs w:val="20"/>
              </w:rPr>
              <w:t xml:space="preserve">Enforcing intelligence-first clarity against all legacy assumptions</w:t>
            </w:r>
          </w:p>
        </w:tc>
      </w:tr>
    </w:tbl>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A8-A. Thesis Alignment Checklist</w:t>
      </w:r>
    </w:p>
    <w:p>
      <w:pPr>
        <w:spacing w:after="0" w:before="60"/>
      </w:pPr>
      <w:r>
        <w:t xml:space="preserve"/>
      </w:r>
    </w:p>
    <w:tbl>
      <w:tblPr>
        <w:tblW w:type="dxa" w:w="9360"/>
        <w:tblBorders>
          <w:top w:val="single" w:color="ECEAE7" w:sz="4"/>
          <w:left w:val="single" w:color="ECEAE7" w:sz="4"/>
          <w:bottom w:val="single" w:color="ECEAE7" w:sz="4"/>
          <w:right w:val="single" w:color="ECEAE7" w:sz="4"/>
          <w:insideH w:val="single" w:color="auto" w:sz="4"/>
          <w:insideV w:val="single" w:color="auto" w:sz="4"/>
        </w:tblBorders>
      </w:tblPr>
      <w:tblGrid>
        <w:gridCol w:w="100"/>
        <w:gridCol w:w="100"/>
        <w:gridCol w:w="100"/>
      </w:tblGrid>
      <w:tr>
        <w:tc>
          <w:tcPr>
            <w:tcW w:type="dxa" w:w="680"/>
            <w:tcBorders>
              <w:top w:val="none" w:color="FFFFFF" w:sz="0"/>
              <w:left w:val="none" w:color="FFFFFF" w:sz="0"/>
              <w:bottom w:val="none" w:color="FFFFFF" w:sz="0"/>
              <w:right w:val="none" w:color="FFFFFF" w:sz="0"/>
            </w:tcBorders>
            <w:shd w:fill="14532D" w:val="solid"/>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PASS</w:t>
            </w:r>
          </w:p>
        </w:tc>
        <w:tc>
          <w:tcPr>
            <w:tcW w:type="dxa" w:w="3200"/>
            <w:tcBorders>
              <w:top w:val="single" w:color="ECEAE7" w:sz="4"/>
              <w:left w:val="single" w:color="ECEAE7" w:sz="4"/>
              <w:bottom w:val="single" w:color="ECEAE7" w:sz="4"/>
              <w:right w:val="single" w:color="ECEAE7" w:sz="4"/>
            </w:tcBorders>
            <w:shd w:fill="FFFFFF" w:val="solid"/>
            <w:tcMar>
              <w:top w:type="dxa" w:w="100"/>
              <w:left w:type="dxa" w:w="180"/>
              <w:bottom w:type="dxa" w:w="100"/>
              <w:right w:type="dxa" w:w="180"/>
            </w:tcMar>
          </w:tcPr>
          <w:p>
            <w:r>
              <w:rPr>
                <w:rFonts w:ascii="Calibri" w:cs="Calibri" w:eastAsia="Calibri" w:hAnsi="Calibri"/>
                <w:b/>
                <w:bCs/>
                <w:color w:val="181614"/>
                <w:sz w:val="20"/>
                <w:szCs w:val="20"/>
              </w:rPr>
              <w:t xml:space="preserve">Homepage hero leads with intelligence, not marketplace language</w:t>
            </w:r>
          </w:p>
        </w:tc>
        <w:tc>
          <w:tcPr>
            <w:tcW w:type="dxa" w:w="5480"/>
            <w:tcBorders>
              <w:top w:val="single" w:color="ECEAE7" w:sz="4"/>
              <w:left w:val="single" w:color="ECEAE7" w:sz="4"/>
              <w:bottom w:val="single" w:color="ECEAE7" w:sz="4"/>
              <w:right w:val="single" w:color="ECEAE7" w:sz="4"/>
            </w:tcBorders>
            <w:shd w:fill="FFFFFF" w:val="solid"/>
            <w:tcMar>
              <w:top w:type="dxa" w:w="100"/>
              <w:left w:type="dxa" w:w="180"/>
              <w:bottom w:type="dxa" w:w="100"/>
              <w:right w:type="dxa" w:w="180"/>
            </w:tcMar>
          </w:tcPr>
          <w:p>
            <w:r>
              <w:rPr>
                <w:rFonts w:ascii="Calibri" w:cs="Calibri" w:eastAsia="Calibri" w:hAnsi="Calibri"/>
                <w:i/>
                <w:iCs/>
                <w:color w:val="6B7280"/>
                <w:sz w:val="19"/>
                <w:szCs w:val="19"/>
              </w:rPr>
              <w:t xml:space="preserve">Required. Fail if first statement references brands, products, or "discover."</w:t>
            </w:r>
          </w:p>
        </w:tc>
      </w:tr>
      <w:tr>
        <w:tc>
          <w:tcPr>
            <w:tcW w:type="dxa" w:w="680"/>
            <w:tcBorders>
              <w:top w:val="none" w:color="FFFFFF" w:sz="0"/>
              <w:left w:val="none" w:color="FFFFFF" w:sz="0"/>
              <w:bottom w:val="none" w:color="FFFFFF" w:sz="0"/>
              <w:right w:val="none" w:color="FFFFFF" w:sz="0"/>
            </w:tcBorders>
            <w:shd w:fill="14532D" w:val="solid"/>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PASS</w:t>
            </w:r>
          </w:p>
        </w:tc>
        <w:tc>
          <w:tcPr>
            <w:tcW w:type="dxa" w:w="3200"/>
            <w:tcBorders>
              <w:top w:val="single" w:color="ECEAE7" w:sz="4"/>
              <w:left w:val="single" w:color="ECEAE7" w:sz="4"/>
              <w:bottom w:val="single" w:color="ECEAE7" w:sz="4"/>
              <w:right w:val="single" w:color="ECEAE7" w:sz="4"/>
            </w:tcBorders>
            <w:shd w:fill="F5F4F2" w:val="solid"/>
            <w:tcMar>
              <w:top w:type="dxa" w:w="100"/>
              <w:left w:type="dxa" w:w="180"/>
              <w:bottom w:type="dxa" w:w="100"/>
              <w:right w:type="dxa" w:w="180"/>
            </w:tcMar>
          </w:tcPr>
          <w:p>
            <w:r>
              <w:rPr>
                <w:rFonts w:ascii="Calibri" w:cs="Calibri" w:eastAsia="Calibri" w:hAnsi="Calibri"/>
                <w:b/>
                <w:bCs/>
                <w:color w:val="181614"/>
                <w:sz w:val="20"/>
                <w:szCs w:val="20"/>
              </w:rPr>
              <w:t xml:space="preserve">Intelligence Hub ships at launch as a core product layer</w:t>
            </w:r>
          </w:p>
        </w:tc>
        <w:tc>
          <w:tcPr>
            <w:tcW w:type="dxa" w:w="5480"/>
            <w:tcBorders>
              <w:top w:val="single" w:color="ECEAE7" w:sz="4"/>
              <w:left w:val="single" w:color="ECEAE7" w:sz="4"/>
              <w:bottom w:val="single" w:color="ECEAE7" w:sz="4"/>
              <w:right w:val="single" w:color="ECEAE7" w:sz="4"/>
            </w:tcBorders>
            <w:shd w:fill="F5F4F2" w:val="solid"/>
            <w:tcMar>
              <w:top w:type="dxa" w:w="100"/>
              <w:left w:type="dxa" w:w="180"/>
              <w:bottom w:type="dxa" w:w="100"/>
              <w:right w:type="dxa" w:w="180"/>
            </w:tcMar>
          </w:tcPr>
          <w:p>
            <w:r>
              <w:rPr>
                <w:rFonts w:ascii="Calibri" w:cs="Calibri" w:eastAsia="Calibri" w:hAnsi="Calibri"/>
                <w:i/>
                <w:iCs/>
                <w:color w:val="6B7280"/>
                <w:sz w:val="19"/>
                <w:szCs w:val="19"/>
              </w:rPr>
              <w:t xml:space="preserve">Required. Fail if IH is described as Phase 2, teaser, or future capability.</w:t>
            </w:r>
          </w:p>
        </w:tc>
      </w:tr>
      <w:tr>
        <w:tc>
          <w:tcPr>
            <w:tcW w:type="dxa" w:w="680"/>
            <w:tcBorders>
              <w:top w:val="none" w:color="FFFFFF" w:sz="0"/>
              <w:left w:val="none" w:color="FFFFFF" w:sz="0"/>
              <w:bottom w:val="none" w:color="FFFFFF" w:sz="0"/>
              <w:right w:val="none" w:color="FFFFFF" w:sz="0"/>
            </w:tcBorders>
            <w:shd w:fill="14532D" w:val="solid"/>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PASS</w:t>
            </w:r>
          </w:p>
        </w:tc>
        <w:tc>
          <w:tcPr>
            <w:tcW w:type="dxa" w:w="3200"/>
            <w:tcBorders>
              <w:top w:val="single" w:color="ECEAE7" w:sz="4"/>
              <w:left w:val="single" w:color="ECEAE7" w:sz="4"/>
              <w:bottom w:val="single" w:color="ECEAE7" w:sz="4"/>
              <w:right w:val="single" w:color="ECEAE7" w:sz="4"/>
            </w:tcBorders>
            <w:shd w:fill="FFFFFF" w:val="solid"/>
            <w:tcMar>
              <w:top w:type="dxa" w:w="100"/>
              <w:left w:type="dxa" w:w="180"/>
              <w:bottom w:type="dxa" w:w="100"/>
              <w:right w:type="dxa" w:w="180"/>
            </w:tcMar>
          </w:tcPr>
          <w:p>
            <w:r>
              <w:rPr>
                <w:rFonts w:ascii="Calibri" w:cs="Calibri" w:eastAsia="Calibri" w:hAnsi="Calibri"/>
                <w:b/>
                <w:bCs/>
                <w:color w:val="181614"/>
                <w:sz w:val="20"/>
                <w:szCs w:val="20"/>
              </w:rPr>
              <w:t xml:space="preserve">Primary CTA is intelligence-framed</w:t>
            </w:r>
          </w:p>
        </w:tc>
        <w:tc>
          <w:tcPr>
            <w:tcW w:type="dxa" w:w="5480"/>
            <w:tcBorders>
              <w:top w:val="single" w:color="ECEAE7" w:sz="4"/>
              <w:left w:val="single" w:color="ECEAE7" w:sz="4"/>
              <w:bottom w:val="single" w:color="ECEAE7" w:sz="4"/>
              <w:right w:val="single" w:color="ECEAE7" w:sz="4"/>
            </w:tcBorders>
            <w:shd w:fill="FFFFFF" w:val="solid"/>
            <w:tcMar>
              <w:top w:type="dxa" w:w="100"/>
              <w:left w:type="dxa" w:w="180"/>
              <w:bottom w:type="dxa" w:w="100"/>
              <w:right w:type="dxa" w:w="180"/>
            </w:tcMar>
          </w:tcPr>
          <w:p>
            <w:r>
              <w:rPr>
                <w:rFonts w:ascii="Calibri" w:cs="Calibri" w:eastAsia="Calibri" w:hAnsi="Calibri"/>
                <w:i/>
                <w:iCs/>
                <w:color w:val="6B7280"/>
                <w:sz w:val="19"/>
                <w:szCs w:val="19"/>
              </w:rPr>
              <w:t xml:space="preserve">Required. Fail if primary CTA says "Browse brands," "Explore marketplace," or "Request demo."</w:t>
            </w:r>
          </w:p>
        </w:tc>
      </w:tr>
      <w:tr>
        <w:tc>
          <w:tcPr>
            <w:tcW w:type="dxa" w:w="680"/>
            <w:tcBorders>
              <w:top w:val="none" w:color="FFFFFF" w:sz="0"/>
              <w:left w:val="none" w:color="FFFFFF" w:sz="0"/>
              <w:bottom w:val="none" w:color="FFFFFF" w:sz="0"/>
              <w:right w:val="none" w:color="FFFFFF" w:sz="0"/>
            </w:tcBorders>
            <w:shd w:fill="14532D" w:val="solid"/>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PASS</w:t>
            </w:r>
          </w:p>
        </w:tc>
        <w:tc>
          <w:tcPr>
            <w:tcW w:type="dxa" w:w="3200"/>
            <w:tcBorders>
              <w:top w:val="single" w:color="ECEAE7" w:sz="4"/>
              <w:left w:val="single" w:color="ECEAE7" w:sz="4"/>
              <w:bottom w:val="single" w:color="ECEAE7" w:sz="4"/>
              <w:right w:val="single" w:color="ECEAE7" w:sz="4"/>
            </w:tcBorders>
            <w:shd w:fill="F5F4F2" w:val="solid"/>
            <w:tcMar>
              <w:top w:type="dxa" w:w="100"/>
              <w:left w:type="dxa" w:w="180"/>
              <w:bottom w:type="dxa" w:w="100"/>
              <w:right w:type="dxa" w:w="180"/>
            </w:tcMar>
          </w:tcPr>
          <w:p>
            <w:r>
              <w:rPr>
                <w:rFonts w:ascii="Calibri" w:cs="Calibri" w:eastAsia="Calibri" w:hAnsi="Calibri"/>
                <w:b/>
                <w:bCs/>
                <w:color w:val="181614"/>
                <w:sz w:val="20"/>
                <w:szCs w:val="20"/>
              </w:rPr>
              <w:t xml:space="preserve">Market Pulse or live signal is visible above fold</w:t>
            </w:r>
          </w:p>
        </w:tc>
        <w:tc>
          <w:tcPr>
            <w:tcW w:type="dxa" w:w="5480"/>
            <w:tcBorders>
              <w:top w:val="single" w:color="ECEAE7" w:sz="4"/>
              <w:left w:val="single" w:color="ECEAE7" w:sz="4"/>
              <w:bottom w:val="single" w:color="ECEAE7" w:sz="4"/>
              <w:right w:val="single" w:color="ECEAE7" w:sz="4"/>
            </w:tcBorders>
            <w:shd w:fill="F5F4F2" w:val="solid"/>
            <w:tcMar>
              <w:top w:type="dxa" w:w="100"/>
              <w:left w:type="dxa" w:w="180"/>
              <w:bottom w:type="dxa" w:w="100"/>
              <w:right w:type="dxa" w:w="180"/>
            </w:tcMar>
          </w:tcPr>
          <w:p>
            <w:r>
              <w:rPr>
                <w:rFonts w:ascii="Calibri" w:cs="Calibri" w:eastAsia="Calibri" w:hAnsi="Calibri"/>
                <w:i/>
                <w:iCs/>
                <w:color w:val="6B7280"/>
                <w:sz w:val="19"/>
                <w:szCs w:val="19"/>
              </w:rPr>
              <w:t xml:space="preserve">Required. Fail if no live-feeling data is visible before the fold.</w:t>
            </w:r>
          </w:p>
        </w:tc>
      </w:tr>
      <w:tr>
        <w:tc>
          <w:tcPr>
            <w:tcW w:type="dxa" w:w="680"/>
            <w:tcBorders>
              <w:top w:val="none" w:color="FFFFFF" w:sz="0"/>
              <w:left w:val="none" w:color="FFFFFF" w:sz="0"/>
              <w:bottom w:val="none" w:color="FFFFFF" w:sz="0"/>
              <w:right w:val="none" w:color="FFFFFF" w:sz="0"/>
            </w:tcBorders>
            <w:shd w:fill="14532D" w:val="solid"/>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PASS</w:t>
            </w:r>
          </w:p>
        </w:tc>
        <w:tc>
          <w:tcPr>
            <w:tcW w:type="dxa" w:w="3200"/>
            <w:tcBorders>
              <w:top w:val="single" w:color="ECEAE7" w:sz="4"/>
              <w:left w:val="single" w:color="ECEAE7" w:sz="4"/>
              <w:bottom w:val="single" w:color="ECEAE7" w:sz="4"/>
              <w:right w:val="single" w:color="ECEAE7" w:sz="4"/>
            </w:tcBorders>
            <w:shd w:fill="FFFFFF" w:val="solid"/>
            <w:tcMar>
              <w:top w:type="dxa" w:w="100"/>
              <w:left w:type="dxa" w:w="180"/>
              <w:bottom w:type="dxa" w:w="100"/>
              <w:right w:type="dxa" w:w="180"/>
            </w:tcMar>
          </w:tcPr>
          <w:p>
            <w:r>
              <w:rPr>
                <w:rFonts w:ascii="Calibri" w:cs="Calibri" w:eastAsia="Calibri" w:hAnsi="Calibri"/>
                <w:b/>
                <w:bCs/>
                <w:color w:val="181614"/>
                <w:sz w:val="20"/>
                <w:szCs w:val="20"/>
              </w:rPr>
              <w:t xml:space="preserve">Operator social proof references intelligence value</w:t>
            </w:r>
          </w:p>
        </w:tc>
        <w:tc>
          <w:tcPr>
            <w:tcW w:type="dxa" w:w="5480"/>
            <w:tcBorders>
              <w:top w:val="single" w:color="ECEAE7" w:sz="4"/>
              <w:left w:val="single" w:color="ECEAE7" w:sz="4"/>
              <w:bottom w:val="single" w:color="ECEAE7" w:sz="4"/>
              <w:right w:val="single" w:color="ECEAE7" w:sz="4"/>
            </w:tcBorders>
            <w:shd w:fill="FFFFFF" w:val="solid"/>
            <w:tcMar>
              <w:top w:type="dxa" w:w="100"/>
              <w:left w:type="dxa" w:w="180"/>
              <w:bottom w:type="dxa" w:w="100"/>
              <w:right w:type="dxa" w:w="180"/>
            </w:tcMar>
          </w:tcPr>
          <w:p>
            <w:r>
              <w:rPr>
                <w:rFonts w:ascii="Calibri" w:cs="Calibri" w:eastAsia="Calibri" w:hAnsi="Calibri"/>
                <w:i/>
                <w:iCs/>
                <w:color w:val="6B7280"/>
                <w:sz w:val="19"/>
                <w:szCs w:val="19"/>
              </w:rPr>
              <w:t xml:space="preserve">Required. Fail if all social proof references product selection or pricing.</w:t>
            </w:r>
          </w:p>
        </w:tc>
      </w:tr>
      <w:tr>
        <w:tc>
          <w:tcPr>
            <w:tcW w:type="dxa" w:w="680"/>
            <w:tcBorders>
              <w:top w:val="none" w:color="FFFFFF" w:sz="0"/>
              <w:left w:val="none" w:color="FFFFFF" w:sz="0"/>
              <w:bottom w:val="none" w:color="FFFFFF" w:sz="0"/>
              <w:right w:val="none" w:color="FFFFFF" w:sz="0"/>
            </w:tcBorders>
            <w:shd w:fill="14532D" w:val="solid"/>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PASS</w:t>
            </w:r>
          </w:p>
        </w:tc>
        <w:tc>
          <w:tcPr>
            <w:tcW w:type="dxa" w:w="3200"/>
            <w:tcBorders>
              <w:top w:val="single" w:color="ECEAE7" w:sz="4"/>
              <w:left w:val="single" w:color="ECEAE7" w:sz="4"/>
              <w:bottom w:val="single" w:color="ECEAE7" w:sz="4"/>
              <w:right w:val="single" w:color="ECEAE7" w:sz="4"/>
            </w:tcBorders>
            <w:shd w:fill="F5F4F2" w:val="solid"/>
            <w:tcMar>
              <w:top w:type="dxa" w:w="100"/>
              <w:left w:type="dxa" w:w="180"/>
              <w:bottom w:type="dxa" w:w="100"/>
              <w:right w:type="dxa" w:w="180"/>
            </w:tcMar>
          </w:tcPr>
          <w:p>
            <w:r>
              <w:rPr>
                <w:rFonts w:ascii="Calibri" w:cs="Calibri" w:eastAsia="Calibri" w:hAnsi="Calibri"/>
                <w:b/>
                <w:bCs/>
                <w:color w:val="181614"/>
                <w:sz w:val="20"/>
                <w:szCs w:val="20"/>
              </w:rPr>
              <w:t xml:space="preserve">Brand section is secondary on homepage</w:t>
            </w:r>
          </w:p>
        </w:tc>
        <w:tc>
          <w:tcPr>
            <w:tcW w:type="dxa" w:w="5480"/>
            <w:tcBorders>
              <w:top w:val="single" w:color="ECEAE7" w:sz="4"/>
              <w:left w:val="single" w:color="ECEAE7" w:sz="4"/>
              <w:bottom w:val="single" w:color="ECEAE7" w:sz="4"/>
              <w:right w:val="single" w:color="ECEAE7" w:sz="4"/>
            </w:tcBorders>
            <w:shd w:fill="F5F4F2" w:val="solid"/>
            <w:tcMar>
              <w:top w:type="dxa" w:w="100"/>
              <w:left w:type="dxa" w:w="180"/>
              <w:bottom w:type="dxa" w:w="100"/>
              <w:right w:type="dxa" w:w="180"/>
            </w:tcMar>
          </w:tcPr>
          <w:p>
            <w:r>
              <w:rPr>
                <w:rFonts w:ascii="Calibri" w:cs="Calibri" w:eastAsia="Calibri" w:hAnsi="Calibri"/>
                <w:i/>
                <w:iCs/>
                <w:color w:val="6B7280"/>
                <w:sz w:val="19"/>
                <w:szCs w:val="19"/>
              </w:rPr>
              <w:t xml:space="preserve">Required. Fail if brand logos or product imagery dominate above-fold space.</w:t>
            </w:r>
          </w:p>
        </w:tc>
      </w:tr>
      <w:tr>
        <w:tc>
          <w:tcPr>
            <w:tcW w:type="dxa" w:w="680"/>
            <w:tcBorders>
              <w:top w:val="none" w:color="FFFFFF" w:sz="0"/>
              <w:left w:val="none" w:color="FFFFFF" w:sz="0"/>
              <w:bottom w:val="none" w:color="FFFFFF" w:sz="0"/>
              <w:right w:val="none" w:color="FFFFFF" w:sz="0"/>
            </w:tcBorders>
            <w:shd w:fill="374151" w:val="solid"/>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CHECK</w:t>
            </w:r>
          </w:p>
        </w:tc>
        <w:tc>
          <w:tcPr>
            <w:tcW w:type="dxa" w:w="3200"/>
            <w:tcBorders>
              <w:top w:val="single" w:color="ECEAE7" w:sz="4"/>
              <w:left w:val="single" w:color="ECEAE7" w:sz="4"/>
              <w:bottom w:val="single" w:color="ECEAE7" w:sz="4"/>
              <w:right w:val="single" w:color="ECEAE7" w:sz="4"/>
            </w:tcBorders>
            <w:shd w:fill="FFFFFF" w:val="solid"/>
            <w:tcMar>
              <w:top w:type="dxa" w:w="100"/>
              <w:left w:type="dxa" w:w="180"/>
              <w:bottom w:type="dxa" w:w="100"/>
              <w:right w:type="dxa" w:w="180"/>
            </w:tcMar>
          </w:tcPr>
          <w:p>
            <w:r>
              <w:rPr>
                <w:rFonts w:ascii="Calibri" w:cs="Calibri" w:eastAsia="Calibri" w:hAnsi="Calibri"/>
                <w:b/>
                <w:bCs/>
                <w:color w:val="181614"/>
                <w:sz w:val="20"/>
                <w:szCs w:val="20"/>
              </w:rPr>
              <w:t xml:space="preserve">Hub preview shows real interface, not illustration</w:t>
            </w:r>
          </w:p>
        </w:tc>
        <w:tc>
          <w:tcPr>
            <w:tcW w:type="dxa" w:w="5480"/>
            <w:tcBorders>
              <w:top w:val="single" w:color="ECEAE7" w:sz="4"/>
              <w:left w:val="single" w:color="ECEAE7" w:sz="4"/>
              <w:bottom w:val="single" w:color="ECEAE7" w:sz="4"/>
              <w:right w:val="single" w:color="ECEAE7" w:sz="4"/>
            </w:tcBorders>
            <w:shd w:fill="FFFFFF" w:val="solid"/>
            <w:tcMar>
              <w:top w:type="dxa" w:w="100"/>
              <w:left w:type="dxa" w:w="180"/>
              <w:bottom w:type="dxa" w:w="100"/>
              <w:right w:type="dxa" w:w="180"/>
            </w:tcMar>
          </w:tcPr>
          <w:p>
            <w:r>
              <w:rPr>
                <w:rFonts w:ascii="Calibri" w:cs="Calibri" w:eastAsia="Calibri" w:hAnsi="Calibri"/>
                <w:i/>
                <w:iCs/>
                <w:color w:val="6B7280"/>
                <w:sz w:val="19"/>
                <w:szCs w:val="19"/>
              </w:rPr>
              <w:t xml:space="preserve">Needs design confirmation. Seeded data is acceptable. Illustrated mockups are not.</w:t>
            </w:r>
          </w:p>
        </w:tc>
      </w:tr>
      <w:tr>
        <w:tc>
          <w:tcPr>
            <w:tcW w:type="dxa" w:w="680"/>
            <w:tcBorders>
              <w:top w:val="none" w:color="FFFFFF" w:sz="0"/>
              <w:left w:val="none" w:color="FFFFFF" w:sz="0"/>
              <w:bottom w:val="none" w:color="FFFFFF" w:sz="0"/>
              <w:right w:val="none" w:color="FFFFFF" w:sz="0"/>
            </w:tcBorders>
            <w:shd w:fill="14532D" w:val="solid"/>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PASS</w:t>
            </w:r>
          </w:p>
        </w:tc>
        <w:tc>
          <w:tcPr>
            <w:tcW w:type="dxa" w:w="3200"/>
            <w:tcBorders>
              <w:top w:val="single" w:color="ECEAE7" w:sz="4"/>
              <w:left w:val="single" w:color="ECEAE7" w:sz="4"/>
              <w:bottom w:val="single" w:color="ECEAE7" w:sz="4"/>
              <w:right w:val="single" w:color="ECEAE7" w:sz="4"/>
            </w:tcBorders>
            <w:shd w:fill="F5F4F2" w:val="solid"/>
            <w:tcMar>
              <w:top w:type="dxa" w:w="100"/>
              <w:left w:type="dxa" w:w="180"/>
              <w:bottom w:type="dxa" w:w="100"/>
              <w:right w:type="dxa" w:w="180"/>
            </w:tcMar>
          </w:tcPr>
          <w:p>
            <w:r>
              <w:rPr>
                <w:rFonts w:ascii="Calibri" w:cs="Calibri" w:eastAsia="Calibri" w:hAnsi="Calibri"/>
                <w:b/>
                <w:bCs/>
                <w:color w:val="181614"/>
                <w:sz w:val="20"/>
                <w:szCs w:val="20"/>
              </w:rPr>
              <w:t xml:space="preserve">Intelligence-to-commerce conversion path is defined</w:t>
            </w:r>
          </w:p>
        </w:tc>
        <w:tc>
          <w:tcPr>
            <w:tcW w:type="dxa" w:w="5480"/>
            <w:tcBorders>
              <w:top w:val="single" w:color="ECEAE7" w:sz="4"/>
              <w:left w:val="single" w:color="ECEAE7" w:sz="4"/>
              <w:bottom w:val="single" w:color="ECEAE7" w:sz="4"/>
              <w:right w:val="single" w:color="ECEAE7" w:sz="4"/>
            </w:tcBorders>
            <w:shd w:fill="F5F4F2" w:val="solid"/>
            <w:tcMar>
              <w:top w:type="dxa" w:w="100"/>
              <w:left w:type="dxa" w:w="180"/>
              <w:bottom w:type="dxa" w:w="100"/>
              <w:right w:type="dxa" w:w="180"/>
            </w:tcMar>
          </w:tcPr>
          <w:p>
            <w:r>
              <w:rPr>
                <w:rFonts w:ascii="Calibri" w:cs="Calibri" w:eastAsia="Calibri" w:hAnsi="Calibri"/>
                <w:i/>
                <w:iCs/>
                <w:color w:val="6B7280"/>
                <w:sz w:val="19"/>
                <w:szCs w:val="19"/>
              </w:rPr>
              <w:t xml:space="preserve">Required. Intelligence access leads to account creation leads to sourcing activation.</w:t>
            </w:r>
          </w:p>
        </w:tc>
      </w:tr>
      <w:tr>
        <w:tc>
          <w:tcPr>
            <w:tcW w:type="dxa" w:w="680"/>
            <w:tcBorders>
              <w:top w:val="none" w:color="FFFFFF" w:sz="0"/>
              <w:left w:val="none" w:color="FFFFFF" w:sz="0"/>
              <w:bottom w:val="none" w:color="FFFFFF" w:sz="0"/>
              <w:right w:val="none" w:color="FFFFFF" w:sz="0"/>
            </w:tcBorders>
            <w:shd w:fill="14532D" w:val="solid"/>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PASS</w:t>
            </w:r>
          </w:p>
        </w:tc>
        <w:tc>
          <w:tcPr>
            <w:tcW w:type="dxa" w:w="3200"/>
            <w:tcBorders>
              <w:top w:val="single" w:color="ECEAE7" w:sz="4"/>
              <w:left w:val="single" w:color="ECEAE7" w:sz="4"/>
              <w:bottom w:val="single" w:color="ECEAE7" w:sz="4"/>
              <w:right w:val="single" w:color="ECEAE7" w:sz="4"/>
            </w:tcBorders>
            <w:shd w:fill="FFFFFF" w:val="solid"/>
            <w:tcMar>
              <w:top w:type="dxa" w:w="100"/>
              <w:left w:type="dxa" w:w="180"/>
              <w:bottom w:type="dxa" w:w="100"/>
              <w:right w:type="dxa" w:w="180"/>
            </w:tcMar>
          </w:tcPr>
          <w:p>
            <w:r>
              <w:rPr>
                <w:rFonts w:ascii="Calibri" w:cs="Calibri" w:eastAsia="Calibri" w:hAnsi="Calibri"/>
                <w:b/>
                <w:bCs/>
                <w:color w:val="181614"/>
                <w:sz w:val="20"/>
                <w:szCs w:val="20"/>
              </w:rPr>
              <w:t xml:space="preserve">Technology monetization is not publicly visible at launch</w:t>
            </w:r>
          </w:p>
        </w:tc>
        <w:tc>
          <w:tcPr>
            <w:tcW w:type="dxa" w:w="5480"/>
            <w:tcBorders>
              <w:top w:val="single" w:color="ECEAE7" w:sz="4"/>
              <w:left w:val="single" w:color="ECEAE7" w:sz="4"/>
              <w:bottom w:val="single" w:color="ECEAE7" w:sz="4"/>
              <w:right w:val="single" w:color="ECEAE7" w:sz="4"/>
            </w:tcBorders>
            <w:shd w:fill="FFFFFF" w:val="solid"/>
            <w:tcMar>
              <w:top w:type="dxa" w:w="100"/>
              <w:left w:type="dxa" w:w="180"/>
              <w:bottom w:type="dxa" w:w="100"/>
              <w:right w:type="dxa" w:w="180"/>
            </w:tcMar>
          </w:tcPr>
          <w:p>
            <w:r>
              <w:rPr>
                <w:rFonts w:ascii="Calibri" w:cs="Calibri" w:eastAsia="Calibri" w:hAnsi="Calibri"/>
                <w:i/>
                <w:iCs/>
                <w:color w:val="6B7280"/>
                <w:sz w:val="19"/>
                <w:szCs w:val="19"/>
              </w:rPr>
              <w:t xml:space="preserve">Required. Internal planning only. No public mention.</w:t>
            </w:r>
          </w:p>
        </w:tc>
      </w:tr>
      <w:tr>
        <w:tc>
          <w:tcPr>
            <w:tcW w:type="dxa" w:w="680"/>
            <w:tcBorders>
              <w:top w:val="none" w:color="FFFFFF" w:sz="0"/>
              <w:left w:val="none" w:color="FFFFFF" w:sz="0"/>
              <w:bottom w:val="none" w:color="FFFFFF" w:sz="0"/>
              <w:right w:val="none" w:color="FFFFFF" w:sz="0"/>
            </w:tcBorders>
            <w:shd w:fill="374151" w:val="solid"/>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CHECK</w:t>
            </w:r>
          </w:p>
        </w:tc>
        <w:tc>
          <w:tcPr>
            <w:tcW w:type="dxa" w:w="3200"/>
            <w:tcBorders>
              <w:top w:val="single" w:color="ECEAE7" w:sz="4"/>
              <w:left w:val="single" w:color="ECEAE7" w:sz="4"/>
              <w:bottom w:val="single" w:color="ECEAE7" w:sz="4"/>
              <w:right w:val="single" w:color="ECEAE7" w:sz="4"/>
            </w:tcBorders>
            <w:shd w:fill="F5F4F2" w:val="solid"/>
            <w:tcMar>
              <w:top w:type="dxa" w:w="100"/>
              <w:left w:type="dxa" w:w="180"/>
              <w:bottom w:type="dxa" w:w="100"/>
              <w:right w:type="dxa" w:w="180"/>
            </w:tcMar>
          </w:tcPr>
          <w:p>
            <w:r>
              <w:rPr>
                <w:rFonts w:ascii="Calibri" w:cs="Calibri" w:eastAsia="Calibri" w:hAnsi="Calibri"/>
                <w:b/>
                <w:bCs/>
                <w:color w:val="181614"/>
                <w:sz w:val="20"/>
                <w:szCs w:val="20"/>
              </w:rPr>
              <w:t xml:space="preserve">Coordination document has been updated to reflect new thesis</w:t>
            </w:r>
          </w:p>
        </w:tc>
        <w:tc>
          <w:tcPr>
            <w:tcW w:type="dxa" w:w="5480"/>
            <w:tcBorders>
              <w:top w:val="single" w:color="ECEAE7" w:sz="4"/>
              <w:left w:val="single" w:color="ECEAE7" w:sz="4"/>
              <w:bottom w:val="single" w:color="ECEAE7" w:sz="4"/>
              <w:right w:val="single" w:color="ECEAE7" w:sz="4"/>
            </w:tcBorders>
            <w:shd w:fill="F5F4F2" w:val="solid"/>
            <w:tcMar>
              <w:top w:type="dxa" w:w="100"/>
              <w:left w:type="dxa" w:w="180"/>
              <w:bottom w:type="dxa" w:w="100"/>
              <w:right w:type="dxa" w:w="180"/>
            </w:tcMar>
          </w:tcPr>
          <w:p>
            <w:r>
              <w:rPr>
                <w:rFonts w:ascii="Calibri" w:cs="Calibri" w:eastAsia="Calibri" w:hAnsi="Calibri"/>
                <w:i/>
                <w:iCs/>
                <w:color w:val="6B7280"/>
                <w:sz w:val="19"/>
                <w:szCs w:val="19"/>
              </w:rPr>
              <w:t xml:space="preserve">Requires explicit update pass after this document is reviewed.</w:t>
            </w:r>
          </w:p>
        </w:tc>
      </w:tr>
    </w:tbl>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A8-B. Red Flags to Watch For</w:t>
      </w:r>
    </w:p>
    <w:tbl>
      <w:tblPr>
        <w:tblW w:type="dxa" w:w="9360"/>
        <w:tblBorders>
          <w:top w:val="single" w:color="ECEAE7" w:sz="4"/>
          <w:left w:val="single" w:color="ECEAE7" w:sz="4"/>
          <w:bottom w:val="single" w:color="ECEAE7" w:sz="4"/>
          <w:right w:val="single" w:color="ECEAE7" w:sz="4"/>
          <w:insideH w:val="single" w:color="auto" w:sz="4"/>
          <w:insideV w:val="single" w:color="auto" w:sz="4"/>
        </w:tblBorders>
      </w:tblPr>
      <w:tblGrid>
        <w:gridCol w:w="100"/>
        <w:gridCol w:w="100"/>
      </w:tblGrid>
      <w:tr>
        <w:tc>
          <w:tcPr>
            <w:tcW w:type="dxa" w:w="2600"/>
            <w:tcBorders>
              <w:top w:val="none" w:color="FFFFFF" w:sz="0"/>
              <w:left w:val="none" w:color="FFFFFF" w:sz="0"/>
              <w:bottom w:val="none" w:color="FFFFFF" w:sz="0"/>
              <w:right w:val="none" w:color="FFFFFF" w:sz="0"/>
            </w:tcBorders>
            <w:shd w:fill="0F1923" w:val="solid"/>
            <w:tcMar>
              <w:top w:type="dxa" w:w="100"/>
              <w:left w:type="dxa" w:w="200"/>
              <w:bottom w:type="dxa" w:w="100"/>
              <w:right w:type="dxa" w:w="200"/>
            </w:tcMar>
          </w:tcPr>
          <w:p>
            <w:r>
              <w:rPr>
                <w:rFonts w:ascii="Calibri" w:cs="Calibri" w:eastAsia="Calibri" w:hAnsi="Calibri"/>
                <w:b/>
                <w:bCs/>
                <w:color w:val="FFFFFF"/>
                <w:sz w:val="19"/>
                <w:szCs w:val="19"/>
              </w:rPr>
              <w:t xml:space="preserve">Flag</w:t>
            </w:r>
          </w:p>
        </w:tc>
        <w:tc>
          <w:tcPr>
            <w:tcW w:type="dxa" w:w="6760"/>
            <w:tcBorders>
              <w:top w:val="none" w:color="FFFFFF" w:sz="0"/>
              <w:left w:val="none" w:color="FFFFFF" w:sz="0"/>
              <w:bottom w:val="none" w:color="FFFFFF" w:sz="0"/>
              <w:right w:val="none" w:color="FFFFFF" w:sz="0"/>
            </w:tcBorders>
            <w:shd w:fill="1A1F2B" w:val="solid"/>
            <w:tcMar>
              <w:top w:type="dxa" w:w="100"/>
              <w:left w:type="dxa" w:w="200"/>
              <w:bottom w:type="dxa" w:w="100"/>
              <w:right w:type="dxa" w:w="200"/>
            </w:tcMar>
          </w:tcPr>
          <w:p>
            <w:r>
              <w:rPr>
                <w:rFonts w:ascii="Calibri" w:cs="Calibri" w:eastAsia="Calibri" w:hAnsi="Calibri"/>
                <w:b/>
                <w:bCs/>
                <w:color w:val="FFFFFF"/>
                <w:sz w:val="19"/>
                <w:szCs w:val="19"/>
              </w:rPr>
              <w:t xml:space="preserve">Description and Risk</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Red Flag 01</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"IH will be a teaser at launch and full intelligence comes later." This assumption must be replaced.</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Red Flag 02</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Hero copy that leads with brand count, product selection, or "wholesale marketplace."</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Red Flag 03</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No live or live-feeling signal visible on public pages.</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Red Flag 04</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CTA says "browse brands" or "explore the marketplace" in primary position.</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Red Flag 05</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"Intelligence" described as a resource center, blog, or education library.</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Red Flag 06</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Homepage that could belong to any B2B marketplace — no differentiated intelligence hook.</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Red Flag 07</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Coordination document still describes the marketplace as the primary product.</w:t>
            </w:r>
          </w:p>
        </w:tc>
      </w:tr>
    </w:tbl>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A8-C. Pass / Fail Criteria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20"/>
            <w:tcBorders>
              <w:top w:val="none" w:color="FFFFFF" w:sz="0"/>
              <w:left w:val="none" w:color="FFFFFF" w:sz="0"/>
              <w:bottom w:val="none" w:color="FFFFFF" w:sz="0"/>
              <w:right w:val="none" w:color="FFFFFF" w:sz="0"/>
            </w:tcBorders>
            <w:shd w:fill="14532D" w:val="solid"/>
          </w:tcPr>
          <w:p>
            <w:r>
              <w:t xml:space="preserve"/>
            </w:r>
          </w:p>
        </w:tc>
        <w:tc>
          <w:tcPr>
            <w:tcW w:type="dxa" w:w="9240"/>
            <w:tcBorders>
              <w:top w:val="none" w:color="FFFFFF" w:sz="0"/>
              <w:left w:val="none" w:color="FFFFFF" w:sz="0"/>
              <w:bottom w:val="none" w:color="FFFFFF" w:sz="0"/>
              <w:right w:val="none" w:color="FFFFFF" w:sz="0"/>
            </w:tcBorders>
            <w:shd w:fill="F5F4F2" w:val="solid"/>
            <w:tcMar>
              <w:top w:type="dxa" w:w="160"/>
              <w:left w:type="dxa" w:w="280"/>
              <w:bottom w:type="dxa" w:w="160"/>
              <w:right w:type="dxa" w:w="280"/>
            </w:tcMar>
          </w:tcPr>
          <w:p>
            <w:pPr>
              <w:spacing w:after="60" w:before="0"/>
            </w:pPr>
            <w:r>
              <w:rPr>
                <w:rFonts w:ascii="Calibri" w:cs="Calibri" w:eastAsia="Calibri" w:hAnsi="Calibri"/>
                <w:b/>
                <w:bCs/>
                <w:color w:val="3E4C5E"/>
                <w:sz w:val="22"/>
                <w:szCs w:val="22"/>
              </w:rPr>
              <w:t xml:space="preserve">Pass Criteria</w:t>
            </w:r>
          </w:p>
          <w:p>
            <w:r>
              <w:rPr>
                <w:rFonts w:ascii="Calibri" w:cs="Calibri" w:eastAsia="Calibri" w:hAnsi="Calibri"/>
                <w:color w:val="181614"/>
                <w:sz w:val="21"/>
                <w:szCs w:val="21"/>
              </w:rPr>
              <w:t xml:space="preserve">An operator who visits the homepage for the first time understands SOCELLE offers intelligence that makes them a smarter operator — before they see any product catalog, brand list, or pricing information. The intelligence is the first impression.</w:t>
            </w:r>
          </w:p>
        </w:tc>
      </w:tr>
    </w:tbl>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20"/>
            <w:tcBorders>
              <w:top w:val="none" w:color="FFFFFF" w:sz="0"/>
              <w:left w:val="none" w:color="FFFFFF" w:sz="0"/>
              <w:bottom w:val="none" w:color="FFFFFF" w:sz="0"/>
              <w:right w:val="none" w:color="FFFFFF" w:sz="0"/>
            </w:tcBorders>
            <w:shd w:fill="7F1D1D" w:val="solid"/>
          </w:tcPr>
          <w:p>
            <w:r>
              <w:t xml:space="preserve"/>
            </w:r>
          </w:p>
        </w:tc>
        <w:tc>
          <w:tcPr>
            <w:tcW w:type="dxa" w:w="9240"/>
            <w:tcBorders>
              <w:top w:val="none" w:color="FFFFFF" w:sz="0"/>
              <w:left w:val="none" w:color="FFFFFF" w:sz="0"/>
              <w:bottom w:val="none" w:color="FFFFFF" w:sz="0"/>
              <w:right w:val="none" w:color="FFFFFF" w:sz="0"/>
            </w:tcBorders>
            <w:shd w:fill="F5F4F2" w:val="solid"/>
            <w:tcMar>
              <w:top w:type="dxa" w:w="160"/>
              <w:left w:type="dxa" w:w="280"/>
              <w:bottom w:type="dxa" w:w="160"/>
              <w:right w:type="dxa" w:w="280"/>
            </w:tcMar>
          </w:tcPr>
          <w:p>
            <w:pPr>
              <w:spacing w:after="60" w:before="0"/>
            </w:pPr>
            <w:r>
              <w:rPr>
                <w:rFonts w:ascii="Calibri" w:cs="Calibri" w:eastAsia="Calibri" w:hAnsi="Calibri"/>
                <w:b/>
                <w:bCs/>
                <w:color w:val="3E4C5E"/>
                <w:sz w:val="22"/>
                <w:szCs w:val="22"/>
              </w:rPr>
              <w:t xml:space="preserve">Fail Criteria</w:t>
            </w:r>
          </w:p>
          <w:p>
            <w:r>
              <w:rPr>
                <w:rFonts w:ascii="Calibri" w:cs="Calibri" w:eastAsia="Calibri" w:hAnsi="Calibri"/>
                <w:color w:val="181614"/>
                <w:sz w:val="21"/>
                <w:szCs w:val="21"/>
              </w:rPr>
              <w:t xml:space="preserve">An operator who visits the homepage walks away thinking SOCELLE is another professional wholesale marketplace with some content resources. The product is not differentiated from competitive platforms by the public-facing experience.</w:t>
            </w:r>
          </w:p>
        </w:tc>
      </w:tr>
    </w:tbl>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A8-D. Current Assumptions That Must Be Challenged</w:t>
      </w:r>
    </w:p>
    <w:tbl>
      <w:tblPr>
        <w:tblW w:type="dxa" w:w="9360"/>
        <w:tblBorders>
          <w:top w:val="single" w:color="ECEAE7" w:sz="4"/>
          <w:left w:val="single" w:color="ECEAE7" w:sz="4"/>
          <w:bottom w:val="single" w:color="ECEAE7" w:sz="4"/>
          <w:right w:val="single" w:color="ECEAE7" w:sz="4"/>
          <w:insideH w:val="single" w:color="auto" w:sz="4"/>
          <w:insideV w:val="single" w:color="auto" w:sz="4"/>
        </w:tblBorders>
      </w:tblPr>
      <w:tblGrid>
        <w:gridCol w:w="100"/>
        <w:gridCol w:w="100"/>
      </w:tblGrid>
      <w:tr>
        <w:tc>
          <w:tcPr>
            <w:tcW w:type="dxa" w:w="2600"/>
            <w:tcBorders>
              <w:top w:val="none" w:color="FFFFFF" w:sz="0"/>
              <w:left w:val="none" w:color="FFFFFF" w:sz="0"/>
              <w:bottom w:val="none" w:color="FFFFFF" w:sz="0"/>
              <w:right w:val="none" w:color="FFFFFF" w:sz="0"/>
            </w:tcBorders>
            <w:shd w:fill="0F1923" w:val="solid"/>
            <w:tcMar>
              <w:top w:type="dxa" w:w="100"/>
              <w:left w:type="dxa" w:w="200"/>
              <w:bottom w:type="dxa" w:w="100"/>
              <w:right w:type="dxa" w:w="200"/>
            </w:tcMar>
          </w:tcPr>
          <w:p>
            <w:r>
              <w:rPr>
                <w:rFonts w:ascii="Calibri" w:cs="Calibri" w:eastAsia="Calibri" w:hAnsi="Calibri"/>
                <w:b/>
                <w:bCs/>
                <w:color w:val="FFFFFF"/>
                <w:sz w:val="19"/>
                <w:szCs w:val="19"/>
              </w:rPr>
              <w:t xml:space="preserve">Assumption</w:t>
            </w:r>
          </w:p>
        </w:tc>
        <w:tc>
          <w:tcPr>
            <w:tcW w:type="dxa" w:w="6760"/>
            <w:tcBorders>
              <w:top w:val="none" w:color="FFFFFF" w:sz="0"/>
              <w:left w:val="none" w:color="FFFFFF" w:sz="0"/>
              <w:bottom w:val="none" w:color="FFFFFF" w:sz="0"/>
              <w:right w:val="none" w:color="FFFFFF" w:sz="0"/>
            </w:tcBorders>
            <w:shd w:fill="1A1F2B" w:val="solid"/>
            <w:tcMar>
              <w:top w:type="dxa" w:w="100"/>
              <w:left w:type="dxa" w:w="200"/>
              <w:bottom w:type="dxa" w:w="100"/>
              <w:right w:type="dxa" w:w="200"/>
            </w:tcMar>
          </w:tcPr>
          <w:p>
            <w:r>
              <w:rPr>
                <w:rFonts w:ascii="Calibri" w:cs="Calibri" w:eastAsia="Calibri" w:hAnsi="Calibri"/>
                <w:b/>
                <w:bCs/>
                <w:color w:val="FFFFFF"/>
                <w:sz w:val="19"/>
                <w:szCs w:val="19"/>
              </w:rPr>
              <w:t xml:space="preserve">Challenge</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"We need more brands before IH matters"</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Wrong. Operators need intelligence before brands. Intelligence is the cold-start solution.</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"Operators do not care about data"</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Wrong. Operators who run on instinct are the operators SOCELLE is disrupting — not the ones it is targeting.</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"Intelligence is a feature, not a reason to join"</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Wrong. For a segment of high-performing operators, intelligence is the primary reason to join.</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"IH can wait until Phase 2"</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Wrong. IH at launch — even with seeded data — establishes the platform thesis from day one.</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"The homepage should show what we have"</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Wrong. The homepage should show what operators get. Intelligence is what they get.</w:t>
            </w:r>
          </w:p>
        </w:tc>
      </w:tr>
    </w:tbl>
    <w:p>
      <w:pPr>
        <w:spacing w:after="0" w:before="60"/>
      </w:pPr>
      <w:r>
        <w:t xml:space="preserve"/>
      </w:r>
    </w:p>
    <w:p>
      <w:pPr>
        <w:pStyle w:val="Heading2"/>
        <w:spacing w:after="80" w:before="280"/>
      </w:pPr>
      <w:r>
        <w:rPr>
          <w:rFonts w:ascii="Calibri" w:cs="Calibri" w:eastAsia="Calibri" w:hAnsi="Calibri"/>
          <w:b/>
          <w:bCs/>
          <w:color w:val="3E4C5E"/>
          <w:sz w:val="32"/>
          <w:szCs w:val="32"/>
        </w:rPr>
        <w:t xml:space="preserve">A8-E. What a Winning Version Clearly Communicates</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SOCELLE knows the professional beauty market better than any other platform.</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Operators who use SOCELLE intelligence make better sourcing decisions than operators who do not.</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The Intelligence Hub is available now, not coming soon.</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Joining SOCELLE is joining an intelligence network, not opening a trade account.</w:t>
      </w:r>
    </w:p>
    <w:p>
      <w:pPr>
        <w:pStyle w:val="ListParagraph"/>
        <w:numPr>
          <w:ilvl w:val="0"/>
          <w:numId w:val="1"/>
        </w:numPr>
        <w:spacing w:after="40" w:before="40"/>
      </w:pPr>
      <w:r>
        <w:rPr>
          <w:rFonts w:ascii="Calibri" w:cs="Calibri" w:eastAsia="Calibri" w:hAnsi="Calibri"/>
          <w:b w:val="false"/>
          <w:bCs w:val="false"/>
          <w:color w:val="181614"/>
          <w:sz w:val="22"/>
          <w:szCs w:val="22"/>
        </w:rPr>
        <w:t xml:space="preserve">The marketplace is the tool you use when you already know what you want — and intelligence is how you get there.</w:t>
      </w:r>
    </w:p>
    <w:p>
      <w:pPr>
        <w:spacing w:after="0" w:before="6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3E4C5E" w:val="solid"/>
            <w:tcMar>
              <w:top w:type="dxa" w:w="120"/>
              <w:left w:type="dxa" w:w="400"/>
              <w:bottom w:type="dxa" w:w="120"/>
              <w:right w:type="dxa" w:w="400"/>
            </w:tcMar>
          </w:tcPr>
          <w:p>
            <w:r>
              <w:rPr>
                <w:rFonts w:ascii="Calibri" w:cs="Calibri" w:eastAsia="Calibri" w:hAnsi="Calibri"/>
                <w:b/>
                <w:bCs/>
                <w:color w:val="FFFFFF"/>
                <w:spacing w:val="80"/>
                <w:sz w:val="20"/>
                <w:szCs w:val="20"/>
              </w:rPr>
              <w:t xml:space="preserve">CLOSING SUMMARY — REQUIRED UPDATES AND FINAL THESIS</w:t>
            </w:r>
          </w:p>
        </w:tc>
      </w:tr>
    </w:tbl>
    <w:p>
      <w:pPr>
        <w:spacing w:after="0" w:before="60"/>
      </w:pPr>
      <w:r>
        <w:t xml:space="preserve"/>
      </w:r>
    </w:p>
    <w:p>
      <w:pPr>
        <w:pStyle w:val="Heading1"/>
        <w:spacing w:after="120" w:before="360"/>
      </w:pPr>
      <w:r>
        <w:rPr>
          <w:rFonts w:ascii="Georgia" w:cs="Georgia" w:eastAsia="Georgia" w:hAnsi="Georgia"/>
          <w:b/>
          <w:bCs/>
          <w:color w:val="181614"/>
          <w:sz w:val="48"/>
          <w:szCs w:val="48"/>
        </w:rPr>
        <w:t xml:space="preserve">Final Platform Thesis and Required Updates</w:t>
      </w:r>
    </w:p>
    <w:p>
      <w:pPr>
        <w:spacing w:after="0" w:before="60"/>
      </w:pPr>
      <w:r>
        <w:t xml:space="preserve"/>
      </w:r>
    </w:p>
    <w:p>
      <w:pPr>
        <w:pStyle w:val="Heading2"/>
        <w:spacing w:after="80" w:before="280"/>
      </w:pPr>
      <w:r>
        <w:rPr>
          <w:rFonts w:ascii="Calibri" w:cs="Calibri" w:eastAsia="Calibri" w:hAnsi="Calibri"/>
          <w:b/>
          <w:bCs/>
          <w:color w:val="3E4C5E"/>
          <w:sz w:val="32"/>
          <w:szCs w:val="32"/>
        </w:rPr>
        <w:t xml:space="preserve">Revised Platform Thesis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20"/>
            <w:tcBorders>
              <w:top w:val="none" w:color="FFFFFF" w:sz="0"/>
              <w:left w:val="none" w:color="FFFFFF" w:sz="0"/>
              <w:bottom w:val="none" w:color="FFFFFF" w:sz="0"/>
              <w:right w:val="none" w:color="FFFFFF" w:sz="0"/>
            </w:tcBorders>
            <w:shd w:fill="0F1923" w:val="solid"/>
          </w:tcPr>
          <w:p>
            <w:r>
              <w:t xml:space="preserve"/>
            </w:r>
          </w:p>
        </w:tc>
        <w:tc>
          <w:tcPr>
            <w:tcW w:type="dxa" w:w="9240"/>
            <w:tcBorders>
              <w:top w:val="none" w:color="FFFFFF" w:sz="0"/>
              <w:left w:val="none" w:color="FFFFFF" w:sz="0"/>
              <w:bottom w:val="none" w:color="FFFFFF" w:sz="0"/>
              <w:right w:val="none" w:color="FFFFFF" w:sz="0"/>
            </w:tcBorders>
            <w:shd w:fill="F5F4F2" w:val="solid"/>
            <w:tcMar>
              <w:top w:type="dxa" w:w="160"/>
              <w:left w:type="dxa" w:w="280"/>
              <w:bottom w:type="dxa" w:w="160"/>
              <w:right w:type="dxa" w:w="280"/>
            </w:tcMar>
          </w:tcPr>
          <w:p>
            <w:pPr>
              <w:spacing w:after="60" w:before="0"/>
            </w:pPr>
            <w:r>
              <w:rPr>
                <w:rFonts w:ascii="Calibri" w:cs="Calibri" w:eastAsia="Calibri" w:hAnsi="Calibri"/>
                <w:b/>
                <w:bCs/>
                <w:color w:val="3E4C5E"/>
                <w:sz w:val="22"/>
                <w:szCs w:val="22"/>
              </w:rPr>
              <w:t xml:space="preserve">SOCELLE Platform Thesis — Effective Immediately</w:t>
            </w:r>
          </w:p>
          <w:p>
            <w:r>
              <w:rPr>
                <w:rFonts w:ascii="Calibri" w:cs="Calibri" w:eastAsia="Calibri" w:hAnsi="Calibri"/>
                <w:color w:val="181614"/>
                <w:sz w:val="21"/>
                <w:szCs w:val="21"/>
              </w:rPr>
              <w:t xml:space="preserve">SOCELLE is an intelligence platform for professional beauty and wellness operators. The marketplace is the commerce output of the intelligence relationship. Operators join for intelligence. They source through it. They return for it. The platform feels alive, premium, and commercially essential — before the first order is placed.</w:t>
            </w:r>
          </w:p>
        </w:tc>
      </w:tr>
    </w:tbl>
    <w:p>
      <w:pPr>
        <w:spacing w:after="0" w:before="60"/>
      </w:pPr>
      <w:r>
        <w:t xml:space="preserve"/>
      </w:r>
    </w:p>
    <w:p>
      <w:pPr>
        <w:pStyle w:val="Heading2"/>
        <w:spacing w:after="80" w:before="280"/>
      </w:pPr>
      <w:r>
        <w:rPr>
          <w:rFonts w:ascii="Calibri" w:cs="Calibri" w:eastAsia="Calibri" w:hAnsi="Calibri"/>
          <w:b/>
          <w:bCs/>
          <w:color w:val="3E4C5E"/>
          <w:sz w:val="32"/>
          <w:szCs w:val="32"/>
        </w:rPr>
        <w:t xml:space="preserve">Eight-Area Summary</w:t>
      </w:r>
    </w:p>
    <w:p>
      <w:pPr>
        <w:spacing w:after="0" w:before="60"/>
      </w:pPr>
      <w:r>
        <w:t xml:space="preserve"/>
      </w:r>
    </w:p>
    <w:tbl>
      <w:tblPr>
        <w:tblW w:type="dxa" w:w="9360"/>
        <w:tblBorders>
          <w:top w:val="single" w:color="ECEAE7" w:sz="4"/>
          <w:left w:val="single" w:color="ECEAE7" w:sz="4"/>
          <w:bottom w:val="single" w:color="ECEAE7" w:sz="4"/>
          <w:right w:val="single" w:color="ECEAE7" w:sz="4"/>
          <w:insideH w:val="single" w:color="auto" w:sz="4"/>
          <w:insideV w:val="single" w:color="auto" w:sz="4"/>
        </w:tblBorders>
      </w:tblPr>
      <w:tblGrid>
        <w:gridCol w:w="100"/>
        <w:gridCol w:w="100"/>
      </w:tblGrid>
      <w:tr>
        <w:tc>
          <w:tcPr>
            <w:tcW w:type="dxa" w:w="2600"/>
            <w:tcBorders>
              <w:top w:val="none" w:color="FFFFFF" w:sz="0"/>
              <w:left w:val="none" w:color="FFFFFF" w:sz="0"/>
              <w:bottom w:val="none" w:color="FFFFFF" w:sz="0"/>
              <w:right w:val="none" w:color="FFFFFF" w:sz="0"/>
            </w:tcBorders>
            <w:shd w:fill="0F1923" w:val="solid"/>
            <w:tcMar>
              <w:top w:type="dxa" w:w="160"/>
              <w:left w:type="dxa" w:w="240"/>
              <w:bottom w:type="dxa" w:w="160"/>
              <w:right w:type="dxa" w:w="240"/>
            </w:tcMar>
          </w:tcPr>
          <w:p>
            <w:r>
              <w:rPr>
                <w:rFonts w:ascii="Calibri" w:cs="Calibri" w:eastAsia="Calibri" w:hAnsi="Calibri"/>
                <w:b/>
                <w:bCs/>
                <w:color w:val="FFFFFF"/>
                <w:sz w:val="20"/>
                <w:szCs w:val="20"/>
              </w:rPr>
              <w:t xml:space="preserve">Platform Thesis</w:t>
            </w:r>
          </w:p>
        </w:tc>
        <w:tc>
          <w:tcPr>
            <w:tcW w:type="dxa" w:w="6760"/>
            <w:tcBorders>
              <w:top w:val="single" w:color="ECEAE7" w:sz="4"/>
              <w:left w:val="single" w:color="ECEAE7" w:sz="4"/>
              <w:bottom w:val="single" w:color="ECEAE7" w:sz="4"/>
              <w:right w:val="single" w:color="ECEAE7" w:sz="4"/>
            </w:tcBorders>
            <w:shd w:fill="FFFFFF" w:val="solid"/>
            <w:tcMar>
              <w:top w:type="dxa" w:w="160"/>
              <w:left w:type="dxa" w:w="240"/>
              <w:bottom w:type="dxa" w:w="160"/>
              <w:right w:type="dxa" w:w="240"/>
            </w:tcMar>
          </w:tcPr>
          <w:p>
            <w:r>
              <w:rPr>
                <w:rFonts w:ascii="Calibri" w:cs="Calibri" w:eastAsia="Calibri" w:hAnsi="Calibri"/>
                <w:color w:val="181614"/>
                <w:sz w:val="20"/>
                <w:szCs w:val="20"/>
              </w:rPr>
              <w:t xml:space="preserve">Intelligence-first, marketplace-second. The commerce layer grows out of the intelligence relationship.</w:t>
            </w:r>
          </w:p>
        </w:tc>
      </w:tr>
      <w:tr>
        <w:tc>
          <w:tcPr>
            <w:tcW w:type="dxa" w:w="2600"/>
            <w:tcBorders>
              <w:top w:val="none" w:color="FFFFFF" w:sz="0"/>
              <w:left w:val="none" w:color="FFFFFF" w:sz="0"/>
              <w:bottom w:val="none" w:color="FFFFFF" w:sz="0"/>
              <w:right w:val="none" w:color="FFFFFF" w:sz="0"/>
            </w:tcBorders>
            <w:shd w:fill="1A1F2B" w:val="solid"/>
            <w:tcMar>
              <w:top w:type="dxa" w:w="160"/>
              <w:left w:type="dxa" w:w="240"/>
              <w:bottom w:type="dxa" w:w="160"/>
              <w:right w:type="dxa" w:w="240"/>
            </w:tcMar>
          </w:tcPr>
          <w:p>
            <w:r>
              <w:rPr>
                <w:rFonts w:ascii="Calibri" w:cs="Calibri" w:eastAsia="Calibri" w:hAnsi="Calibri"/>
                <w:b/>
                <w:bCs/>
                <w:color w:val="FFFFFF"/>
                <w:sz w:val="20"/>
                <w:szCs w:val="20"/>
              </w:rPr>
              <w:t xml:space="preserve">Homepage Thesis</w:t>
            </w:r>
          </w:p>
        </w:tc>
        <w:tc>
          <w:tcPr>
            <w:tcW w:type="dxa" w:w="6760"/>
            <w:tcBorders>
              <w:top w:val="single" w:color="ECEAE7" w:sz="4"/>
              <w:left w:val="single" w:color="ECEAE7" w:sz="4"/>
              <w:bottom w:val="single" w:color="ECEAE7" w:sz="4"/>
              <w:right w:val="single" w:color="ECEAE7" w:sz="4"/>
            </w:tcBorders>
            <w:shd w:fill="F5F4F2" w:val="solid"/>
            <w:tcMar>
              <w:top w:type="dxa" w:w="160"/>
              <w:left w:type="dxa" w:w="240"/>
              <w:bottom w:type="dxa" w:w="160"/>
              <w:right w:type="dxa" w:w="240"/>
            </w:tcMar>
          </w:tcPr>
          <w:p>
            <w:r>
              <w:rPr>
                <w:rFonts w:ascii="Calibri" w:cs="Calibri" w:eastAsia="Calibri" w:hAnsi="Calibri"/>
                <w:color w:val="181614"/>
                <w:sz w:val="20"/>
                <w:szCs w:val="20"/>
              </w:rPr>
              <w:t xml:space="preserve">Intelligence hook as hero. Market Pulse panel above fold. Hub preview as centerpiece. Brand section secondary.</w:t>
            </w:r>
          </w:p>
        </w:tc>
      </w:tr>
      <w:tr>
        <w:tc>
          <w:tcPr>
            <w:tcW w:type="dxa" w:w="2600"/>
            <w:tcBorders>
              <w:top w:val="none" w:color="FFFFFF" w:sz="0"/>
              <w:left w:val="none" w:color="FFFFFF" w:sz="0"/>
              <w:bottom w:val="none" w:color="FFFFFF" w:sz="0"/>
              <w:right w:val="none" w:color="FFFFFF" w:sz="0"/>
            </w:tcBorders>
            <w:shd w:fill="0F1923" w:val="solid"/>
            <w:tcMar>
              <w:top w:type="dxa" w:w="160"/>
              <w:left w:type="dxa" w:w="240"/>
              <w:bottom w:type="dxa" w:w="160"/>
              <w:right w:type="dxa" w:w="240"/>
            </w:tcMar>
          </w:tcPr>
          <w:p>
            <w:r>
              <w:rPr>
                <w:rFonts w:ascii="Calibri" w:cs="Calibri" w:eastAsia="Calibri" w:hAnsi="Calibri"/>
                <w:b/>
                <w:bCs/>
                <w:color w:val="FFFFFF"/>
                <w:sz w:val="20"/>
                <w:szCs w:val="20"/>
              </w:rPr>
              <w:t xml:space="preserve">Intelligence Hub Role</w:t>
            </w:r>
          </w:p>
        </w:tc>
        <w:tc>
          <w:tcPr>
            <w:tcW w:type="dxa" w:w="6760"/>
            <w:tcBorders>
              <w:top w:val="single" w:color="ECEAE7" w:sz="4"/>
              <w:left w:val="single" w:color="ECEAE7" w:sz="4"/>
              <w:bottom w:val="single" w:color="ECEAE7" w:sz="4"/>
              <w:right w:val="single" w:color="ECEAE7" w:sz="4"/>
            </w:tcBorders>
            <w:shd w:fill="FFFFFF" w:val="solid"/>
            <w:tcMar>
              <w:top w:type="dxa" w:w="160"/>
              <w:left w:type="dxa" w:w="240"/>
              <w:bottom w:type="dxa" w:w="160"/>
              <w:right w:type="dxa" w:w="240"/>
            </w:tcMar>
          </w:tcPr>
          <w:p>
            <w:r>
              <w:rPr>
                <w:rFonts w:ascii="Calibri" w:cs="Calibri" w:eastAsia="Calibri" w:hAnsi="Calibri"/>
                <w:color w:val="181614"/>
                <w:sz w:val="20"/>
                <w:szCs w:val="20"/>
              </w:rPr>
              <w:t xml:space="preserve">Core product layer at launch. Not a teaser. Ships with real or seeded-to-real data. Positioned as the primary destination.</w:t>
            </w:r>
          </w:p>
        </w:tc>
      </w:tr>
      <w:tr>
        <w:tc>
          <w:tcPr>
            <w:tcW w:type="dxa" w:w="2600"/>
            <w:tcBorders>
              <w:top w:val="none" w:color="FFFFFF" w:sz="0"/>
              <w:left w:val="none" w:color="FFFFFF" w:sz="0"/>
              <w:bottom w:val="none" w:color="FFFFFF" w:sz="0"/>
              <w:right w:val="none" w:color="FFFFFF" w:sz="0"/>
            </w:tcBorders>
            <w:shd w:fill="1A1F2B" w:val="solid"/>
            <w:tcMar>
              <w:top w:type="dxa" w:w="160"/>
              <w:left w:type="dxa" w:w="240"/>
              <w:bottom w:type="dxa" w:w="160"/>
              <w:right w:type="dxa" w:w="240"/>
            </w:tcMar>
          </w:tcPr>
          <w:p>
            <w:r>
              <w:rPr>
                <w:rFonts w:ascii="Calibri" w:cs="Calibri" w:eastAsia="Calibri" w:hAnsi="Calibri"/>
                <w:b/>
                <w:bCs/>
                <w:color w:val="FFFFFF"/>
                <w:sz w:val="20"/>
                <w:szCs w:val="20"/>
              </w:rPr>
              <w:t xml:space="preserve">Addictive Loop</w:t>
            </w:r>
          </w:p>
        </w:tc>
        <w:tc>
          <w:tcPr>
            <w:tcW w:type="dxa" w:w="6760"/>
            <w:tcBorders>
              <w:top w:val="single" w:color="ECEAE7" w:sz="4"/>
              <w:left w:val="single" w:color="ECEAE7" w:sz="4"/>
              <w:bottom w:val="single" w:color="ECEAE7" w:sz="4"/>
              <w:right w:val="single" w:color="ECEAE7" w:sz="4"/>
            </w:tcBorders>
            <w:shd w:fill="F5F4F2" w:val="solid"/>
            <w:tcMar>
              <w:top w:type="dxa" w:w="160"/>
              <w:left w:type="dxa" w:w="240"/>
              <w:bottom w:type="dxa" w:w="160"/>
              <w:right w:type="dxa" w:w="240"/>
            </w:tcMar>
          </w:tcPr>
          <w:p>
            <w:r>
              <w:rPr>
                <w:rFonts w:ascii="Calibri" w:cs="Calibri" w:eastAsia="Calibri" w:hAnsi="Calibri"/>
                <w:color w:val="181614"/>
                <w:sz w:val="20"/>
                <w:szCs w:val="20"/>
              </w:rPr>
              <w:t xml:space="preserve">See signal -&gt; interpret -&gt; compare -&gt; act -&gt; return. Daily, weekly, monthly cadence. Commercially motivated, not gamified.</w:t>
            </w:r>
          </w:p>
        </w:tc>
      </w:tr>
      <w:tr>
        <w:tc>
          <w:tcPr>
            <w:tcW w:type="dxa" w:w="2600"/>
            <w:tcBorders>
              <w:top w:val="none" w:color="FFFFFF" w:sz="0"/>
              <w:left w:val="none" w:color="FFFFFF" w:sz="0"/>
              <w:bottom w:val="none" w:color="FFFFFF" w:sz="0"/>
              <w:right w:val="none" w:color="FFFFFF" w:sz="0"/>
            </w:tcBorders>
            <w:shd w:fill="0F1923" w:val="solid"/>
            <w:tcMar>
              <w:top w:type="dxa" w:w="160"/>
              <w:left w:type="dxa" w:w="240"/>
              <w:bottom w:type="dxa" w:w="160"/>
              <w:right w:type="dxa" w:w="240"/>
            </w:tcMar>
          </w:tcPr>
          <w:p>
            <w:r>
              <w:rPr>
                <w:rFonts w:ascii="Calibri" w:cs="Calibri" w:eastAsia="Calibri" w:hAnsi="Calibri"/>
                <w:b/>
                <w:bCs/>
                <w:color w:val="FFFFFF"/>
                <w:sz w:val="20"/>
                <w:szCs w:val="20"/>
              </w:rPr>
              <w:t xml:space="preserve">Live Signal Design</w:t>
            </w:r>
          </w:p>
        </w:tc>
        <w:tc>
          <w:tcPr>
            <w:tcW w:type="dxa" w:w="6760"/>
            <w:tcBorders>
              <w:top w:val="single" w:color="ECEAE7" w:sz="4"/>
              <w:left w:val="single" w:color="ECEAE7" w:sz="4"/>
              <w:bottom w:val="single" w:color="ECEAE7" w:sz="4"/>
              <w:right w:val="single" w:color="ECEAE7" w:sz="4"/>
            </w:tcBorders>
            <w:shd w:fill="FFFFFF" w:val="solid"/>
            <w:tcMar>
              <w:top w:type="dxa" w:w="160"/>
              <w:left w:type="dxa" w:w="240"/>
              <w:bottom w:type="dxa" w:w="160"/>
              <w:right w:type="dxa" w:w="240"/>
            </w:tcMar>
          </w:tcPr>
          <w:p>
            <w:r>
              <w:rPr>
                <w:rFonts w:ascii="Calibri" w:cs="Calibri" w:eastAsia="Calibri" w:hAnsi="Calibri"/>
                <w:color w:val="181614"/>
                <w:sz w:val="20"/>
                <w:szCs w:val="20"/>
              </w:rPr>
              <w:t xml:space="preserve">Restrained motion, data freshness labels, counter animation, benchmark bars. Premium palette. One primary signal per view.</w:t>
            </w:r>
          </w:p>
        </w:tc>
      </w:tr>
      <w:tr>
        <w:tc>
          <w:tcPr>
            <w:tcW w:type="dxa" w:w="2600"/>
            <w:tcBorders>
              <w:top w:val="none" w:color="FFFFFF" w:sz="0"/>
              <w:left w:val="none" w:color="FFFFFF" w:sz="0"/>
              <w:bottom w:val="none" w:color="FFFFFF" w:sz="0"/>
              <w:right w:val="none" w:color="FFFFFF" w:sz="0"/>
            </w:tcBorders>
            <w:shd w:fill="1A1F2B" w:val="solid"/>
            <w:tcMar>
              <w:top w:type="dxa" w:w="160"/>
              <w:left w:type="dxa" w:w="240"/>
              <w:bottom w:type="dxa" w:w="160"/>
              <w:right w:type="dxa" w:w="240"/>
            </w:tcMar>
          </w:tcPr>
          <w:p>
            <w:r>
              <w:rPr>
                <w:rFonts w:ascii="Calibri" w:cs="Calibri" w:eastAsia="Calibri" w:hAnsi="Calibri"/>
                <w:b/>
                <w:bCs/>
                <w:color w:val="FFFFFF"/>
                <w:sz w:val="20"/>
                <w:szCs w:val="20"/>
              </w:rPr>
              <w:t xml:space="preserve">Operator Acquisition</w:t>
            </w:r>
          </w:p>
        </w:tc>
        <w:tc>
          <w:tcPr>
            <w:tcW w:type="dxa" w:w="6760"/>
            <w:tcBorders>
              <w:top w:val="single" w:color="ECEAE7" w:sz="4"/>
              <w:left w:val="single" w:color="ECEAE7" w:sz="4"/>
              <w:bottom w:val="single" w:color="ECEAE7" w:sz="4"/>
              <w:right w:val="single" w:color="ECEAE7" w:sz="4"/>
            </w:tcBorders>
            <w:shd w:fill="F5F4F2" w:val="solid"/>
            <w:tcMar>
              <w:top w:type="dxa" w:w="160"/>
              <w:left w:type="dxa" w:w="240"/>
              <w:bottom w:type="dxa" w:w="160"/>
              <w:right w:type="dxa" w:w="240"/>
            </w:tcMar>
          </w:tcPr>
          <w:p>
            <w:r>
              <w:rPr>
                <w:rFonts w:ascii="Calibri" w:cs="Calibri" w:eastAsia="Calibri" w:hAnsi="Calibri"/>
                <w:color w:val="181614"/>
                <w:sz w:val="20"/>
                <w:szCs w:val="20"/>
              </w:rPr>
              <w:t xml:space="preserve">Intelligence access is the top-of-funnel promise. Free signal preview -&gt; account creation -&gt; sourcing activation. Intelligence is the cold-start solution.</w:t>
            </w:r>
          </w:p>
        </w:tc>
      </w:tr>
      <w:tr>
        <w:tc>
          <w:tcPr>
            <w:tcW w:type="dxa" w:w="2600"/>
            <w:tcBorders>
              <w:top w:val="none" w:color="FFFFFF" w:sz="0"/>
              <w:left w:val="none" w:color="FFFFFF" w:sz="0"/>
              <w:bottom w:val="none" w:color="FFFFFF" w:sz="0"/>
              <w:right w:val="none" w:color="FFFFFF" w:sz="0"/>
            </w:tcBorders>
            <w:shd w:fill="0F1923" w:val="solid"/>
            <w:tcMar>
              <w:top w:type="dxa" w:w="160"/>
              <w:left w:type="dxa" w:w="240"/>
              <w:bottom w:type="dxa" w:w="160"/>
              <w:right w:type="dxa" w:w="240"/>
            </w:tcMar>
          </w:tcPr>
          <w:p>
            <w:r>
              <w:rPr>
                <w:rFonts w:ascii="Calibri" w:cs="Calibri" w:eastAsia="Calibri" w:hAnsi="Calibri"/>
                <w:b/>
                <w:bCs/>
                <w:color w:val="FFFFFF"/>
                <w:sz w:val="20"/>
                <w:szCs w:val="20"/>
              </w:rPr>
              <w:t xml:space="preserve">Technology Monetization</w:t>
            </w:r>
          </w:p>
        </w:tc>
        <w:tc>
          <w:tcPr>
            <w:tcW w:type="dxa" w:w="6760"/>
            <w:tcBorders>
              <w:top w:val="single" w:color="ECEAE7" w:sz="4"/>
              <w:left w:val="single" w:color="ECEAE7" w:sz="4"/>
              <w:bottom w:val="single" w:color="ECEAE7" w:sz="4"/>
              <w:right w:val="single" w:color="ECEAE7" w:sz="4"/>
            </w:tcBorders>
            <w:shd w:fill="FFFFFF" w:val="solid"/>
            <w:tcMar>
              <w:top w:type="dxa" w:w="160"/>
              <w:left w:type="dxa" w:w="240"/>
              <w:bottom w:type="dxa" w:w="160"/>
              <w:right w:type="dxa" w:w="240"/>
            </w:tcMar>
          </w:tcPr>
          <w:p>
            <w:r>
              <w:rPr>
                <w:rFonts w:ascii="Calibri" w:cs="Calibri" w:eastAsia="Calibri" w:hAnsi="Calibri"/>
                <w:color w:val="181614"/>
                <w:sz w:val="20"/>
                <w:szCs w:val="20"/>
              </w:rPr>
              <w:t xml:space="preserve">Hidden at launch. Post-cohort expansion into brand intelligence packages. Enterprise licensing at 12-18 months. Never referenced publicly until credibility is established.</w:t>
            </w:r>
          </w:p>
        </w:tc>
      </w:tr>
      <w:tr>
        <w:tc>
          <w:tcPr>
            <w:tcW w:type="dxa" w:w="2600"/>
            <w:tcBorders>
              <w:top w:val="none" w:color="FFFFFF" w:sz="0"/>
              <w:left w:val="none" w:color="FFFFFF" w:sz="0"/>
              <w:bottom w:val="none" w:color="FFFFFF" w:sz="0"/>
              <w:right w:val="none" w:color="FFFFFF" w:sz="0"/>
            </w:tcBorders>
            <w:shd w:fill="1A1F2B" w:val="solid"/>
            <w:tcMar>
              <w:top w:type="dxa" w:w="160"/>
              <w:left w:type="dxa" w:w="240"/>
              <w:bottom w:type="dxa" w:w="160"/>
              <w:right w:type="dxa" w:w="240"/>
            </w:tcMar>
          </w:tcPr>
          <w:p>
            <w:r>
              <w:rPr>
                <w:rFonts w:ascii="Calibri" w:cs="Calibri" w:eastAsia="Calibri" w:hAnsi="Calibri"/>
                <w:b/>
                <w:bCs/>
                <w:color w:val="FFFFFF"/>
                <w:sz w:val="20"/>
                <w:szCs w:val="20"/>
              </w:rPr>
              <w:t xml:space="preserve">UX Magnetism</w:t>
            </w:r>
          </w:p>
        </w:tc>
        <w:tc>
          <w:tcPr>
            <w:tcW w:type="dxa" w:w="6760"/>
            <w:tcBorders>
              <w:top w:val="single" w:color="ECEAE7" w:sz="4"/>
              <w:left w:val="single" w:color="ECEAE7" w:sz="4"/>
              <w:bottom w:val="single" w:color="ECEAE7" w:sz="4"/>
              <w:right w:val="single" w:color="ECEAE7" w:sz="4"/>
            </w:tcBorders>
            <w:shd w:fill="F5F4F2" w:val="solid"/>
            <w:tcMar>
              <w:top w:type="dxa" w:w="160"/>
              <w:left w:type="dxa" w:w="240"/>
              <w:bottom w:type="dxa" w:w="160"/>
              <w:right w:type="dxa" w:w="240"/>
            </w:tcMar>
          </w:tcPr>
          <w:p>
            <w:r>
              <w:rPr>
                <w:rFonts w:ascii="Calibri" w:cs="Calibri" w:eastAsia="Calibri" w:hAnsi="Calibri"/>
                <w:color w:val="181614"/>
                <w:sz w:val="20"/>
                <w:szCs w:val="20"/>
              </w:rPr>
              <w:t xml:space="preserve">Cleo-level hierarchy confidence with mineral clinical restraint. Dark intelligence panels. High contrast type. Single primary signal per section. No decorative elements.</w:t>
            </w:r>
          </w:p>
        </w:tc>
      </w:tr>
    </w:tbl>
    <w:p>
      <w:pPr>
        <w:spacing w:after="0" w:before="60"/>
      </w:pPr>
      <w:r>
        <w:t xml:space="preserve"/>
      </w:r>
    </w:p>
    <w:p>
      <w:pPr>
        <w:pStyle w:val="Heading2"/>
        <w:spacing w:after="80" w:before="280"/>
      </w:pPr>
      <w:r>
        <w:rPr>
          <w:rFonts w:ascii="Calibri" w:cs="Calibri" w:eastAsia="Calibri" w:hAnsi="Calibri"/>
          <w:b/>
          <w:bCs/>
          <w:color w:val="3E4C5E"/>
          <w:sz w:val="32"/>
          <w:szCs w:val="32"/>
        </w:rPr>
        <w:t xml:space="preserve">Exact Updates Required to the Coordination Document</w:t>
      </w:r>
    </w:p>
    <w:p>
      <w:pPr>
        <w:spacing w:after="0" w:before="60"/>
      </w:pPr>
      <w:r>
        <w:t xml:space="preserve"/>
      </w:r>
    </w:p>
    <w:tbl>
      <w:tblPr>
        <w:tblW w:type="dxa" w:w="9360"/>
        <w:tblBorders>
          <w:top w:val="single" w:color="ECEAE7" w:sz="4"/>
          <w:left w:val="single" w:color="ECEAE7" w:sz="4"/>
          <w:bottom w:val="single" w:color="ECEAE7" w:sz="4"/>
          <w:right w:val="single" w:color="ECEAE7" w:sz="4"/>
          <w:insideH w:val="single" w:color="auto" w:sz="4"/>
          <w:insideV w:val="single" w:color="auto" w:sz="4"/>
        </w:tblBorders>
      </w:tblPr>
      <w:tblGrid>
        <w:gridCol w:w="100"/>
        <w:gridCol w:w="100"/>
      </w:tblGrid>
      <w:tr>
        <w:tc>
          <w:tcPr>
            <w:tcW w:type="dxa" w:w="2600"/>
            <w:tcBorders>
              <w:top w:val="none" w:color="FFFFFF" w:sz="0"/>
              <w:left w:val="none" w:color="FFFFFF" w:sz="0"/>
              <w:bottom w:val="none" w:color="FFFFFF" w:sz="0"/>
              <w:right w:val="none" w:color="FFFFFF" w:sz="0"/>
            </w:tcBorders>
            <w:shd w:fill="0F1923" w:val="solid"/>
            <w:tcMar>
              <w:top w:type="dxa" w:w="100"/>
              <w:left w:type="dxa" w:w="200"/>
              <w:bottom w:type="dxa" w:w="100"/>
              <w:right w:type="dxa" w:w="200"/>
            </w:tcMar>
          </w:tcPr>
          <w:p>
            <w:r>
              <w:rPr>
                <w:rFonts w:ascii="Calibri" w:cs="Calibri" w:eastAsia="Calibri" w:hAnsi="Calibri"/>
                <w:b/>
                <w:bCs/>
                <w:color w:val="FFFFFF"/>
                <w:sz w:val="19"/>
                <w:szCs w:val="19"/>
              </w:rPr>
              <w:t xml:space="preserve">Update</w:t>
            </w:r>
          </w:p>
        </w:tc>
        <w:tc>
          <w:tcPr>
            <w:tcW w:type="dxa" w:w="6760"/>
            <w:tcBorders>
              <w:top w:val="none" w:color="FFFFFF" w:sz="0"/>
              <w:left w:val="none" w:color="FFFFFF" w:sz="0"/>
              <w:bottom w:val="none" w:color="FFFFFF" w:sz="0"/>
              <w:right w:val="none" w:color="FFFFFF" w:sz="0"/>
            </w:tcBorders>
            <w:shd w:fill="1A1F2B" w:val="solid"/>
            <w:tcMar>
              <w:top w:type="dxa" w:w="100"/>
              <w:left w:type="dxa" w:w="200"/>
              <w:bottom w:type="dxa" w:w="100"/>
              <w:right w:type="dxa" w:w="200"/>
            </w:tcMar>
          </w:tcPr>
          <w:p>
            <w:r>
              <w:rPr>
                <w:rFonts w:ascii="Calibri" w:cs="Calibri" w:eastAsia="Calibri" w:hAnsi="Calibri"/>
                <w:b/>
                <w:bCs/>
                <w:color w:val="FFFFFF"/>
                <w:sz w:val="19"/>
                <w:szCs w:val="19"/>
              </w:rPr>
              <w:t xml:space="preserve">Description</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Update 01</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Replace "IH ships in Phase 2 or as a teaser" with "IH ships at launch as the primary product layer."</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Update 02</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Replace "marketplace-first" language in build order with "intelligence-first, marketplace-second."</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Update 03</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Update homepage hierarchy: intelligence hook replaces brand discovery as hero.</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Update 04</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Update Request Access framing: intelligence access, not marketplace access.</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Update 05</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Add "Live Signal Design" section: Market Pulse panel, seeded data policy, signal cadence.</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Update 06</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Add "Operator Acquisition Funnel" section: intelligence-to-sourcing conversion path.</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Update 07</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Add "Technology Monetization — Internal Only" section: post-launch expansion path, hidden at launch.</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Update 08</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Update social proof strategy: operator validation references intelligence value, not product selection.</w:t>
            </w:r>
          </w:p>
        </w:tc>
      </w:tr>
      <w:tr>
        <w:tc>
          <w:tcPr>
            <w:tcW w:type="dxa" w:w="260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b/>
                <w:bCs/>
                <w:color w:val="181614"/>
                <w:sz w:val="20"/>
                <w:szCs w:val="20"/>
              </w:rPr>
              <w:t xml:space="preserve">Update 09</w:t>
            </w:r>
          </w:p>
        </w:tc>
        <w:tc>
          <w:tcPr>
            <w:tcW w:type="dxa" w:w="67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Update CTA language across all public pages: "Get Intelligence Access" replaces marketplace-framed CTAs.</w:t>
            </w:r>
          </w:p>
        </w:tc>
      </w:tr>
      <w:tr>
        <w:tc>
          <w:tcPr>
            <w:tcW w:type="dxa" w:w="26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181614"/>
                <w:sz w:val="20"/>
                <w:szCs w:val="20"/>
              </w:rPr>
              <w:t xml:space="preserve">Update 10</w:t>
            </w:r>
          </w:p>
        </w:tc>
        <w:tc>
          <w:tcPr>
            <w:tcW w:type="dxa" w:w="6760"/>
            <w:tcBorders>
              <w:top w:val="single" w:color="ECEAE7" w:sz="4"/>
              <w:left w:val="single" w:color="ECEAE7" w:sz="4"/>
              <w:bottom w:val="single" w:color="ECEAE7" w:sz="4"/>
              <w:right w:val="single" w:color="ECEAE7" w:sz="4"/>
            </w:tcBorders>
            <w:shd w:fill="F5F4F2" w:val="solid"/>
            <w:tcMar>
              <w:top w:type="dxa" w:w="100"/>
              <w:left w:type="dxa" w:w="200"/>
              <w:bottom w:type="dxa" w:w="100"/>
              <w:right w:type="dxa" w:w="200"/>
            </w:tcMar>
          </w:tcPr>
          <w:p>
            <w:r>
              <w:rPr>
                <w:rFonts w:ascii="Calibri" w:cs="Calibri" w:eastAsia="Calibri" w:hAnsi="Calibri"/>
                <w:color w:val="181614"/>
                <w:sz w:val="20"/>
                <w:szCs w:val="20"/>
              </w:rPr>
              <w:t xml:space="preserve">Add QA checklist to Phase 1 sign-off gate: intelligence-first alignment check before any public-page build.</w:t>
            </w:r>
          </w:p>
        </w:tc>
      </w:tr>
    </w:tbl>
    <w:p>
      <w:pPr>
        <w:spacing w:after="0" w:before="60"/>
      </w:pPr>
      <w:r>
        <w:t xml:space="preserve"/>
      </w:r>
    </w:p>
    <w:p>
      <w:pPr>
        <w:pStyle w:val="Heading2"/>
        <w:spacing w:after="80" w:before="280"/>
      </w:pPr>
      <w:r>
        <w:rPr>
          <w:rFonts w:ascii="Calibri" w:cs="Calibri" w:eastAsia="Calibri" w:hAnsi="Calibri"/>
          <w:b/>
          <w:bCs/>
          <w:color w:val="3E4C5E"/>
          <w:sz w:val="32"/>
          <w:szCs w:val="32"/>
        </w:rPr>
        <w:t xml:space="preserve">Build Priority Implications</w:t>
      </w:r>
    </w:p>
    <w:tbl>
      <w:tblPr>
        <w:tblW w:type="dxa" w:w="9360"/>
        <w:tblBorders>
          <w:top w:val="single" w:color="ECEAE7" w:sz="4"/>
          <w:left w:val="single" w:color="ECEAE7" w:sz="4"/>
          <w:bottom w:val="single" w:color="ECEAE7" w:sz="4"/>
          <w:right w:val="single" w:color="ECEAE7" w:sz="4"/>
          <w:insideH w:val="single" w:color="auto" w:sz="4"/>
          <w:insideV w:val="single" w:color="auto" w:sz="4"/>
        </w:tblBorders>
      </w:tblPr>
      <w:tblGrid>
        <w:gridCol w:w="100"/>
        <w:gridCol w:w="100"/>
      </w:tblGrid>
      <w:tr>
        <w:tc>
          <w:tcPr>
            <w:tcW w:type="dxa" w:w="28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3E4C5E"/>
                <w:sz w:val="20"/>
                <w:szCs w:val="20"/>
              </w:rPr>
              <w:t xml:space="preserve">P0 — Immediate</w:t>
            </w:r>
          </w:p>
        </w:tc>
        <w:tc>
          <w:tcPr>
            <w:tcW w:type="dxa" w:w="65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Update coordination document to reflect new thesis before any build begins.</w:t>
            </w:r>
          </w:p>
        </w:tc>
      </w:tr>
      <w:tr>
        <w:tc>
          <w:tcPr>
            <w:tcW w:type="dxa" w:w="28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3E4C5E"/>
                <w:sz w:val="20"/>
                <w:szCs w:val="20"/>
              </w:rPr>
              <w:t xml:space="preserve">P1 — Homepage</w:t>
            </w:r>
          </w:p>
        </w:tc>
        <w:tc>
          <w:tcPr>
            <w:tcW w:type="dxa" w:w="65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Rebuild homepage hierarchy: intelligence hook + Market Pulse + Hub preview + intelligence CTA.</w:t>
            </w:r>
          </w:p>
        </w:tc>
      </w:tr>
      <w:tr>
        <w:tc>
          <w:tcPr>
            <w:tcW w:type="dxa" w:w="28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3E4C5E"/>
                <w:sz w:val="20"/>
                <w:szCs w:val="20"/>
              </w:rPr>
              <w:t xml:space="preserve">P1 — Intelligence Hub</w:t>
            </w:r>
          </w:p>
        </w:tc>
        <w:tc>
          <w:tcPr>
            <w:tcW w:type="dxa" w:w="65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Ship Hub at launch with real or seeded-to-real data. Not a coming-soon panel.</w:t>
            </w:r>
          </w:p>
        </w:tc>
      </w:tr>
      <w:tr>
        <w:tc>
          <w:tcPr>
            <w:tcW w:type="dxa" w:w="28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3E4C5E"/>
                <w:sz w:val="20"/>
                <w:szCs w:val="20"/>
              </w:rPr>
              <w:t xml:space="preserve">P1 — Request Access</w:t>
            </w:r>
          </w:p>
        </w:tc>
        <w:tc>
          <w:tcPr>
            <w:tcW w:type="dxa" w:w="65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Reframe as intelligence access. New copy, new CTA, new conversion framing.</w:t>
            </w:r>
          </w:p>
        </w:tc>
      </w:tr>
      <w:tr>
        <w:tc>
          <w:tcPr>
            <w:tcW w:type="dxa" w:w="28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3E4C5E"/>
                <w:sz w:val="20"/>
                <w:szCs w:val="20"/>
              </w:rPr>
              <w:t xml:space="preserve">P2 — Buyer Page</w:t>
            </w:r>
          </w:p>
        </w:tc>
        <w:tc>
          <w:tcPr>
            <w:tcW w:type="dxa" w:w="65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Shift lead copy to intelligence advantage. Sourcing capability introduced second.</w:t>
            </w:r>
          </w:p>
        </w:tc>
      </w:tr>
      <w:tr>
        <w:tc>
          <w:tcPr>
            <w:tcW w:type="dxa" w:w="28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3E4C5E"/>
                <w:sz w:val="20"/>
                <w:szCs w:val="20"/>
              </w:rPr>
              <w:t xml:space="preserve">P2 — Live Signal Layer</w:t>
            </w:r>
          </w:p>
        </w:tc>
        <w:tc>
          <w:tcPr>
            <w:tcW w:type="dxa" w:w="65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Market Pulse panel with data freshness labels and restrained motion. Seeded data acceptable pre-launch.</w:t>
            </w:r>
          </w:p>
        </w:tc>
      </w:tr>
      <w:tr>
        <w:tc>
          <w:tcPr>
            <w:tcW w:type="dxa" w:w="2800"/>
            <w:tcBorders>
              <w:top w:val="single" w:color="ECEAE7" w:sz="4"/>
              <w:left w:val="single" w:color="ECEAE7" w:sz="4"/>
              <w:bottom w:val="single" w:color="ECEAE7" w:sz="4"/>
              <w:right w:val="single" w:color="ECEAE7" w:sz="4"/>
            </w:tcBorders>
            <w:shd w:fill="ECEAE7" w:val="solid"/>
            <w:tcMar>
              <w:top w:type="dxa" w:w="100"/>
              <w:left w:type="dxa" w:w="200"/>
              <w:bottom w:type="dxa" w:w="100"/>
              <w:right w:type="dxa" w:w="200"/>
            </w:tcMar>
          </w:tcPr>
          <w:p>
            <w:r>
              <w:rPr>
                <w:rFonts w:ascii="Calibri" w:cs="Calibri" w:eastAsia="Calibri" w:hAnsi="Calibri"/>
                <w:b/>
                <w:bCs/>
                <w:color w:val="3E4C5E"/>
                <w:sz w:val="20"/>
                <w:szCs w:val="20"/>
              </w:rPr>
              <w:t xml:space="preserve">P3 — Enterprise Path</w:t>
            </w:r>
          </w:p>
        </w:tc>
        <w:tc>
          <w:tcPr>
            <w:tcW w:type="dxa" w:w="6560"/>
            <w:tcBorders>
              <w:top w:val="single" w:color="ECEAE7" w:sz="4"/>
              <w:left w:val="single" w:color="ECEAE7" w:sz="4"/>
              <w:bottom w:val="single" w:color="ECEAE7" w:sz="4"/>
              <w:right w:val="single" w:color="ECEAE7" w:sz="4"/>
            </w:tcBorders>
            <w:shd w:fill="FFFFFF" w:val="solid"/>
            <w:tcMar>
              <w:top w:type="dxa" w:w="100"/>
              <w:left w:type="dxa" w:w="200"/>
              <w:bottom w:type="dxa" w:w="100"/>
              <w:right w:type="dxa" w:w="200"/>
            </w:tcMar>
          </w:tcPr>
          <w:p>
            <w:r>
              <w:rPr>
                <w:rFonts w:ascii="Calibri" w:cs="Calibri" w:eastAsia="Calibri" w:hAnsi="Calibri"/>
                <w:color w:val="181614"/>
                <w:sz w:val="20"/>
                <w:szCs w:val="20"/>
              </w:rPr>
              <w:t xml:space="preserve">Document internally. No public action at launch.</w:t>
            </w:r>
          </w:p>
        </w:tc>
      </w:tr>
    </w:tbl>
    <w:p>
      <w:pPr>
        <w:spacing w:after="0" w:before="60"/>
      </w:pPr>
      <w:r>
        <w:t xml:space="preserve"/>
      </w:r>
    </w:p>
    <w:p>
      <w:pPr>
        <w:spacing w:after="100" w:before="60"/>
      </w:pPr>
      <w:r>
        <w:rPr>
          <w:rFonts w:ascii="Calibri" w:cs="Calibri" w:eastAsia="Calibri" w:hAnsi="Calibri"/>
          <w:i w:val="false"/>
          <w:iCs w:val="false"/>
          <w:color w:val="181614"/>
          <w:sz w:val="22"/>
          <w:szCs w:val="22"/>
        </w:rPr>
        <w:t xml:space="preserve">This document is the new strategic baseline. Work orders, copy briefs, and design direction documents must align with the intelligence-first thesis before entering production.</w:t>
      </w:r>
    </w:p>
    <w:p>
      <w:pPr>
        <w:spacing w:after="0" w:before="60"/>
      </w:pPr>
      <w:r>
        <w:t xml:space="preserve"/>
      </w:r>
    </w:p>
    <w:sectPr>
      <w:pgSz w:w="11906" w:h="16838" w:orient="portrait"/>
      <w:pgMar w:top="960" w:right="1080" w:bottom="9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816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2026-03-04T04:20:01.076Z</dcterms:created>
  <dcterms:modified xsi:type="dcterms:W3CDTF">2026-03-04T04:20:01.076Z</dcterms:modified>
</cp:coreProperties>
</file>

<file path=docProps/custom.xml><?xml version="1.0" encoding="utf-8"?>
<Properties xmlns="http://schemas.openxmlformats.org/officeDocument/2006/custom-properties" xmlns:vt="http://schemas.openxmlformats.org/officeDocument/2006/docPropsVTypes"/>
</file>