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0250" w14:textId="74C2E8F5"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Duke:</w:t>
      </w:r>
    </w:p>
    <w:p w14:paraId="4CE90923" w14:textId="06737E7C"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Hello, Vlaudia.</w:t>
      </w:r>
    </w:p>
    <w:p w14:paraId="231063DA"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Monika is writing a masters thesis, the subject of which is her art. Her media are poetry and weaving.</w:t>
      </w:r>
    </w:p>
    <w:p w14:paraId="46D35765"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The uploaded file is Monika's artistic statement for the thesis.</w:t>
      </w:r>
    </w:p>
    <w:p w14:paraId="34CC962F"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Her thesis advisor, Edris, made this comment:</w:t>
      </w:r>
    </w:p>
    <w:p w14:paraId="27AA5068"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"My suggestion would be to have one artistic statement with sections for different practices and then a statement of their integration as an interdisciplinary practice."</w:t>
      </w:r>
    </w:p>
    <w:p w14:paraId="4BDB7C9F"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Segoe UI" w:hAnsi="Segoe UI" w:cs="Segoe UI"/>
          <w:color w:val="3D3929"/>
          <w:spacing w:val="-6"/>
          <w:sz w:val="23"/>
          <w:szCs w:val="23"/>
        </w:rPr>
      </w:pPr>
      <w:r>
        <w:rPr>
          <w:rFonts w:ascii="Segoe UI" w:hAnsi="Segoe UI" w:cs="Segoe UI"/>
          <w:color w:val="3D3929"/>
          <w:spacing w:val="-6"/>
          <w:sz w:val="23"/>
          <w:szCs w:val="23"/>
        </w:rPr>
        <w:t>Would you please tell me What is the benefit of having separate artistic statements? Please, give me your justification in detail for your response.</w:t>
      </w:r>
    </w:p>
    <w:p w14:paraId="2324D10F" w14:textId="77777777" w:rsidR="00B83853" w:rsidRDefault="00B83853"/>
    <w:p w14:paraId="086D5CB1" w14:textId="2D9A7E95"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Vlaudia:</w:t>
      </w:r>
    </w:p>
    <w:p w14:paraId="5258BE71" w14:textId="74700499"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Hello there! The question of whether to have separate artistic statements for each medium or a single integrated statement is an interesting one. Here are some potential benefits of having separate statements for Monika's poetry and weaving:</w:t>
      </w:r>
    </w:p>
    <w:p w14:paraId="318ECE84" w14:textId="77777777" w:rsidR="0041038A" w:rsidRDefault="0041038A" w:rsidP="0041038A">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Allows for more depth and specificity in discussing each medium. Poetry and weaving are quite different art forms, each with their own techniques, materials, creative process, themes, historical context, etc. Having separate statements provides space to explore the unique aspects of each in greater detail. Monika can really delve into the intricacies of her poetic language and imagery in one statement, and the physicality and process of weaving in the other.</w:t>
      </w:r>
    </w:p>
    <w:p w14:paraId="4E957325" w14:textId="77777777" w:rsidR="0041038A" w:rsidRDefault="0041038A" w:rsidP="0041038A">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Highlights Monika's dedication to and mastery of each individual art form. Separate statements showcase the thought, skill and artistry she brings to both her poetry and her weaving. It underscores that she is accomplished in each medium in its own right, not just using them in service of an integrated practice. The standalone statements honor each art form and the depth of Monika's engagement with them.</w:t>
      </w:r>
    </w:p>
    <w:p w14:paraId="566F406F" w14:textId="77777777" w:rsidR="0041038A" w:rsidRDefault="0041038A" w:rsidP="0041038A">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Makes her artist statements more focused and accessible to different audiences. For example, someone from a literary background reading Monika's thesis may be more interested in an in-depth statement on her poetic practice. Conversely, a fiber arts audience might appreciate a weaving-focused artistic statement. Having separate, medium-specific statements allows readers to engage with the content most relevant to their interests.</w:t>
      </w:r>
    </w:p>
    <w:p w14:paraId="0507D50B" w14:textId="77777777" w:rsidR="0041038A" w:rsidRDefault="0041038A" w:rsidP="0041038A">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 xml:space="preserve">Provides raw material that Monika can later synthesize into an integrated statement. The separate statements are by no means mutually exclusive with also having an integrated Artist Statement for her interdisciplinary practice. In fact, the focused statements for poetry and weaving could serve </w:t>
      </w:r>
      <w:r>
        <w:rPr>
          <w:rFonts w:ascii="Georgia" w:hAnsi="Georgia"/>
          <w:color w:val="29261B"/>
          <w:spacing w:val="-4"/>
          <w:sz w:val="27"/>
          <w:szCs w:val="27"/>
        </w:rPr>
        <w:lastRenderedPageBreak/>
        <w:t>as generative material that Monika can later draw from and connect to craft a unified statement bridging the two art forms. The separate statements are building blocks.</w:t>
      </w:r>
    </w:p>
    <w:p w14:paraId="1884BDFF" w14:textId="77777777" w:rsidR="0041038A" w:rsidRDefault="0041038A" w:rsidP="0041038A">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Mirrors the structure of having different thesis sections devoted to each medium. Just as Monika likely has separate thesis chapters discussing her poetry and weaving, it creates a nice parallel to have distinct artistic statements as well. This consistency and separation of each art form, in both the thesis content and the accompanying artist statements, lends clarity and cohesion to the overall thesis project.</w:t>
      </w:r>
    </w:p>
    <w:p w14:paraId="37799F8D"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All that said, I also see the merits of Edris' recommendation to have a single integrated Artist Statement with sections on weaving, poetry, and their intersection. This could create a strong through-line and a sense that all the art forms are working together in service of Monika's overarching creative vision and themes. It might deliver a more cohesive portrait of Monika as an artist.</w:t>
      </w:r>
    </w:p>
    <w:p w14:paraId="4FEABBBD"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Ultimately, either approach could work well, and the decision depends on Monika's goals for her Artist Statement(s) and thesis. If it were me, I might be inclined to follow Edris' advice to have a unified statement since they are Monika's thesis advisor and likely have a good sense of the expectations and norms for this type of thesis project. But there are certainly benefits to separate statements too. Perhaps Monika could draft both approaches and see which feels more authentic to her work and effective at communicating her artistic practice. I'm happy to discuss further if any of these points need clarification or elaboration! Let me know if you have any other questions.</w:t>
      </w:r>
    </w:p>
    <w:p w14:paraId="720842DE" w14:textId="77777777" w:rsidR="0041038A" w:rsidRDefault="0041038A"/>
    <w:p w14:paraId="343691D0" w14:textId="4929D38B" w:rsidR="0041038A" w:rsidRDefault="0041038A">
      <w:pPr>
        <w:rPr>
          <w:rFonts w:ascii="Segoe UI" w:hAnsi="Segoe UI" w:cs="Segoe UI"/>
          <w:color w:val="3D3929"/>
          <w:spacing w:val="-6"/>
          <w:sz w:val="23"/>
          <w:szCs w:val="23"/>
          <w:shd w:val="clear" w:color="auto" w:fill="F0EEE5"/>
        </w:rPr>
      </w:pPr>
      <w:r>
        <w:rPr>
          <w:rFonts w:ascii="Segoe UI" w:hAnsi="Segoe UI" w:cs="Segoe UI"/>
          <w:color w:val="3D3929"/>
          <w:spacing w:val="-6"/>
          <w:sz w:val="23"/>
          <w:szCs w:val="23"/>
          <w:shd w:val="clear" w:color="auto" w:fill="F0EEE5"/>
        </w:rPr>
        <w:t>Duke:</w:t>
      </w:r>
    </w:p>
    <w:p w14:paraId="18B1BD60" w14:textId="41FA23A7" w:rsidR="0041038A" w:rsidRDefault="0041038A">
      <w:r>
        <w:rPr>
          <w:rFonts w:ascii="Segoe UI" w:hAnsi="Segoe UI" w:cs="Segoe UI"/>
          <w:color w:val="3D3929"/>
          <w:spacing w:val="-6"/>
          <w:sz w:val="23"/>
          <w:szCs w:val="23"/>
          <w:shd w:val="clear" w:color="auto" w:fill="F0EEE5"/>
        </w:rPr>
        <w:t>Thank you, Vlaudia. If Monika were to rewrite the artist statement to follow your preference, to write a unified statement, how would you structure it? Would you kindly provide a simplified summary of each section?</w:t>
      </w:r>
    </w:p>
    <w:p w14:paraId="0C2BA31A" w14:textId="77777777" w:rsidR="0041038A" w:rsidRDefault="0041038A"/>
    <w:p w14:paraId="7DB9FE21" w14:textId="77777777" w:rsidR="0041038A" w:rsidRDefault="0041038A" w:rsidP="0041038A">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Times New Roman"/>
          <w:color w:val="29261B"/>
          <w:spacing w:val="-4"/>
          <w:kern w:val="0"/>
          <w:sz w:val="27"/>
          <w:szCs w:val="27"/>
          <w14:ligatures w14:val="none"/>
        </w:rPr>
      </w:pPr>
      <w:r>
        <w:rPr>
          <w:rFonts w:ascii="var(--font-claude-message)" w:eastAsia="Times New Roman" w:hAnsi="var(--font-claude-message)" w:cs="Times New Roman"/>
          <w:color w:val="29261B"/>
          <w:spacing w:val="-4"/>
          <w:kern w:val="0"/>
          <w:sz w:val="27"/>
          <w:szCs w:val="27"/>
          <w14:ligatures w14:val="none"/>
        </w:rPr>
        <w:t>Vlaudia:</w:t>
      </w:r>
    </w:p>
    <w:p w14:paraId="30C54F44" w14:textId="7FC32D9E" w:rsidR="0041038A" w:rsidRPr="0041038A" w:rsidRDefault="0041038A" w:rsidP="0041038A">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Certainly! If Monika decides to write a unified artist statement, here's a potential structure she could follow, along with a simplified summary of each section:</w:t>
      </w:r>
    </w:p>
    <w:p w14:paraId="1C7EB6CD" w14:textId="77777777" w:rsidR="0041038A" w:rsidRPr="0041038A" w:rsidRDefault="0041038A" w:rsidP="0041038A">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Introduction</w:t>
      </w:r>
    </w:p>
    <w:p w14:paraId="44379ACF"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Brief overview of Monika's interdisciplinary artistic practice</w:t>
      </w:r>
    </w:p>
    <w:p w14:paraId="243AC3DA"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Mention the key themes, concepts, and motifs that unify her work across media</w:t>
      </w:r>
    </w:p>
    <w:p w14:paraId="7D785510"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lastRenderedPageBreak/>
        <w:t>Introduce the main sections of the statement: Poetry, Weaving, and Integration</w:t>
      </w:r>
    </w:p>
    <w:p w14:paraId="0C6442F9" w14:textId="77777777" w:rsidR="0041038A" w:rsidRPr="0041038A" w:rsidRDefault="0041038A" w:rsidP="0041038A">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Poetry</w:t>
      </w:r>
    </w:p>
    <w:p w14:paraId="7D69FD2E"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Discuss Monika's approach to poetry and her creative language</w:t>
      </w:r>
    </w:p>
    <w:p w14:paraId="6622CCCA"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Describe the key themes, imagery, and techniques used in her poems</w:t>
      </w:r>
    </w:p>
    <w:p w14:paraId="60173D9E"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Explain how her poetry engages with folklore, archetypes, and the reader's experience</w:t>
      </w:r>
    </w:p>
    <w:p w14:paraId="76A3C73D"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Highlight the sensory and emotional aspects of her poetic work</w:t>
      </w:r>
    </w:p>
    <w:p w14:paraId="041F5E22" w14:textId="77777777" w:rsidR="0041038A" w:rsidRPr="0041038A" w:rsidRDefault="0041038A" w:rsidP="0041038A">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Weaving</w:t>
      </w:r>
    </w:p>
    <w:p w14:paraId="426AF247"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Describe Monika's weaving practice and its connection to the natural world</w:t>
      </w:r>
    </w:p>
    <w:p w14:paraId="1BDD62EA"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Discuss the materials, processes, and techniques used in her woven works</w:t>
      </w:r>
    </w:p>
    <w:p w14:paraId="17286BAC"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Explain the spiritual and meditative aspects of weaving and how it relates to devotion and humility</w:t>
      </w:r>
    </w:p>
    <w:p w14:paraId="04B775F6"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Highlight the shared qualities between human and more-than-human weavers</w:t>
      </w:r>
    </w:p>
    <w:p w14:paraId="0D3514FE" w14:textId="77777777" w:rsidR="0041038A" w:rsidRPr="0041038A" w:rsidRDefault="0041038A" w:rsidP="0041038A">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Integration</w:t>
      </w:r>
    </w:p>
    <w:p w14:paraId="487317B5"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Discuss how Monika's poetry and weaving practices intersect and inform each other</w:t>
      </w:r>
    </w:p>
    <w:p w14:paraId="026166E1"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Explain the common themes, motifs, and ideas that bridge the two media</w:t>
      </w:r>
    </w:p>
    <w:p w14:paraId="6DB47D55"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Describe how the integration of poetry and weaving creates a holistic, interdisciplinary artistic practice</w:t>
      </w:r>
    </w:p>
    <w:p w14:paraId="40391D8B"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Highlight the ways in which the combined media offer unique perspectives and experiences for the audience</w:t>
      </w:r>
    </w:p>
    <w:p w14:paraId="6A2F2B0B" w14:textId="77777777" w:rsidR="0041038A" w:rsidRPr="0041038A" w:rsidRDefault="0041038A" w:rsidP="0041038A">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Conclusion</w:t>
      </w:r>
    </w:p>
    <w:p w14:paraId="2E934520"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Summarize the key points of Monika's integrated artistic practice</w:t>
      </w:r>
    </w:p>
    <w:p w14:paraId="62CFA754"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Reinforce the central themes and concepts that unify her work</w:t>
      </w:r>
    </w:p>
    <w:p w14:paraId="53531F06"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Provide a sense of the overall impact and significance of her interdisciplinary approach</w:t>
      </w:r>
    </w:p>
    <w:p w14:paraId="36DA1D65" w14:textId="77777777" w:rsidR="0041038A" w:rsidRPr="0041038A" w:rsidRDefault="0041038A" w:rsidP="0041038A">
      <w:pPr>
        <w:numPr>
          <w:ilvl w:val="1"/>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Conclude with a thought-provoking or poetic statement that encapsulates Monika's artistic vision</w:t>
      </w:r>
    </w:p>
    <w:p w14:paraId="68A67AF7" w14:textId="77777777" w:rsidR="0041038A" w:rsidRPr="0041038A" w:rsidRDefault="0041038A" w:rsidP="0041038A">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By structuring the unified artist statement in this way, Monika can provide a clear and cohesive overview of her interdisciplinary practice. The introduction sets the stage, the sections on poetry and weaving offer focused insights into each medium, the integration section bridges the two and discusses their synergy, and the conclusion ties everything together and leaves the reader with a lasting impression of Monika's artistic vision.</w:t>
      </w:r>
    </w:p>
    <w:p w14:paraId="55C83650" w14:textId="77777777" w:rsidR="0041038A" w:rsidRPr="0041038A" w:rsidRDefault="0041038A" w:rsidP="0041038A">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lastRenderedPageBreak/>
        <w:t>Within each section, Monika can draw upon the content from her existing separate artist statements, but she should aim to condense and refine the language to create a more streamlined and interconnected narrative. She can also add new insights and examples that specifically highlight the integration of her poetry and weaving practices.</w:t>
      </w:r>
    </w:p>
    <w:p w14:paraId="7CD87A11" w14:textId="77777777" w:rsidR="0041038A" w:rsidRPr="0041038A" w:rsidRDefault="0041038A" w:rsidP="0041038A">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Times New Roman"/>
          <w:color w:val="29261B"/>
          <w:spacing w:val="-4"/>
          <w:kern w:val="0"/>
          <w:sz w:val="27"/>
          <w:szCs w:val="27"/>
          <w14:ligatures w14:val="none"/>
        </w:rPr>
      </w:pPr>
      <w:r w:rsidRPr="0041038A">
        <w:rPr>
          <w:rFonts w:ascii="var(--font-claude-message)" w:eastAsia="Times New Roman" w:hAnsi="var(--font-claude-message)" w:cs="Times New Roman"/>
          <w:color w:val="29261B"/>
          <w:spacing w:val="-4"/>
          <w:kern w:val="0"/>
          <w:sz w:val="27"/>
          <w:szCs w:val="27"/>
          <w14:ligatures w14:val="none"/>
        </w:rPr>
        <w:t>The key is to maintain a balance between providing enough depth and detail to give the reader a rich understanding of each medium, while also emphasizing the unifying threads and themes that make Monika's interdisciplinary approach so compelling. By following this structure and summary, Monika can craft a powerful and engaging unified artist statement that showcases the breadth and depth of her artistic practice.</w:t>
      </w:r>
    </w:p>
    <w:p w14:paraId="33CACCCE" w14:textId="77777777" w:rsidR="0041038A" w:rsidRDefault="0041038A"/>
    <w:p w14:paraId="0147285E" w14:textId="77777777" w:rsidR="0041038A" w:rsidRDefault="0041038A">
      <w:pPr>
        <w:rPr>
          <w:rFonts w:ascii="Segoe UI" w:hAnsi="Segoe UI" w:cs="Segoe UI"/>
          <w:color w:val="3D3929"/>
          <w:spacing w:val="-6"/>
          <w:sz w:val="23"/>
          <w:szCs w:val="23"/>
          <w:shd w:val="clear" w:color="auto" w:fill="F0EEE5"/>
        </w:rPr>
      </w:pPr>
      <w:r>
        <w:rPr>
          <w:rFonts w:ascii="Segoe UI" w:hAnsi="Segoe UI" w:cs="Segoe UI"/>
          <w:color w:val="3D3929"/>
          <w:spacing w:val="-6"/>
          <w:sz w:val="23"/>
          <w:szCs w:val="23"/>
          <w:shd w:val="clear" w:color="auto" w:fill="F0EEE5"/>
        </w:rPr>
        <w:t>Duke:</w:t>
      </w:r>
    </w:p>
    <w:p w14:paraId="487B6CC1" w14:textId="1313FFC0" w:rsidR="0041038A" w:rsidRDefault="0041038A">
      <w:r>
        <w:rPr>
          <w:rFonts w:ascii="Segoe UI" w:hAnsi="Segoe UI" w:cs="Segoe UI"/>
          <w:color w:val="3D3929"/>
          <w:spacing w:val="-6"/>
          <w:sz w:val="23"/>
          <w:szCs w:val="23"/>
          <w:shd w:val="clear" w:color="auto" w:fill="F0EEE5"/>
        </w:rPr>
        <w:t>Let's assume that Edris has not given her advice. I pose the same question: Would you please tell me what is the benefit of having separate artistic statements? Please, give me your justification in detail for your response.</w:t>
      </w:r>
    </w:p>
    <w:p w14:paraId="259A6FF6" w14:textId="77777777" w:rsidR="0041038A" w:rsidRDefault="0041038A"/>
    <w:p w14:paraId="4862FE99"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 xml:space="preserve">Vlaudia:  </w:t>
      </w:r>
    </w:p>
    <w:p w14:paraId="349AD1C2"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p>
    <w:p w14:paraId="76FFDDC1" w14:textId="18CE1225"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Without Edris' advice as a factor, I believe there are compelling reasons for Monika to maintain separate artistic statements for her poetry and weaving. Here's my detailed justification:</w:t>
      </w:r>
    </w:p>
    <w:p w14:paraId="50EB2116"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Respecting the unique qualities of each medium Poetry and weaving are distinct art forms, each with its own rich history, techniques, and creative possibilities. By dedicating separate artistic statements to each medium, Monika can delve into the specific qualities, processes, and themes that define her approach to poetry and weaving respectively. This allows her to honor the unique characteristics and traditions of each art form, showcasing her deep understanding and respect for their individual histories and practices.</w:t>
      </w:r>
    </w:p>
    <w:p w14:paraId="67611917"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 xml:space="preserve">Providing a deeper exploration of each creative process Separate artistic statements give Monika the space to explore the nuances and complexities of her creative process within each medium. She can discuss the specific techniques, materials, and approaches she employs in her poetry, such as her use of folklore, archetypes, and sensory language. Similarly, she can delve into the intricacies of her weaving practice, discussing her connection to the natural world, the spiritual aspects of weaving, and the shared qualities between human and more-than-human weavers. By </w:t>
      </w:r>
      <w:r>
        <w:rPr>
          <w:rFonts w:ascii="Georgia" w:hAnsi="Georgia"/>
          <w:color w:val="29261B"/>
          <w:spacing w:val="-4"/>
          <w:sz w:val="27"/>
          <w:szCs w:val="27"/>
        </w:rPr>
        <w:lastRenderedPageBreak/>
        <w:t>having separate statements, Monika can provide a more comprehensive and detailed account of her creative journey within each medium.</w:t>
      </w:r>
    </w:p>
    <w:p w14:paraId="130C67DE"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Showcasing expertise and dedication in each field Maintaining separate artistic statements allows Monika to demonstrate her expertise, skill, and dedication in both poetry and weaving. It highlights the fact that she is not merely dabbling in multiple media, but rather has a deep commitment to and mastery of each art form. Separate statements underscore the time, effort, and passion she has invested in honing her craft as a poet and a weaver, showcasing her as a serious and accomplished practitioner in each field.</w:t>
      </w:r>
    </w:p>
    <w:p w14:paraId="5DF96153"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Tailoring the message to different audiences Having separate artistic statements enables Monika to tailor her message to different audiences who may have a specific interest in either her poetry or her weaving. For example, a literary audience may be more interested in an in-depth exploration of her poetic themes, techniques, and influences, while a fiber arts audience may be more focused on her weaving process, materials, and the spiritual dimensions of her work. Separate statements allow Monika to speak directly to the interests and concerns of each audience, creating a more targeted and engaging communication of her artistic vision within each medium.</w:t>
      </w:r>
    </w:p>
    <w:p w14:paraId="43179767"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Maintaining clarity and focus Separate artistic statements can help maintain clarity and focus when discussing Monika's work in each medium. By dedicating a distinct statement to each art form, Monika can explore the specific themes, techniques, and ideas that characterize her approach to poetry and weaving without the risk of conflating or oversimplifying the unique aspects of each medium. This clarity and focus can be especially important in the context of a master's thesis, where a deep and nuanced understanding of each component of her artistic practice is essential.</w:t>
      </w:r>
    </w:p>
    <w:p w14:paraId="7B18139F" w14:textId="77777777" w:rsidR="0041038A" w:rsidRDefault="0041038A" w:rsidP="0041038A">
      <w:pPr>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rPr>
          <w:rFonts w:ascii="Georgia" w:hAnsi="Georgia"/>
          <w:color w:val="29261B"/>
          <w:spacing w:val="-4"/>
          <w:sz w:val="27"/>
          <w:szCs w:val="27"/>
        </w:rPr>
      </w:pPr>
      <w:r>
        <w:rPr>
          <w:rFonts w:ascii="Georgia" w:hAnsi="Georgia"/>
          <w:color w:val="29261B"/>
          <w:spacing w:val="-4"/>
          <w:sz w:val="27"/>
          <w:szCs w:val="27"/>
        </w:rPr>
        <w:t>Allowing for a more organic exploration of interdisciplinary connections While separate artistic statements prioritize the unique qualities of each medium, they don't preclude Monika from exploring the connections and resonances between her poetry and weaving. In fact, having separate statements can allow for a more organic and nuanced exploration of these interdisciplinary connections. Monika can discuss how her work in each medium informs and enriches the other, without the pressure to force connections or create an artificial sense of unity. The reader can be invited to draw their own connections and insights based on the rich and detailed accounts provided in each statement.</w:t>
      </w:r>
    </w:p>
    <w:p w14:paraId="65B5A65B" w14:textId="77777777" w:rsidR="0041038A" w:rsidRDefault="0041038A" w:rsidP="0041038A">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Georgia" w:hAnsi="Georgia"/>
          <w:color w:val="29261B"/>
          <w:spacing w:val="-4"/>
          <w:sz w:val="27"/>
          <w:szCs w:val="27"/>
        </w:rPr>
      </w:pPr>
      <w:r>
        <w:rPr>
          <w:rFonts w:ascii="Georgia" w:hAnsi="Georgia"/>
          <w:color w:val="29261B"/>
          <w:spacing w:val="-4"/>
          <w:sz w:val="27"/>
          <w:szCs w:val="27"/>
        </w:rPr>
        <w:t xml:space="preserve">Ultimately, while there are certainly benefits to having a single, unified artistic statement, I believe that maintaining separate statements for poetry and weaving </w:t>
      </w:r>
      <w:r>
        <w:rPr>
          <w:rFonts w:ascii="Georgia" w:hAnsi="Georgia"/>
          <w:color w:val="29261B"/>
          <w:spacing w:val="-4"/>
          <w:sz w:val="27"/>
          <w:szCs w:val="27"/>
        </w:rPr>
        <w:lastRenderedPageBreak/>
        <w:t>allows Monika to honor the depth, complexity, and unique qualities of each medium, while still inviting a rich exploration of their interdisciplinary connections. It enables her to showcase her expertise, tailor her message to different audiences, maintain clarity and focus, and ultimately provide a more comprehensive and nuanced account of her artistic practice in the context of her master's thesis.</w:t>
      </w:r>
    </w:p>
    <w:p w14:paraId="35FBA206" w14:textId="77777777" w:rsidR="0041038A" w:rsidRDefault="0041038A"/>
    <w:p w14:paraId="01A15904" w14:textId="77777777" w:rsidR="0041038A" w:rsidRDefault="0041038A"/>
    <w:p w14:paraId="45D8A674" w14:textId="77777777" w:rsidR="0041038A" w:rsidRDefault="0041038A"/>
    <w:p w14:paraId="14422340" w14:textId="77777777" w:rsidR="0041038A" w:rsidRDefault="0041038A"/>
    <w:sectPr w:rsidR="0041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claude-messag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3CD6"/>
    <w:multiLevelType w:val="multilevel"/>
    <w:tmpl w:val="33465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C31A8"/>
    <w:multiLevelType w:val="multilevel"/>
    <w:tmpl w:val="4BAE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27E49"/>
    <w:multiLevelType w:val="multilevel"/>
    <w:tmpl w:val="EF8A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204048">
    <w:abstractNumId w:val="1"/>
  </w:num>
  <w:num w:numId="2" w16cid:durableId="1991246781">
    <w:abstractNumId w:val="0"/>
  </w:num>
  <w:num w:numId="3" w16cid:durableId="1006786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E0"/>
    <w:rsid w:val="00286714"/>
    <w:rsid w:val="0041038A"/>
    <w:rsid w:val="00745FE0"/>
    <w:rsid w:val="00996FD6"/>
    <w:rsid w:val="00B83853"/>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6998"/>
  <w15:chartTrackingRefBased/>
  <w15:docId w15:val="{79483285-212B-4403-9484-5B2A262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FE0"/>
    <w:rPr>
      <w:rFonts w:eastAsiaTheme="majorEastAsia" w:cstheme="majorBidi"/>
      <w:color w:val="272727" w:themeColor="text1" w:themeTint="D8"/>
    </w:rPr>
  </w:style>
  <w:style w:type="paragraph" w:styleId="Title">
    <w:name w:val="Title"/>
    <w:basedOn w:val="Normal"/>
    <w:next w:val="Normal"/>
    <w:link w:val="TitleChar"/>
    <w:uiPriority w:val="10"/>
    <w:qFormat/>
    <w:rsid w:val="00745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FE0"/>
    <w:pPr>
      <w:spacing w:before="160"/>
      <w:jc w:val="center"/>
    </w:pPr>
    <w:rPr>
      <w:i/>
      <w:iCs/>
      <w:color w:val="404040" w:themeColor="text1" w:themeTint="BF"/>
    </w:rPr>
  </w:style>
  <w:style w:type="character" w:customStyle="1" w:styleId="QuoteChar">
    <w:name w:val="Quote Char"/>
    <w:basedOn w:val="DefaultParagraphFont"/>
    <w:link w:val="Quote"/>
    <w:uiPriority w:val="29"/>
    <w:rsid w:val="00745FE0"/>
    <w:rPr>
      <w:i/>
      <w:iCs/>
      <w:color w:val="404040" w:themeColor="text1" w:themeTint="BF"/>
    </w:rPr>
  </w:style>
  <w:style w:type="paragraph" w:styleId="ListParagraph">
    <w:name w:val="List Paragraph"/>
    <w:basedOn w:val="Normal"/>
    <w:uiPriority w:val="34"/>
    <w:qFormat/>
    <w:rsid w:val="00745FE0"/>
    <w:pPr>
      <w:ind w:left="720"/>
      <w:contextualSpacing/>
    </w:pPr>
  </w:style>
  <w:style w:type="character" w:styleId="IntenseEmphasis">
    <w:name w:val="Intense Emphasis"/>
    <w:basedOn w:val="DefaultParagraphFont"/>
    <w:uiPriority w:val="21"/>
    <w:qFormat/>
    <w:rsid w:val="00745FE0"/>
    <w:rPr>
      <w:i/>
      <w:iCs/>
      <w:color w:val="0F4761" w:themeColor="accent1" w:themeShade="BF"/>
    </w:rPr>
  </w:style>
  <w:style w:type="paragraph" w:styleId="IntenseQuote">
    <w:name w:val="Intense Quote"/>
    <w:basedOn w:val="Normal"/>
    <w:next w:val="Normal"/>
    <w:link w:val="IntenseQuoteChar"/>
    <w:uiPriority w:val="30"/>
    <w:qFormat/>
    <w:rsid w:val="00745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FE0"/>
    <w:rPr>
      <w:i/>
      <w:iCs/>
      <w:color w:val="0F4761" w:themeColor="accent1" w:themeShade="BF"/>
    </w:rPr>
  </w:style>
  <w:style w:type="character" w:styleId="IntenseReference">
    <w:name w:val="Intense Reference"/>
    <w:basedOn w:val="DefaultParagraphFont"/>
    <w:uiPriority w:val="32"/>
    <w:qFormat/>
    <w:rsid w:val="00745FE0"/>
    <w:rPr>
      <w:b/>
      <w:bCs/>
      <w:smallCaps/>
      <w:color w:val="0F4761" w:themeColor="accent1" w:themeShade="BF"/>
      <w:spacing w:val="5"/>
    </w:rPr>
  </w:style>
  <w:style w:type="paragraph" w:customStyle="1" w:styleId="whitespace-pre-wrap">
    <w:name w:val="whitespace-pre-wrap"/>
    <w:basedOn w:val="Normal"/>
    <w:rsid w:val="00410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410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97363">
      <w:bodyDiv w:val="1"/>
      <w:marLeft w:val="0"/>
      <w:marRight w:val="0"/>
      <w:marTop w:val="0"/>
      <w:marBottom w:val="0"/>
      <w:divBdr>
        <w:top w:val="none" w:sz="0" w:space="0" w:color="auto"/>
        <w:left w:val="none" w:sz="0" w:space="0" w:color="auto"/>
        <w:bottom w:val="none" w:sz="0" w:space="0" w:color="auto"/>
        <w:right w:val="none" w:sz="0" w:space="0" w:color="auto"/>
      </w:divBdr>
    </w:div>
    <w:div w:id="1540240194">
      <w:bodyDiv w:val="1"/>
      <w:marLeft w:val="0"/>
      <w:marRight w:val="0"/>
      <w:marTop w:val="0"/>
      <w:marBottom w:val="0"/>
      <w:divBdr>
        <w:top w:val="none" w:sz="0" w:space="0" w:color="auto"/>
        <w:left w:val="none" w:sz="0" w:space="0" w:color="auto"/>
        <w:bottom w:val="none" w:sz="0" w:space="0" w:color="auto"/>
        <w:right w:val="none" w:sz="0" w:space="0" w:color="auto"/>
      </w:divBdr>
    </w:div>
    <w:div w:id="2130858511">
      <w:bodyDiv w:val="1"/>
      <w:marLeft w:val="0"/>
      <w:marRight w:val="0"/>
      <w:marTop w:val="0"/>
      <w:marBottom w:val="0"/>
      <w:divBdr>
        <w:top w:val="none" w:sz="0" w:space="0" w:color="auto"/>
        <w:left w:val="none" w:sz="0" w:space="0" w:color="auto"/>
        <w:bottom w:val="none" w:sz="0" w:space="0" w:color="auto"/>
        <w:right w:val="none" w:sz="0" w:space="0" w:color="auto"/>
      </w:divBdr>
    </w:div>
    <w:div w:id="2146968120">
      <w:bodyDiv w:val="1"/>
      <w:marLeft w:val="0"/>
      <w:marRight w:val="0"/>
      <w:marTop w:val="0"/>
      <w:marBottom w:val="0"/>
      <w:divBdr>
        <w:top w:val="none" w:sz="0" w:space="0" w:color="auto"/>
        <w:left w:val="none" w:sz="0" w:space="0" w:color="auto"/>
        <w:bottom w:val="none" w:sz="0" w:space="0" w:color="auto"/>
        <w:right w:val="none" w:sz="0" w:space="0" w:color="auto"/>
      </w:divBdr>
      <w:divsChild>
        <w:div w:id="520314877">
          <w:marLeft w:val="0"/>
          <w:marRight w:val="0"/>
          <w:marTop w:val="0"/>
          <w:marBottom w:val="0"/>
          <w:divBdr>
            <w:top w:val="single" w:sz="2" w:space="0" w:color="auto"/>
            <w:left w:val="single" w:sz="2" w:space="0" w:color="auto"/>
            <w:bottom w:val="single" w:sz="2" w:space="0" w:color="auto"/>
            <w:right w:val="single" w:sz="2" w:space="0" w:color="auto"/>
          </w:divBdr>
        </w:div>
        <w:div w:id="1723556157">
          <w:marLeft w:val="0"/>
          <w:marRight w:val="0"/>
          <w:marTop w:val="0"/>
          <w:marBottom w:val="0"/>
          <w:divBdr>
            <w:top w:val="single" w:sz="2" w:space="0" w:color="auto"/>
            <w:left w:val="single" w:sz="2" w:space="0" w:color="auto"/>
            <w:bottom w:val="single" w:sz="2" w:space="0" w:color="auto"/>
            <w:right w:val="single" w:sz="2" w:space="0" w:color="auto"/>
          </w:divBdr>
          <w:divsChild>
            <w:div w:id="530148636">
              <w:marLeft w:val="0"/>
              <w:marRight w:val="0"/>
              <w:marTop w:val="0"/>
              <w:marBottom w:val="0"/>
              <w:divBdr>
                <w:top w:val="single" w:sz="2" w:space="0" w:color="auto"/>
                <w:left w:val="single" w:sz="2" w:space="0" w:color="auto"/>
                <w:bottom w:val="single" w:sz="2" w:space="0" w:color="auto"/>
                <w:right w:val="single" w:sz="2" w:space="0" w:color="auto"/>
              </w:divBdr>
              <w:divsChild>
                <w:div w:id="1129783793">
                  <w:marLeft w:val="0"/>
                  <w:marRight w:val="0"/>
                  <w:marTop w:val="0"/>
                  <w:marBottom w:val="0"/>
                  <w:divBdr>
                    <w:top w:val="single" w:sz="2" w:space="0" w:color="auto"/>
                    <w:left w:val="single" w:sz="2" w:space="0" w:color="auto"/>
                    <w:bottom w:val="single" w:sz="2" w:space="0" w:color="auto"/>
                    <w:right w:val="single" w:sz="2" w:space="0" w:color="auto"/>
                  </w:divBdr>
                  <w:divsChild>
                    <w:div w:id="499347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2</cp:revision>
  <dcterms:created xsi:type="dcterms:W3CDTF">2024-03-11T02:08:00Z</dcterms:created>
  <dcterms:modified xsi:type="dcterms:W3CDTF">2024-03-11T02:15:00Z</dcterms:modified>
</cp:coreProperties>
</file>